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华文中宋" w:hAnsi="华文中宋" w:eastAsia="华文中宋"/>
          <w:color w:val="FF0000"/>
          <w:sz w:val="52"/>
          <w:szCs w:val="52"/>
        </w:rPr>
      </w:pPr>
      <w:r>
        <w:rPr>
          <w:rFonts w:ascii="华文中宋" w:hAnsi="华文中宋" w:eastAsia="华文中宋"/>
          <w:sz w:val="52"/>
          <w:szCs w:val="52"/>
        </w:rPr>
        <mc:AlternateContent>
          <mc:Choice Requires="wps">
            <w:drawing>
              <wp:anchor distT="0" distB="0" distL="114300" distR="114300" simplePos="0" relativeHeight="25165721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直接箭头连接符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5000" cy="635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0pt;height:50pt;width:50pt;visibility:hidden;z-index:251657216;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Js85WUAAgAA5AMAAA4AAABkcnMvZTJvRG9jLnhtbK1TzY7TMBC+I/EO&#10;lu80aVFXEDXdQ8tyWUGlwgNMbSex8J9s07QvwQsgcQJOwGnvPA0sj8HYyXZZuCBEDtY4M9/MN9+M&#10;F+cHrche+CCtqel0UlIiDLNcmramL19cPHhESYhgOChrRE2PItDz5f17i95VYmY7q7jwBJOYUPWu&#10;pl2MriqKwDqhIUysEwadjfUaIl59W3APPWbXqpiV5VnRW8+dt0yEgH/Xg5Muc/6mESw+b5ogIlE1&#10;RW4xnz6fu3QWywVUrQfXSTbSgH9goUEaLHpKtYYI5LWXf6TSknkbbBMnzOrCNo1kIveA3UzL37rZ&#10;duBE7gXFCe4kU/h/admz/cYTyXF2lBjQOKLrt1ff33y4/vL52/urH1/fJfvTR4LuTnIu0pSTar0L&#10;FYJXZuNT3+xgtu7SsleBGLsVCoUfA4s7kekS3IA5NF4nLKpADnkkx9NIxCEShj/PHs7LEgfH0DXa&#10;WLyA6gbsfIhPhdUkGTUN0YNsu7iyxiAH66d5LLC/DHEA3gBSZWVIX9PH89kcKwCuX6MgoqkdChJM&#10;m7HBKskvpFIJEXy7WylP9pAWKn9JDSR0JywVWUPohrjsGlatE8CfGE7i0aHUBt8ETRS04JSoJG6y&#10;MCFUEaT6m0gsrUwCiLzuY5+3OidrZ/lx4xPPdMNVyozHtU+7+us9R90+zu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f15IdAAAAAFAQAADwAAAAAAAAABACAAAAAiAAAAZHJzL2Rvd25yZXYueG1s&#10;UEsBAhQAFAAAAAgAh07iQJs85WUAAgAA5AMAAA4AAAAAAAAAAQAgAAAAHwEAAGRycy9lMm9Eb2Mu&#10;eG1sUEsFBgAAAAAGAAYAWQEAAJEFAAAAAA==&#10;">
                <v:fill on="f" focussize="0,0"/>
                <v:stroke color="#000000" joinstyle="round"/>
                <v:imagedata o:title=""/>
                <o:lock v:ext="edit" selection="t" aspectratio="f"/>
              </v:shape>
            </w:pict>
          </mc:Fallback>
        </mc:AlternateContent>
      </w:r>
      <w:r>
        <w:rPr>
          <w:rFonts w:hint="eastAsia" w:ascii="华文中宋" w:hAnsi="华文中宋" w:eastAsia="华文中宋"/>
          <w:color w:val="FF0000"/>
          <w:sz w:val="52"/>
          <w:szCs w:val="52"/>
        </w:rPr>
        <w:t>中国仪器仪表行业协会代理商分会</w:t>
      </w:r>
    </w:p>
    <w:p>
      <w:pPr>
        <w:spacing w:line="360" w:lineRule="auto"/>
        <w:jc w:val="center"/>
        <w:rPr>
          <w:b/>
          <w:sz w:val="28"/>
          <w:szCs w:val="28"/>
        </w:rPr>
      </w:pPr>
      <w:r>
        <w:rPr>
          <w:rFonts w:hint="eastAsia"/>
          <w:b/>
          <w:color w:val="808080"/>
          <w:sz w:val="24"/>
        </w:rPr>
        <w:t>中仪协代分会</w:t>
      </w:r>
      <w:r>
        <w:rPr>
          <w:rFonts w:hint="eastAsia" w:asciiTheme="minorEastAsia" w:hAnsiTheme="minorEastAsia"/>
          <w:b/>
          <w:color w:val="808080"/>
          <w:sz w:val="24"/>
        </w:rPr>
        <w:t>【</w:t>
      </w:r>
      <w:r>
        <w:rPr>
          <w:b/>
          <w:color w:val="808080"/>
          <w:sz w:val="24"/>
        </w:rPr>
        <w:t>201</w:t>
      </w:r>
      <w:r>
        <w:rPr>
          <w:rFonts w:hint="eastAsia"/>
          <w:b/>
          <w:color w:val="808080"/>
          <w:sz w:val="24"/>
        </w:rPr>
        <w:t>7</w:t>
      </w:r>
      <w:r>
        <w:rPr>
          <w:rFonts w:hint="eastAsia" w:asciiTheme="minorEastAsia" w:hAnsiTheme="minorEastAsia"/>
          <w:b/>
          <w:color w:val="808080"/>
          <w:sz w:val="24"/>
        </w:rPr>
        <w:t>】</w:t>
      </w:r>
      <w:r>
        <w:rPr>
          <w:b/>
          <w:color w:val="808080"/>
          <w:sz w:val="24"/>
        </w:rPr>
        <w:t>0</w:t>
      </w:r>
      <w:r>
        <w:rPr>
          <w:rFonts w:hint="eastAsia"/>
          <w:b/>
          <w:color w:val="808080"/>
          <w:sz w:val="24"/>
        </w:rPr>
        <w:t>1</w:t>
      </w:r>
      <w:r>
        <w:rPr>
          <w:rFonts w:hint="eastAsia"/>
          <w:b/>
          <w:color w:val="808080"/>
          <w:sz w:val="24"/>
          <w:lang w:val="en-US" w:eastAsia="zh-CN"/>
        </w:rPr>
        <w:t>3</w:t>
      </w:r>
      <w:r>
        <w:rPr>
          <w:rFonts w:hint="eastAsia"/>
          <w:b/>
          <w:color w:val="808080"/>
          <w:sz w:val="24"/>
        </w:rPr>
        <w:t>号</w:t>
      </w:r>
    </w:p>
    <w:p>
      <w:pPr>
        <w:rPr>
          <w:b/>
          <w:sz w:val="36"/>
          <w:szCs w:val="36"/>
        </w:rPr>
      </w:pPr>
      <w:r>
        <w:rPr>
          <w:rFonts w:ascii="华文中宋" w:hAnsi="华文中宋" w:eastAsia="华文中宋"/>
          <w:sz w:val="52"/>
          <w:szCs w:val="5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97790</wp:posOffset>
                </wp:positionV>
                <wp:extent cx="5270500" cy="0"/>
                <wp:effectExtent l="0" t="31750" r="6350" b="44450"/>
                <wp:wrapNone/>
                <wp:docPr id="2" name="直接连接符 2"/>
                <wp:cNvGraphicFramePr/>
                <a:graphic xmlns:a="http://schemas.openxmlformats.org/drawingml/2006/main">
                  <a:graphicData uri="http://schemas.microsoft.com/office/word/2010/wordprocessingShape">
                    <wps:wsp>
                      <wps:cNvCnPr/>
                      <wps:spPr>
                        <a:xfrm flipV="1">
                          <a:off x="0" y="0"/>
                          <a:ext cx="5270500" cy="0"/>
                        </a:xfrm>
                        <a:prstGeom prst="line">
                          <a:avLst/>
                        </a:prstGeom>
                        <a:ln w="63500" cap="flat" cmpd="thinThick">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75pt;margin-top:7.7pt;height:0pt;width:415pt;z-index:251659264;mso-width-relative:page;mso-height-relative:page;" filled="f" stroked="t" coordsize="21600,21600" o:gfxdata="UEsDBAoAAAAAAIdO4kAAAAAAAAAAAAAAAAAEAAAAZHJzL1BLAwQUAAAACACHTuJAy3p43dcAAAAI&#10;AQAADwAAAGRycy9kb3ducmV2LnhtbE2PwU7DMBBE70j8g7VI3FonFUFRiFMhqp44UNoeOLrxkqS1&#10;12nstilfzyIOcNw3o9mZcj46K844hM6TgnSagECqvemoUbDdLCc5iBA1GW09oYIrBphXtzelLoy/&#10;0Due17ERHEKh0AraGPtCylC36HSY+h6JtU8/OB35HBppBn3hcGflLEkepdMd8YdW9/jSYn1Yn5wC&#10;/5p99N3zYj9uzer4Zo+L5er6pdT9XZo8gYg4xj8z/NTn6lBxp50/kQnCKpikGTuZZw8gWM9nOYPd&#10;L5BVKf8PqL4BUEsDBBQAAAAIAIdO4kClWvYx5AEAAKkDAAAOAAAAZHJzL2Uyb0RvYy54bWytU72O&#10;EzEQ7pF4B8s98d6iO9AqmysuhAZBJA76iX+yFv6TbbLJS/ACSHRQUdLf23A8BmNvLjqgQYgtRh7P&#10;7DfzfTOeX+6tITsZk/aup2ezhhLpuBfabXv65nr16CklKYMTYLyTPT3IRC8XDx/Mx9DJ1g/eCBkJ&#10;grjUjaGnQ86hYyzxQVpIMx+kw6Dy0UJGN26ZiDAiujWsbZoLNvooQvRcpoS3yylIFxVfKcnzK6WS&#10;zMT0FHvL1cZqN8WyxRy6bYQwaH5sA/6hCwvaYdET1BIykPdR/wFlNY8+eZVn3FvmldJcVg7I5qz5&#10;jc3rAYKsXFCcFE4ypf8Hy1/u1pFo0dOWEgcWR3T78dv3D59/3HxCe/v1C2mLSGNIHeZeuXU8eims&#10;Y2G8V9ESZXR4i/OvGiArsq8SH04Sy30mHC/P2yfNeYOT4HcxNkEUqBBTfi69JeXQU6NdYQ8d7F6k&#10;jGUx9S6lXBtHxp5ePJ7wALdHGcgIbQPyyYN21zjVdxUieaPFShtTfkxxu7kykewAt2K1avArHBH+&#10;l7RSawlpmPJqaNqXQYJ45gTJh4B6OVxsWjqxUlBiJL6DckJA6DJo8zeZWNq48oOsO3ukW0SfZC6n&#10;jReHqj4rHu5D7fi4u2Xh7vt4vv/CF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3p43dcAAAAI&#10;AQAADwAAAAAAAAABACAAAAAiAAAAZHJzL2Rvd25yZXYueG1sUEsBAhQAFAAAAAgAh07iQKVa9jHk&#10;AQAAqQMAAA4AAAAAAAAAAQAgAAAAJgEAAGRycy9lMm9Eb2MueG1sUEsFBgAAAAAGAAYAWQEAAHwF&#10;AAAAAA==&#10;">
                <v:fill on="f" focussize="0,0"/>
                <v:stroke weight="5pt" color="#FF0000" linestyle="thinThick" joinstyle="round"/>
                <v:imagedata o:title=""/>
                <o:lock v:ext="edit" aspectratio="f"/>
              </v:line>
            </w:pict>
          </mc:Fallback>
        </mc:AlternateContent>
      </w:r>
    </w:p>
    <w:p>
      <w:pPr>
        <w:rPr>
          <w:rFonts w:ascii="黑体" w:hAnsi="黑体" w:eastAsia="黑体"/>
          <w:sz w:val="32"/>
          <w:szCs w:val="32"/>
        </w:rPr>
      </w:pPr>
      <w:r>
        <w:rPr>
          <w:rFonts w:hint="eastAsia"/>
          <w:b/>
          <w:sz w:val="32"/>
          <w:szCs w:val="32"/>
        </w:rPr>
        <w:t>“仪商汇”</w:t>
      </w:r>
      <w:r>
        <w:rPr>
          <w:rFonts w:hint="eastAsia" w:ascii="黑体" w:hAnsi="黑体" w:eastAsia="黑体"/>
          <w:sz w:val="32"/>
          <w:szCs w:val="32"/>
        </w:rPr>
        <w:t>食品、环境安全论坛及仪器渠道交流会</w:t>
      </w:r>
      <w:r>
        <w:rPr>
          <w:rFonts w:hint="eastAsia"/>
          <w:b/>
          <w:sz w:val="32"/>
          <w:szCs w:val="32"/>
        </w:rPr>
        <w:t>广西站</w:t>
      </w:r>
    </w:p>
    <w:p>
      <w:pPr>
        <w:jc w:val="center"/>
        <w:rPr>
          <w:rFonts w:ascii="宋体" w:hAnsi="宋体" w:eastAsia="宋体" w:cs="宋体"/>
          <w:b/>
          <w:szCs w:val="21"/>
        </w:rPr>
      </w:pPr>
    </w:p>
    <w:p>
      <w:pPr>
        <w:rPr>
          <w:rFonts w:ascii="宋体" w:hAnsi="宋体" w:eastAsia="宋体" w:cs="宋体"/>
          <w:b/>
          <w:sz w:val="28"/>
          <w:szCs w:val="28"/>
        </w:rPr>
      </w:pPr>
      <w:r>
        <w:rPr>
          <w:rFonts w:hint="eastAsia" w:ascii="宋体" w:hAnsi="宋体" w:eastAsia="宋体" w:cs="宋体"/>
          <w:b/>
          <w:sz w:val="28"/>
          <w:szCs w:val="28"/>
        </w:rPr>
        <w:t>一、中国仪器仪表行业协会代理商分会简介：</w:t>
      </w:r>
    </w:p>
    <w:p>
      <w:pPr>
        <w:spacing w:line="360" w:lineRule="auto"/>
        <w:ind w:firstLine="480" w:firstLineChars="200"/>
        <w:rPr>
          <w:rFonts w:ascii="宋体" w:hAnsi="宋体" w:eastAsia="宋体" w:cs="宋体"/>
          <w:sz w:val="24"/>
        </w:rPr>
      </w:pPr>
      <w:r>
        <w:rPr>
          <w:rFonts w:hint="eastAsia" w:ascii="宋体" w:hAnsi="宋体" w:eastAsia="宋体" w:cs="宋体"/>
          <w:color w:val="000000"/>
          <w:sz w:val="24"/>
        </w:rPr>
        <w:t>“中国仪器仪表行业协会代理商分会”（以下简称：代理商分会）。</w:t>
      </w:r>
      <w:r>
        <w:rPr>
          <w:rFonts w:hint="eastAsia" w:asciiTheme="minorEastAsia" w:hAnsiTheme="minorEastAsia"/>
          <w:color w:val="000000"/>
          <w:sz w:val="24"/>
        </w:rPr>
        <w:t>是以行业代理商、经销商为主自愿组成的全国性、行业性、非营利性社会组织。</w:t>
      </w:r>
      <w:r>
        <w:rPr>
          <w:rFonts w:hint="eastAsia" w:cs="仿宋" w:asciiTheme="minorEastAsia" w:hAnsiTheme="minorEastAsia"/>
          <w:sz w:val="24"/>
        </w:rPr>
        <w:t>代理商分会是目前国内专注渠道发展的行业组织</w:t>
      </w:r>
      <w:r>
        <w:rPr>
          <w:rFonts w:cs="仿宋" w:asciiTheme="minorEastAsia" w:hAnsiTheme="minorEastAsia"/>
          <w:sz w:val="24"/>
        </w:rPr>
        <w:t>，</w:t>
      </w:r>
      <w:r>
        <w:rPr>
          <w:rFonts w:hint="eastAsia" w:ascii="宋体" w:hAnsi="宋体" w:eastAsia="宋体" w:cs="宋体"/>
          <w:sz w:val="24"/>
        </w:rPr>
        <w:t>在总会的领导下</w:t>
      </w:r>
      <w:r>
        <w:rPr>
          <w:rFonts w:hint="eastAsia" w:cs="仿宋" w:asciiTheme="minorEastAsia" w:hAnsiTheme="minorEastAsia"/>
          <w:sz w:val="24"/>
        </w:rPr>
        <w:t>以“服务渠道、引领发展、</w:t>
      </w:r>
      <w:r>
        <w:rPr>
          <w:rFonts w:hint="eastAsia" w:asciiTheme="minorEastAsia" w:hAnsiTheme="minorEastAsia"/>
          <w:color w:val="000000"/>
          <w:sz w:val="24"/>
        </w:rPr>
        <w:t>促进交流、加强协作”</w:t>
      </w:r>
      <w:r>
        <w:rPr>
          <w:rFonts w:cs="仿宋" w:asciiTheme="minorEastAsia" w:hAnsiTheme="minorEastAsia"/>
          <w:sz w:val="24"/>
        </w:rPr>
        <w:t>为宗旨，承载着</w:t>
      </w:r>
      <w:r>
        <w:rPr>
          <w:rFonts w:hint="eastAsia" w:cs="仿宋" w:asciiTheme="minorEastAsia" w:hAnsiTheme="minorEastAsia"/>
          <w:sz w:val="24"/>
        </w:rPr>
        <w:t>渠道之间</w:t>
      </w:r>
      <w:r>
        <w:rPr>
          <w:rFonts w:cs="仿宋" w:asciiTheme="minorEastAsia" w:hAnsiTheme="minorEastAsia"/>
          <w:sz w:val="24"/>
        </w:rPr>
        <w:t>桥梁和纽带的重要职能，在信息沟通、利益协调、增进合作、资源</w:t>
      </w:r>
      <w:r>
        <w:rPr>
          <w:rFonts w:hint="eastAsia" w:cs="仿宋" w:asciiTheme="minorEastAsia" w:hAnsiTheme="minorEastAsia"/>
          <w:sz w:val="24"/>
        </w:rPr>
        <w:t>共享</w:t>
      </w:r>
      <w:r>
        <w:rPr>
          <w:rFonts w:cs="仿宋" w:asciiTheme="minorEastAsia" w:hAnsiTheme="minorEastAsia"/>
          <w:sz w:val="24"/>
        </w:rPr>
        <w:t>等多个方面发挥积极作用。</w:t>
      </w:r>
    </w:p>
    <w:p>
      <w:pPr>
        <w:spacing w:line="360" w:lineRule="auto"/>
        <w:ind w:firstLine="480" w:firstLineChars="200"/>
        <w:rPr>
          <w:rFonts w:ascii="宋体" w:hAnsi="宋体" w:eastAsia="宋体" w:cs="宋体"/>
          <w:b/>
          <w:sz w:val="24"/>
        </w:rPr>
      </w:pPr>
      <w:r>
        <w:rPr>
          <w:rFonts w:hint="eastAsia" w:ascii="宋体" w:hAnsi="宋体" w:cs="宋体"/>
          <w:sz w:val="24"/>
        </w:rPr>
        <w:t>代理商分会为会员单位提供“仪商汇”行业渠道资源对接会、渠道调研、高峰论坛、渠道沙龙、渠道信息服务，培训交流，组织境外考察，促进境内外的同业合作等多项服务内容。</w:t>
      </w:r>
      <w:r>
        <w:rPr>
          <w:rFonts w:ascii="宋体" w:hAnsi="宋体" w:eastAsia="宋体" w:cs="宋体"/>
          <w:sz w:val="24"/>
        </w:rPr>
        <w:br w:type="textWrapping"/>
      </w:r>
    </w:p>
    <w:p>
      <w:pPr>
        <w:spacing w:line="360" w:lineRule="auto"/>
        <w:rPr>
          <w:rFonts w:ascii="宋体" w:hAnsi="宋体" w:eastAsia="宋体" w:cs="宋体"/>
          <w:b/>
          <w:sz w:val="24"/>
        </w:rPr>
      </w:pPr>
      <w:r>
        <w:rPr>
          <w:rFonts w:hint="eastAsia" w:ascii="宋体" w:hAnsi="宋体" w:eastAsia="宋体" w:cs="宋体"/>
          <w:b/>
          <w:sz w:val="24"/>
        </w:rPr>
        <w:t>二、</w:t>
      </w:r>
      <w:r>
        <w:rPr>
          <w:rFonts w:hint="eastAsia" w:cs="Times New Roman" w:asciiTheme="minorEastAsia" w:hAnsiTheme="minorEastAsia"/>
          <w:b/>
          <w:sz w:val="24"/>
        </w:rPr>
        <w:t>仪商汇渠道峰会：</w:t>
      </w:r>
    </w:p>
    <w:p>
      <w:pPr>
        <w:spacing w:line="360" w:lineRule="auto"/>
        <w:ind w:firstLine="360" w:firstLineChars="150"/>
        <w:rPr>
          <w:rFonts w:cs="Times New Roman" w:asciiTheme="minorEastAsia" w:hAnsiTheme="minorEastAsia"/>
          <w:sz w:val="24"/>
        </w:rPr>
      </w:pPr>
      <w:r>
        <w:rPr>
          <w:rFonts w:hint="eastAsia" w:cs="Times New Roman" w:asciiTheme="minorEastAsia" w:hAnsiTheme="minorEastAsia"/>
          <w:sz w:val="24"/>
        </w:rPr>
        <w:t>“仪商汇”仪器渠道峰会是由中国仪器仪表行业协会代理商分会与仪众国际网（www.1718china.com）发起、组织、实施的一项仪器行业</w:t>
      </w:r>
      <w:r>
        <w:rPr>
          <w:rFonts w:hint="eastAsia" w:cs="Times New Roman" w:asciiTheme="minorEastAsia" w:hAnsiTheme="minorEastAsia"/>
          <w:b/>
          <w:sz w:val="24"/>
        </w:rPr>
        <w:t>公益性</w:t>
      </w:r>
      <w:r>
        <w:rPr>
          <w:rFonts w:hint="eastAsia" w:cs="Times New Roman" w:asciiTheme="minorEastAsia" w:hAnsiTheme="minorEastAsia"/>
          <w:sz w:val="24"/>
        </w:rPr>
        <w:t>的渠道资源对接活动。“仪商汇”仪器渠道活动目前已经</w:t>
      </w:r>
      <w:r>
        <w:rPr>
          <w:rFonts w:hint="eastAsia" w:cs="Times New Roman" w:asciiTheme="minorEastAsia" w:hAnsiTheme="minorEastAsia"/>
          <w:sz w:val="24"/>
          <w:lang w:eastAsia="zh-CN"/>
        </w:rPr>
        <w:t>在</w:t>
      </w:r>
      <w:r>
        <w:rPr>
          <w:rFonts w:hint="eastAsia" w:cs="Times New Roman" w:asciiTheme="minorEastAsia" w:hAnsiTheme="minorEastAsia"/>
          <w:sz w:val="24"/>
        </w:rPr>
        <w:t>国内举办十余场活动，参会代表超过5000人，成为仪器行业厂商与渠道商进行对接的有效平台。此次“仪商汇”南宁站活动，也是顺应国家“一带一路”的发展规划，致力国产仪器走出去的发展战略，此次活动围绕食品、环境安全等热点问题邀请行业专家做主题演讲，同时结合广西渠道商发展现状进行资源对接交流。“一带一路”互联互通将推动与东盟各国发展战略的对接与耦合，发掘区域内市场的潜力，促进国产仪器的快速发展。</w:t>
      </w:r>
    </w:p>
    <w:p>
      <w:pPr>
        <w:spacing w:line="360" w:lineRule="auto"/>
        <w:ind w:firstLine="360" w:firstLineChars="150"/>
        <w:rPr>
          <w:rFonts w:cs="Times New Roman" w:asciiTheme="minorEastAsia" w:hAnsiTheme="minorEastAsia"/>
          <w:sz w:val="24"/>
        </w:rPr>
      </w:pPr>
    </w:p>
    <w:p>
      <w:pPr>
        <w:spacing w:line="360" w:lineRule="auto"/>
        <w:rPr>
          <w:rFonts w:cs="Times New Roman" w:asciiTheme="minorEastAsia" w:hAnsiTheme="minorEastAsia"/>
          <w:b/>
          <w:sz w:val="24"/>
        </w:rPr>
      </w:pPr>
    </w:p>
    <w:p>
      <w:pPr>
        <w:spacing w:line="360" w:lineRule="auto"/>
        <w:rPr>
          <w:rFonts w:cs="Times New Roman" w:asciiTheme="minorEastAsia" w:hAnsiTheme="minorEastAsia"/>
          <w:b/>
          <w:sz w:val="24"/>
        </w:rPr>
      </w:pPr>
      <w:r>
        <w:rPr>
          <w:rFonts w:hint="eastAsia" w:cs="Times New Roman" w:asciiTheme="minorEastAsia" w:hAnsiTheme="minorEastAsia"/>
          <w:b/>
          <w:sz w:val="24"/>
        </w:rPr>
        <w:t>三、峰会看点：</w:t>
      </w:r>
    </w:p>
    <w:p>
      <w:pPr>
        <w:spacing w:line="360" w:lineRule="auto"/>
        <w:ind w:left="1" w:firstLine="480" w:firstLineChars="200"/>
        <w:jc w:val="left"/>
        <w:rPr>
          <w:rFonts w:cs="Times New Roman" w:asciiTheme="minorEastAsia" w:hAnsiTheme="minorEastAsia"/>
          <w:b/>
          <w:sz w:val="24"/>
        </w:rPr>
      </w:pPr>
      <w:r>
        <w:rPr>
          <w:rFonts w:hint="eastAsia" w:cs="Times New Roman" w:asciiTheme="minorEastAsia" w:hAnsiTheme="minorEastAsia"/>
          <w:sz w:val="24"/>
        </w:rPr>
        <w:t>“仪商汇”仪器渠道峰会广西南宁站活动，从</w:t>
      </w:r>
      <w:r>
        <w:rPr>
          <w:rFonts w:hint="eastAsia" w:cs="Times New Roman" w:asciiTheme="minorEastAsia" w:hAnsiTheme="minorEastAsia"/>
          <w:b/>
          <w:sz w:val="24"/>
        </w:rPr>
        <w:t>热点问题专家视角、资源对接角度、渠道运营发展角度</w:t>
      </w:r>
      <w:r>
        <w:rPr>
          <w:rFonts w:hint="eastAsia" w:cs="Times New Roman" w:asciiTheme="minorEastAsia" w:hAnsiTheme="minorEastAsia"/>
          <w:sz w:val="24"/>
        </w:rPr>
        <w:t>展开。将目前行业趋势、运营管理经验，互联网+时代仪器渠道发展与挑战等与仪器渠道商密切相关的行业运营经验分享。</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第一、本次活动将邀请食品、环境安全等方面的行业专家开展主题讲座，同时也将有国内外企业从仪器应用方面进行深入研讨，使用户与企业、渠道商之间搭建互动交流桥梁。</w:t>
      </w:r>
    </w:p>
    <w:p>
      <w:pPr>
        <w:spacing w:line="360" w:lineRule="auto"/>
        <w:ind w:firstLine="480" w:firstLineChars="200"/>
        <w:rPr>
          <w:rFonts w:cs="Times New Roman" w:asciiTheme="minorEastAsia" w:hAnsiTheme="minorEastAsia"/>
          <w:sz w:val="24"/>
        </w:rPr>
      </w:pPr>
      <w:r>
        <w:rPr>
          <w:rFonts w:hint="eastAsia" w:cs="Times New Roman" w:asciiTheme="minorEastAsia" w:hAnsiTheme="minorEastAsia"/>
          <w:sz w:val="24"/>
        </w:rPr>
        <w:t>第二、渠道下沉、资源对接，企业与省内数百名优秀渠道商建立行业对接，与专家接触交流，增强行业发展潜力。</w:t>
      </w:r>
    </w:p>
    <w:p>
      <w:pPr>
        <w:spacing w:line="360" w:lineRule="auto"/>
        <w:ind w:left="120" w:leftChars="50" w:firstLine="360" w:firstLineChars="150"/>
        <w:rPr>
          <w:rFonts w:cs="Times New Roman" w:asciiTheme="minorEastAsia" w:hAnsiTheme="minorEastAsia"/>
          <w:sz w:val="24"/>
        </w:rPr>
      </w:pPr>
      <w:r>
        <w:rPr>
          <w:rFonts w:hint="eastAsia" w:cs="Times New Roman" w:asciiTheme="minorEastAsia" w:hAnsiTheme="minorEastAsia"/>
          <w:sz w:val="24"/>
        </w:rPr>
        <w:t>第三、多名行业渠道资深大咖，数十年的从业经验，丰富的运营经验与渠道商进行分享，学习思考大咖们的发展经验，避免重复走经营弯路。</w:t>
      </w:r>
    </w:p>
    <w:p>
      <w:pPr>
        <w:ind w:firstLine="480" w:firstLineChars="200"/>
        <w:rPr>
          <w:rFonts w:hint="eastAsia"/>
          <w:lang w:eastAsia="zh-CN"/>
        </w:rPr>
      </w:pPr>
    </w:p>
    <w:p>
      <w:pPr>
        <w:ind w:firstLine="480" w:firstLineChars="200"/>
        <w:rPr>
          <w:rFonts w:hint="eastAsia"/>
        </w:rPr>
      </w:pPr>
      <w:r>
        <w:rPr>
          <w:rFonts w:hint="eastAsia"/>
          <w:lang w:eastAsia="zh-CN"/>
        </w:rPr>
        <w:t>“</w:t>
      </w:r>
      <w:r>
        <w:rPr>
          <w:rFonts w:hint="eastAsia"/>
        </w:rPr>
        <w:t>仪商汇”</w:t>
      </w:r>
      <w:r>
        <w:rPr>
          <w:rFonts w:hint="eastAsia"/>
          <w:lang w:eastAsia="zh-CN"/>
        </w:rPr>
        <w:t>仪器</w:t>
      </w:r>
      <w:r>
        <w:rPr>
          <w:rFonts w:hint="eastAsia"/>
        </w:rPr>
        <w:t>渠道峰会自创办以来在国内已经成功举办十余场，参与</w:t>
      </w:r>
      <w:r>
        <w:rPr>
          <w:rFonts w:hint="eastAsia"/>
          <w:lang w:eastAsia="zh-CN"/>
        </w:rPr>
        <w:t>企业</w:t>
      </w:r>
      <w:r>
        <w:rPr>
          <w:rFonts w:hint="eastAsia"/>
        </w:rPr>
        <w:t>有安捷伦、赛默飞、岛津、布鲁克、沃特世、PE公司、美国GE、美国CIF、美国华志、梅特勒、天美中国、青岛埃仑、优莱博、东西分析、安东帕、上海光谱、上海科哲、四川蜀科、上海佳航、上海伍丰、宝捷国基、浙江纳德、桑翌实验室、北京赛伯乐、黑龙江天林科技、广州东南科仪、香港艾威科技、上海和泰、上海一恒、北京金索坤、济南海能、济南精密、厦门绿安、上海亚荣、北京汇龙、安合美诚、艾卡、捷锐、马尔文、上海荣泰、朝阳华洋、武汉恒信、北京中兴伟业、奥普乐、上海全浦、上海贤德、沈阳汉威、上海龙跃、北京大龙、深圳博大精科、杭州赛智、昆山洁力美、成都世纪方舟、安莱立思、山东赛克赛斯、上海仪迈、宁波乐电、华粤行、深昌鸿、济南精锐、上海恒跃、四川优普、常州国宇、金西盟、上海色谱等数百家国内外知名仪器</w:t>
      </w:r>
      <w:r>
        <w:rPr>
          <w:rFonts w:hint="eastAsia"/>
          <w:lang w:eastAsia="zh-CN"/>
        </w:rPr>
        <w:t>企业</w:t>
      </w:r>
      <w:r>
        <w:rPr>
          <w:rFonts w:hint="eastAsia"/>
        </w:rPr>
        <w:t>，是仪器行业的最具影响力的渠道资源对接会。</w:t>
      </w:r>
    </w:p>
    <w:p>
      <w:pPr>
        <w:spacing w:line="360" w:lineRule="auto"/>
        <w:ind w:firstLine="480" w:firstLineChars="200"/>
        <w:rPr>
          <w:rFonts w:cs="Times New Roman" w:asciiTheme="minorEastAsia" w:hAnsiTheme="minorEastAsia"/>
          <w:sz w:val="24"/>
        </w:rPr>
      </w:pPr>
    </w:p>
    <w:p>
      <w:pPr>
        <w:spacing w:line="360" w:lineRule="auto"/>
        <w:rPr>
          <w:rFonts w:ascii="宋体" w:hAnsi="宋体" w:eastAsia="宋体" w:cs="宋体"/>
          <w:b/>
          <w:sz w:val="24"/>
        </w:rPr>
      </w:pPr>
      <w:r>
        <w:rPr>
          <w:rFonts w:hint="eastAsia" w:ascii="宋体" w:hAnsi="宋体" w:eastAsia="宋体" w:cs="宋体"/>
          <w:b/>
          <w:sz w:val="24"/>
        </w:rPr>
        <w:t>四、会议时间和地点：</w:t>
      </w:r>
    </w:p>
    <w:p>
      <w:pPr>
        <w:rPr>
          <w:rFonts w:hint="eastAsia"/>
          <w:lang w:val="en-US" w:eastAsia="zh-CN"/>
        </w:rPr>
      </w:pPr>
      <w:r>
        <w:rPr>
          <w:rFonts w:hint="eastAsia" w:ascii="宋体" w:hAnsi="宋体" w:eastAsia="宋体" w:cs="宋体"/>
          <w:sz w:val="24"/>
        </w:rPr>
        <w:t>1、地点：</w:t>
      </w:r>
      <w:r>
        <w:t>南宁</w:t>
      </w:r>
      <w:r>
        <w:rPr>
          <w:rFonts w:hint="eastAsia"/>
          <w:lang w:eastAsia="zh-CN"/>
        </w:rPr>
        <w:t>江南希尔顿欢朋酒店</w:t>
      </w:r>
      <w:r>
        <w:rPr>
          <w:rFonts w:hint="eastAsia"/>
          <w:lang w:val="en-US" w:eastAsia="zh-CN"/>
        </w:rPr>
        <w:t>六楼欢宴厅</w:t>
      </w:r>
    </w:p>
    <w:p>
      <w:pPr>
        <w:ind w:firstLine="720" w:firstLineChars="300"/>
      </w:pPr>
      <w:r>
        <w:rPr>
          <w:rFonts w:hint="eastAsia"/>
          <w:lang w:eastAsia="zh-CN"/>
        </w:rPr>
        <w:t>（南宁市江南区白沙大道</w:t>
      </w:r>
      <w:r>
        <w:rPr>
          <w:rFonts w:hint="eastAsia"/>
          <w:lang w:val="en-US" w:eastAsia="zh-CN"/>
        </w:rPr>
        <w:t>53号松宇时代</w:t>
      </w:r>
      <w:r>
        <w:rPr>
          <w:rFonts w:hint="eastAsia"/>
          <w:lang w:eastAsia="zh-CN"/>
        </w:rPr>
        <w:t>）</w:t>
      </w:r>
    </w:p>
    <w:p>
      <w:r>
        <w:t>2、报道时间：2017年10月26日</w:t>
      </w:r>
    </w:p>
    <w:p>
      <w:pPr>
        <w:ind w:firstLine="480" w:firstLineChars="200"/>
      </w:pPr>
      <w:r>
        <w:t>3、会议时间：2017年10月27日</w:t>
      </w:r>
    </w:p>
    <w:p>
      <w:pPr>
        <w:ind w:firstLine="480" w:firstLineChars="200"/>
        <w:rPr>
          <w:rFonts w:hint="eastAsia"/>
          <w:lang w:eastAsia="zh-CN"/>
        </w:rPr>
      </w:pPr>
      <w:r>
        <w:rPr>
          <w:rFonts w:hint="eastAsia"/>
          <w:lang w:val="en-US" w:eastAsia="zh-CN"/>
        </w:rPr>
        <w:t>4、</w:t>
      </w:r>
      <w:r>
        <w:rPr>
          <w:rFonts w:hint="eastAsia"/>
        </w:rPr>
        <w:t>厂家资料邮寄地址</w:t>
      </w:r>
      <w:r>
        <w:rPr>
          <w:rFonts w:hint="eastAsia"/>
          <w:lang w:eastAsia="zh-CN"/>
        </w:rPr>
        <w:t>：南宁江南希尔顿欢朋酒店</w:t>
      </w:r>
      <w:r>
        <w:rPr>
          <w:rFonts w:hint="eastAsia"/>
          <w:lang w:val="en-US" w:eastAsia="zh-CN"/>
        </w:rPr>
        <w:t>六楼欢宴厅</w:t>
      </w:r>
      <w:r>
        <w:rPr>
          <w:rFonts w:hint="eastAsia"/>
          <w:lang w:eastAsia="zh-CN"/>
        </w:rPr>
        <w:t>（广西南宁市江南区白沙大道53号）。收件人：秦悦</w:t>
      </w:r>
      <w:r>
        <w:rPr>
          <w:rFonts w:hint="eastAsia"/>
          <w:lang w:val="en-US" w:eastAsia="zh-CN"/>
        </w:rPr>
        <w:t xml:space="preserve">  </w:t>
      </w:r>
      <w:r>
        <w:rPr>
          <w:rFonts w:hint="eastAsia"/>
          <w:lang w:eastAsia="zh-CN"/>
        </w:rPr>
        <w:t>联系电话：18176875111</w:t>
      </w:r>
      <w:r>
        <w:rPr>
          <w:rFonts w:hint="eastAsia"/>
          <w:color w:val="auto"/>
          <w:lang w:eastAsia="zh-CN"/>
        </w:rPr>
        <w:t>（</w:t>
      </w:r>
      <w:r>
        <w:rPr>
          <w:rFonts w:hint="eastAsia" w:ascii="宋体" w:hAnsi="宋体" w:eastAsia="宋体" w:cs="宋体"/>
          <w:b w:val="0"/>
          <w:i w:val="0"/>
          <w:caps w:val="0"/>
          <w:color w:val="auto"/>
          <w:spacing w:val="0"/>
          <w:sz w:val="21"/>
          <w:szCs w:val="21"/>
        </w:rPr>
        <w:t>标注各自单位名称和“仪商汇”字样</w:t>
      </w:r>
      <w:r>
        <w:rPr>
          <w:rFonts w:hint="eastAsia" w:ascii="宋体" w:hAnsi="宋体" w:cs="宋体"/>
          <w:b w:val="0"/>
          <w:i w:val="0"/>
          <w:caps w:val="0"/>
          <w:color w:val="auto"/>
          <w:spacing w:val="0"/>
          <w:sz w:val="21"/>
          <w:szCs w:val="21"/>
          <w:lang w:eastAsia="zh-CN"/>
        </w:rPr>
        <w:t>，</w:t>
      </w:r>
      <w:r>
        <w:rPr>
          <w:rFonts w:hint="eastAsia" w:ascii="宋体" w:hAnsi="宋体" w:cs="宋体"/>
          <w:b w:val="0"/>
          <w:i w:val="0"/>
          <w:caps w:val="0"/>
          <w:color w:val="auto"/>
          <w:spacing w:val="0"/>
          <w:sz w:val="21"/>
          <w:szCs w:val="21"/>
          <w:lang w:val="en-US" w:eastAsia="zh-CN"/>
        </w:rPr>
        <w:t>货运送到六楼欢宴厅</w:t>
      </w:r>
      <w:r>
        <w:rPr>
          <w:rFonts w:hint="eastAsia"/>
          <w:color w:val="auto"/>
          <w:lang w:eastAsia="zh-CN"/>
        </w:rPr>
        <w:t>）</w:t>
      </w:r>
    </w:p>
    <w:p>
      <w:pPr>
        <w:ind w:firstLine="480" w:firstLineChars="200"/>
        <w:rPr>
          <w:rFonts w:hint="eastAsia"/>
          <w:lang w:val="en-US" w:eastAsia="zh-CN"/>
        </w:rPr>
      </w:pPr>
      <w:r>
        <w:rPr>
          <w:rFonts w:hint="eastAsia"/>
          <w:lang w:val="en-US" w:eastAsia="zh-CN"/>
        </w:rPr>
        <w:t>5、交通线路</w:t>
      </w:r>
    </w:p>
    <w:p>
      <w:pPr>
        <w:ind w:firstLine="482" w:firstLineChars="200"/>
        <w:rPr>
          <w:b/>
          <w:bCs/>
        </w:rPr>
      </w:pPr>
      <w:r>
        <w:rPr>
          <w:b/>
          <w:bCs/>
        </w:rPr>
        <w:t>南宁</w:t>
      </w:r>
      <w:r>
        <w:rPr>
          <w:rFonts w:hint="eastAsia"/>
          <w:b/>
          <w:bCs/>
          <w:lang w:eastAsia="zh-CN"/>
        </w:rPr>
        <w:t>吴圩国际机场</w:t>
      </w:r>
    </w:p>
    <w:p>
      <w:r>
        <w:t>　　沿机场高速行驶2.3公里，靠右</w:t>
      </w:r>
    </w:p>
    <w:p>
      <w:r>
        <w:t>　　继续沿机场高速行驶30米，直行</w:t>
      </w:r>
    </w:p>
    <w:p>
      <w:r>
        <w:t>　　继续沿机场高速行驶3.2公里，直行上</w:t>
      </w:r>
    </w:p>
    <w:p>
      <w:r>
        <w:t>　　沿匝道行驶1.1公里，直行进入南友高速</w:t>
      </w:r>
    </w:p>
    <w:p>
      <w:r>
        <w:t>　　沿南友高速行驶13.2公里，直行</w:t>
      </w:r>
    </w:p>
    <w:p>
      <w:r>
        <w:t>　　继续沿南友高速行驶60米，直行</w:t>
      </w:r>
    </w:p>
    <w:p>
      <w:r>
        <w:t>　　继续沿南友高速行驶80米，直行进入壮锦大道</w:t>
      </w:r>
    </w:p>
    <w:p>
      <w:r>
        <w:t>　　沿壮锦大道行驶2.8公里，朝白沙大道/南建路/南站大道/高棠路方向，靠右进入壮锦大道辅路</w:t>
      </w:r>
    </w:p>
    <w:p>
      <w:r>
        <w:t>　　沿壮锦大道辅路行驶90米，朝白沙大道/南建路/国际会展中心方向，靠右进入壮锦立交</w:t>
      </w:r>
    </w:p>
    <w:p>
      <w:r>
        <w:t>　　沿壮锦立交行驶330米，右前方转弯进入白沙大道辅路</w:t>
      </w:r>
    </w:p>
    <w:p>
      <w:r>
        <w:t>　　沿白沙大道辅路行驶220米，靠右进入白沙大道</w:t>
      </w:r>
    </w:p>
    <w:p>
      <w:r>
        <w:t>　　沿白沙大道行驶3.1公里，靠右进入白沙大道辅路</w:t>
      </w:r>
    </w:p>
    <w:p>
      <w:r>
        <w:t>　　沿白沙大道辅路行驶160米，右转</w:t>
      </w:r>
    </w:p>
    <w:p>
      <w:r>
        <w:t>　　行驶60米，左前方转弯</w:t>
      </w:r>
    </w:p>
    <w:p>
      <w:r>
        <w:t>　　行驶80米，左前方转弯</w:t>
      </w:r>
    </w:p>
    <w:p>
      <w:pPr>
        <w:ind w:firstLine="480" w:firstLineChars="200"/>
      </w:pPr>
      <w:r>
        <w:t>行驶10米，到达终点</w:t>
      </w:r>
    </w:p>
    <w:p>
      <w:pPr>
        <w:ind w:firstLine="482" w:firstLineChars="200"/>
        <w:rPr>
          <w:b/>
          <w:bCs/>
        </w:rPr>
      </w:pPr>
      <w:r>
        <w:rPr>
          <w:rFonts w:hint="eastAsia"/>
          <w:b/>
          <w:bCs/>
          <w:lang w:eastAsia="zh-CN"/>
        </w:rPr>
        <w:t>南宁火车站</w:t>
      </w:r>
    </w:p>
    <w:p>
      <w:r>
        <w:t>　　沿衡友线行驶1.4公里，左转进入北大南路</w:t>
      </w:r>
    </w:p>
    <w:p>
      <w:r>
        <w:t>　　沿北大南路行驶500米，右转进入北际路</w:t>
      </w:r>
    </w:p>
    <w:p>
      <w:r>
        <w:t>　　沿北际路行驶940米，左转进入永和路</w:t>
      </w:r>
    </w:p>
    <w:p>
      <w:r>
        <w:t>　　沿永和路行驶1.7公里，直行进入南建路</w:t>
      </w:r>
    </w:p>
    <w:p>
      <w:r>
        <w:t>　　沿南建路行驶2.1公里，直行进入友谊路</w:t>
      </w:r>
    </w:p>
    <w:p>
      <w:r>
        <w:t>　　沿友谊路行驶10米，朝白沙大道东/星光大道/葫芦鼎大桥方向，靠右进入友谊立交桥</w:t>
      </w:r>
    </w:p>
    <w:p>
      <w:r>
        <w:t>　　沿友谊立交桥行驶320米，直行进入白沙大道</w:t>
      </w:r>
    </w:p>
    <w:p>
      <w:r>
        <w:t>　　沿白沙大道行驶1.4公里，靠右进入白沙大道辅路</w:t>
      </w:r>
    </w:p>
    <w:p>
      <w:r>
        <w:t>　　沿白沙大道辅路行驶160米，右转</w:t>
      </w:r>
    </w:p>
    <w:p>
      <w:r>
        <w:t>　　行驶60米，左前方转弯</w:t>
      </w:r>
    </w:p>
    <w:p>
      <w:r>
        <w:t>　　行驶80米，左前方转弯</w:t>
      </w:r>
    </w:p>
    <w:p>
      <w:pPr>
        <w:ind w:firstLine="480" w:firstLineChars="200"/>
      </w:pPr>
      <w:r>
        <w:t>行驶10米，到达终点</w:t>
      </w:r>
    </w:p>
    <w:p>
      <w:pPr>
        <w:ind w:firstLine="482" w:firstLineChars="200"/>
        <w:rPr>
          <w:rFonts w:hint="eastAsia"/>
          <w:b/>
          <w:bCs/>
          <w:lang w:eastAsia="zh-CN"/>
        </w:rPr>
      </w:pPr>
      <w:r>
        <w:rPr>
          <w:rFonts w:hint="eastAsia"/>
          <w:b/>
          <w:bCs/>
          <w:lang w:eastAsia="zh-CN"/>
        </w:rPr>
        <w:t>南宁东站</w:t>
      </w:r>
    </w:p>
    <w:p>
      <w:r>
        <w:t>　　朝凤岭北路/火车站南广场停车场/佛子岭路/民族大道方向，靠左</w:t>
      </w:r>
    </w:p>
    <w:p>
      <w:r>
        <w:t>　　沿匝道行驶500米，右前方转弯进入凤凰岭路</w:t>
      </w:r>
    </w:p>
    <w:p>
      <w:r>
        <w:t>　　沿凤凰岭路行驶3.5公里，右前方转弯上</w:t>
      </w:r>
    </w:p>
    <w:p>
      <w:r>
        <w:t>　　沿匝道行驶210米，右前方转弯进入民族大道辅路</w:t>
      </w:r>
    </w:p>
    <w:p>
      <w:r>
        <w:t>　　沿民族大道辅路行驶350米，靠右进入民族大道</w:t>
      </w:r>
    </w:p>
    <w:p>
      <w:r>
        <w:t>　　沿民族大道行驶2.2公里，朝快速环路/竹溪大道/白沙大道方向，靠右进入竹溪立交桥</w:t>
      </w:r>
    </w:p>
    <w:p>
      <w:r>
        <w:t>　　沿竹溪立交桥行驶500米，右前方转弯进入竹溪大道</w:t>
      </w:r>
    </w:p>
    <w:p>
      <w:r>
        <w:t>　　沿竹溪大道行驶5.0公里，直行进入白沙大道</w:t>
      </w:r>
    </w:p>
    <w:p>
      <w:r>
        <w:t>　　沿白沙大道行驶2.4公里，靠右进入白沙大道辅路</w:t>
      </w:r>
    </w:p>
    <w:p>
      <w:r>
        <w:t>　　沿白沙大道辅路行驶570米，左转进入星光大道</w:t>
      </w:r>
    </w:p>
    <w:p>
      <w:r>
        <w:t>　　沿星光大道行驶280米，右后方转弯</w:t>
      </w:r>
    </w:p>
    <w:p>
      <w:r>
        <w:t>　　行驶230米，靠左</w:t>
      </w:r>
    </w:p>
    <w:p>
      <w:r>
        <w:t>　　行驶100米，到达终点</w:t>
      </w:r>
    </w:p>
    <w:p>
      <w:pPr>
        <w:spacing w:line="360" w:lineRule="auto"/>
        <w:rPr>
          <w:rFonts w:hint="eastAsia" w:ascii="宋体" w:hAnsi="宋体" w:eastAsia="宋体" w:cs="宋体"/>
          <w:b/>
          <w:sz w:val="24"/>
        </w:rPr>
      </w:pPr>
    </w:p>
    <w:p>
      <w:pPr>
        <w:spacing w:line="360" w:lineRule="auto"/>
        <w:rPr>
          <w:rFonts w:ascii="宋体" w:hAnsi="宋体" w:eastAsia="宋体" w:cs="宋体"/>
          <w:b/>
          <w:sz w:val="24"/>
        </w:rPr>
      </w:pPr>
      <w:r>
        <w:rPr>
          <w:rFonts w:hint="eastAsia" w:ascii="宋体" w:hAnsi="宋体" w:eastAsia="宋体" w:cs="宋体"/>
          <w:b/>
          <w:sz w:val="24"/>
        </w:rPr>
        <w:t>五、组织机构：</w:t>
      </w:r>
    </w:p>
    <w:p>
      <w:pPr>
        <w:spacing w:line="360" w:lineRule="auto"/>
        <w:ind w:firstLine="480" w:firstLineChars="200"/>
        <w:rPr>
          <w:rFonts w:ascii="宋体" w:hAnsi="宋体" w:eastAsia="宋体" w:cs="宋体"/>
          <w:sz w:val="24"/>
        </w:rPr>
      </w:pPr>
      <w:r>
        <w:rPr>
          <w:rFonts w:hint="eastAsia" w:ascii="宋体" w:hAnsi="宋体" w:eastAsia="宋体" w:cs="宋体"/>
          <w:sz w:val="24"/>
        </w:rPr>
        <w:t>主办单位：中国仪器仪表行业协会代理商分会</w:t>
      </w:r>
    </w:p>
    <w:p>
      <w:pPr>
        <w:spacing w:line="360" w:lineRule="auto"/>
        <w:ind w:firstLine="1680" w:firstLineChars="700"/>
        <w:rPr>
          <w:rFonts w:ascii="宋体" w:hAnsi="宋体" w:eastAsia="宋体" w:cs="宋体"/>
          <w:sz w:val="24"/>
        </w:rPr>
      </w:pPr>
      <w:r>
        <w:rPr>
          <w:rFonts w:hint="eastAsia" w:ascii="宋体" w:hAnsi="宋体" w:eastAsia="宋体" w:cs="宋体"/>
          <w:sz w:val="24"/>
        </w:rPr>
        <w:t>仪众国际网（www.1718china.com）</w:t>
      </w:r>
    </w:p>
    <w:p>
      <w:pPr>
        <w:spacing w:line="360" w:lineRule="auto"/>
        <w:ind w:firstLine="480" w:firstLineChars="200"/>
        <w:rPr>
          <w:rFonts w:ascii="宋体" w:hAnsi="宋体" w:eastAsia="宋体" w:cs="宋体"/>
          <w:sz w:val="24"/>
        </w:rPr>
      </w:pPr>
      <w:r>
        <w:rPr>
          <w:rFonts w:hint="eastAsia" w:ascii="宋体" w:hAnsi="宋体" w:eastAsia="宋体" w:cs="宋体"/>
          <w:sz w:val="24"/>
        </w:rPr>
        <w:t>承办单位：仪众天下（北京）广告传媒有限公司</w:t>
      </w:r>
    </w:p>
    <w:p>
      <w:pPr>
        <w:spacing w:line="360" w:lineRule="auto"/>
        <w:ind w:firstLine="480" w:firstLineChars="200"/>
        <w:rPr>
          <w:rFonts w:hint="eastAsia" w:ascii="Arial" w:hAnsi="Arial" w:cs="Arial"/>
          <w:sz w:val="24"/>
          <w:shd w:val="clear" w:color="auto" w:fill="FFFFFF"/>
        </w:rPr>
      </w:pPr>
      <w:r>
        <w:rPr>
          <w:rFonts w:hint="eastAsia" w:ascii="宋体" w:hAnsi="宋体" w:eastAsia="宋体" w:cs="宋体"/>
          <w:sz w:val="24"/>
        </w:rPr>
        <w:t>协办单位：</w:t>
      </w:r>
      <w:r>
        <w:rPr>
          <w:rFonts w:hint="eastAsia" w:ascii="Arial" w:hAnsi="Arial" w:cs="Arial"/>
          <w:sz w:val="24"/>
          <w:shd w:val="clear" w:color="auto" w:fill="FFFFFF"/>
        </w:rPr>
        <w:t>广西</w:t>
      </w:r>
      <w:r>
        <w:rPr>
          <w:rFonts w:ascii="Arial" w:hAnsi="Arial" w:cs="Arial"/>
          <w:sz w:val="24"/>
          <w:shd w:val="clear" w:color="auto" w:fill="FFFFFF"/>
        </w:rPr>
        <w:t>分析</w:t>
      </w:r>
      <w:r>
        <w:rPr>
          <w:rFonts w:hint="eastAsia" w:ascii="Arial" w:hAnsi="Arial" w:cs="Arial"/>
          <w:sz w:val="24"/>
          <w:shd w:val="clear" w:color="auto" w:fill="FFFFFF"/>
        </w:rPr>
        <w:t>测试协会</w:t>
      </w:r>
    </w:p>
    <w:p>
      <w:pPr>
        <w:spacing w:line="360" w:lineRule="auto"/>
        <w:ind w:firstLine="480" w:firstLineChars="200"/>
        <w:rPr>
          <w:rFonts w:hint="eastAsia" w:ascii="Arial" w:hAnsi="Arial" w:eastAsia="宋体" w:cs="Arial"/>
          <w:sz w:val="24"/>
          <w:shd w:val="clear" w:color="auto" w:fill="FFFFFF"/>
          <w:lang w:val="en-US" w:eastAsia="zh-CN"/>
        </w:rPr>
      </w:pPr>
      <w:r>
        <w:rPr>
          <w:rFonts w:hint="eastAsia" w:ascii="Arial" w:hAnsi="Arial" w:cs="Arial"/>
          <w:sz w:val="24"/>
          <w:shd w:val="clear" w:color="auto" w:fill="FFFFFF"/>
          <w:lang w:val="en-US" w:eastAsia="zh-CN"/>
        </w:rPr>
        <w:t xml:space="preserve">          </w:t>
      </w:r>
      <w:r>
        <w:t>南宁蓝天实验设备有限公司</w:t>
      </w:r>
    </w:p>
    <w:p>
      <w:pPr>
        <w:spacing w:line="360" w:lineRule="auto"/>
        <w:ind w:firstLine="1660" w:firstLineChars="692"/>
        <w:rPr>
          <w:rFonts w:ascii="宋体" w:hAnsi="宋体" w:eastAsia="宋体" w:cs="宋体"/>
          <w:sz w:val="24"/>
        </w:rPr>
      </w:pPr>
      <w:r>
        <w:rPr>
          <w:rFonts w:hint="eastAsia" w:ascii="宋体" w:hAnsi="宋体" w:eastAsia="宋体" w:cs="宋体"/>
          <w:sz w:val="24"/>
        </w:rPr>
        <w:t>广西桂测科技有限公司</w:t>
      </w:r>
    </w:p>
    <w:p>
      <w:pPr>
        <w:spacing w:line="360" w:lineRule="auto"/>
        <w:ind w:firstLine="465"/>
        <w:rPr>
          <w:rFonts w:ascii="宋体" w:hAnsi="宋体" w:eastAsia="宋体" w:cs="宋体"/>
          <w:sz w:val="24"/>
        </w:rPr>
      </w:pPr>
      <w:r>
        <w:rPr>
          <w:rFonts w:hint="eastAsia" w:ascii="宋体" w:hAnsi="宋体" w:eastAsia="宋体" w:cs="宋体"/>
          <w:sz w:val="24"/>
        </w:rPr>
        <w:t>合作媒体：仪众国际网</w:t>
      </w:r>
      <w:r>
        <w:rPr>
          <w:rFonts w:ascii="宋体" w:hAnsi="宋体" w:eastAsia="宋体" w:cs="宋体"/>
          <w:sz w:val="24"/>
        </w:rPr>
        <w:br w:type="textWrapping"/>
      </w:r>
      <w:r>
        <w:rPr>
          <w:rFonts w:ascii="宋体" w:hAnsi="宋体" w:eastAsia="宋体" w:cs="宋体"/>
          <w:sz w:val="24"/>
        </w:rPr>
        <w:br w:type="textWrapping"/>
      </w:r>
      <w:r>
        <w:rPr>
          <w:rFonts w:hint="eastAsia" w:ascii="宋体" w:hAnsi="宋体" w:eastAsia="宋体" w:cs="宋体"/>
          <w:b/>
          <w:sz w:val="24"/>
        </w:rPr>
        <w:t>六、参会事项：</w:t>
      </w:r>
      <w:r>
        <w:rPr>
          <w:rFonts w:ascii="宋体" w:hAnsi="宋体" w:eastAsia="宋体" w:cs="宋体"/>
          <w:b/>
          <w:sz w:val="24"/>
        </w:rPr>
        <w:br w:type="textWrapping"/>
      </w:r>
      <w:r>
        <w:rPr>
          <w:rFonts w:hint="eastAsia" w:ascii="宋体" w:hAnsi="宋体" w:eastAsia="宋体" w:cs="宋体"/>
          <w:b/>
          <w:sz w:val="24"/>
        </w:rPr>
        <w:t>1）、厂商参会----</w:t>
      </w:r>
      <w:r>
        <w:rPr>
          <w:rFonts w:hint="eastAsia" w:ascii="宋体" w:hAnsi="宋体" w:eastAsia="宋体" w:cs="宋体"/>
          <w:sz w:val="24"/>
        </w:rPr>
        <w:t>会议注册费： 1000元/人（包含资料费、午宴费、</w:t>
      </w:r>
      <w:r>
        <w:rPr>
          <w:rFonts w:hint="eastAsia" w:ascii="宋体" w:hAnsi="宋体" w:cs="宋体"/>
          <w:sz w:val="24"/>
          <w:lang w:eastAsia="zh-CN"/>
        </w:rPr>
        <w:t>抽奖</w:t>
      </w:r>
      <w:r>
        <w:rPr>
          <w:rFonts w:hint="eastAsia" w:ascii="宋体" w:hAnsi="宋体" w:eastAsia="宋体" w:cs="宋体"/>
          <w:sz w:val="24"/>
        </w:rPr>
        <w:t>券、会议通讯录）</w:t>
      </w:r>
    </w:p>
    <w:p>
      <w:pPr>
        <w:numPr>
          <w:ilvl w:val="0"/>
          <w:numId w:val="2"/>
        </w:numPr>
        <w:spacing w:line="360" w:lineRule="auto"/>
        <w:rPr>
          <w:rFonts w:asciiTheme="minorEastAsia" w:hAnsiTheme="minorEastAsia"/>
          <w:b/>
          <w:sz w:val="24"/>
        </w:rPr>
      </w:pPr>
      <w:r>
        <w:rPr>
          <w:rFonts w:hint="eastAsia" w:ascii="宋体" w:hAnsi="宋体" w:eastAsia="宋体" w:cs="宋体"/>
          <w:sz w:val="24"/>
        </w:rPr>
        <w:t>、</w:t>
      </w:r>
      <w:r>
        <w:rPr>
          <w:rFonts w:hint="eastAsia" w:ascii="宋体" w:hAnsi="宋体" w:eastAsia="宋体" w:cs="宋体"/>
          <w:b/>
          <w:sz w:val="24"/>
        </w:rPr>
        <w:t>代理商、经销商---免费参会</w:t>
      </w:r>
      <w:r>
        <w:rPr>
          <w:rFonts w:hint="eastAsia" w:ascii="宋体" w:hAnsi="宋体" w:eastAsia="宋体" w:cs="宋体"/>
          <w:sz w:val="24"/>
        </w:rPr>
        <w:t>（限每单位管理层高管两人）</w:t>
      </w:r>
      <w:r>
        <w:rPr>
          <w:rFonts w:hint="eastAsia" w:asciiTheme="minorEastAsia" w:hAnsiTheme="minorEastAsia"/>
          <w:sz w:val="24"/>
        </w:rPr>
        <w:t>因场地有限，请提前填写报名</w:t>
      </w:r>
      <w:r>
        <w:rPr>
          <w:rFonts w:hint="eastAsia" w:asciiTheme="minorEastAsia" w:hAnsiTheme="minorEastAsia"/>
          <w:sz w:val="24"/>
          <w:lang w:eastAsia="zh-CN"/>
        </w:rPr>
        <w:t>回执</w:t>
      </w:r>
      <w:r>
        <w:rPr>
          <w:rFonts w:hint="eastAsia" w:asciiTheme="minorEastAsia" w:hAnsiTheme="minorEastAsia"/>
          <w:sz w:val="24"/>
        </w:rPr>
        <w:t>单，将免费领取会议资料、会议午餐、参与会议抽奖及慈善拍卖活动等内容，主办方将根据</w:t>
      </w:r>
      <w:r>
        <w:rPr>
          <w:rFonts w:hint="eastAsia" w:asciiTheme="minorEastAsia" w:hAnsiTheme="minorEastAsia"/>
          <w:sz w:val="24"/>
          <w:lang w:eastAsia="zh-CN"/>
        </w:rPr>
        <w:t>回执</w:t>
      </w:r>
      <w:r>
        <w:rPr>
          <w:rFonts w:hint="eastAsia" w:asciiTheme="minorEastAsia" w:hAnsiTheme="minorEastAsia"/>
          <w:sz w:val="24"/>
        </w:rPr>
        <w:t>安排座位。</w:t>
      </w:r>
    </w:p>
    <w:p>
      <w:pPr>
        <w:numPr>
          <w:ilvl w:val="0"/>
          <w:numId w:val="2"/>
        </w:numPr>
        <w:spacing w:line="360" w:lineRule="auto"/>
        <w:rPr>
          <w:rFonts w:asciiTheme="minorEastAsia" w:hAnsiTheme="minorEastAsia"/>
          <w:b/>
          <w:sz w:val="24"/>
        </w:rPr>
      </w:pPr>
      <w:r>
        <w:rPr>
          <w:rFonts w:hint="eastAsia" w:asciiTheme="minorEastAsia" w:hAnsiTheme="minorEastAsia"/>
          <w:sz w:val="24"/>
        </w:rPr>
        <w:t>、</w:t>
      </w:r>
      <w:r>
        <w:rPr>
          <w:rFonts w:hint="eastAsia" w:asciiTheme="minorEastAsia" w:hAnsiTheme="minorEastAsia"/>
          <w:b/>
          <w:sz w:val="24"/>
        </w:rPr>
        <w:t>用户（仪器使用单位）</w:t>
      </w:r>
      <w:r>
        <w:rPr>
          <w:rFonts w:hint="eastAsia" w:ascii="宋体" w:hAnsi="宋体" w:eastAsia="宋体" w:cs="宋体"/>
          <w:b/>
          <w:sz w:val="24"/>
        </w:rPr>
        <w:t xml:space="preserve">免费参会 </w:t>
      </w:r>
      <w:r>
        <w:rPr>
          <w:rFonts w:hint="eastAsia" w:asciiTheme="minorEastAsia" w:hAnsiTheme="minorEastAsia"/>
          <w:sz w:val="24"/>
        </w:rPr>
        <w:t>因场地有限，请提前填写报名</w:t>
      </w:r>
      <w:r>
        <w:rPr>
          <w:rFonts w:hint="eastAsia" w:asciiTheme="minorEastAsia" w:hAnsiTheme="minorEastAsia"/>
          <w:sz w:val="24"/>
          <w:lang w:eastAsia="zh-CN"/>
        </w:rPr>
        <w:t>回执</w:t>
      </w:r>
      <w:r>
        <w:rPr>
          <w:rFonts w:hint="eastAsia" w:asciiTheme="minorEastAsia" w:hAnsiTheme="minorEastAsia"/>
          <w:sz w:val="24"/>
        </w:rPr>
        <w:t>单，将免费领取会议资料、会议午餐，可参与会议抽奖及慈善拍卖活动等内容，主办方将根据</w:t>
      </w:r>
      <w:r>
        <w:rPr>
          <w:rFonts w:hint="eastAsia" w:asciiTheme="minorEastAsia" w:hAnsiTheme="minorEastAsia"/>
          <w:sz w:val="24"/>
          <w:lang w:eastAsia="zh-CN"/>
        </w:rPr>
        <w:t>回执</w:t>
      </w:r>
      <w:r>
        <w:rPr>
          <w:rFonts w:hint="eastAsia" w:asciiTheme="minorEastAsia" w:hAnsiTheme="minorEastAsia"/>
          <w:sz w:val="24"/>
        </w:rPr>
        <w:t>安排座位。</w:t>
      </w:r>
    </w:p>
    <w:p>
      <w:pPr>
        <w:spacing w:line="360" w:lineRule="auto"/>
        <w:ind w:left="480" w:leftChars="200" w:firstLine="120" w:firstLineChars="50"/>
        <w:rPr>
          <w:rFonts w:ascii="宋体" w:hAnsi="宋体" w:eastAsia="宋体" w:cs="宋体"/>
          <w:sz w:val="24"/>
        </w:rPr>
      </w:pPr>
      <w:r>
        <w:rPr>
          <w:rFonts w:hint="eastAsia" w:ascii="宋体" w:hAnsi="宋体" w:eastAsia="宋体" w:cs="宋体"/>
          <w:sz w:val="24"/>
        </w:rPr>
        <w:t>有意向参加会议的代表请</w:t>
      </w:r>
      <w:r>
        <w:rPr>
          <w:rFonts w:hint="eastAsia" w:ascii="宋体" w:hAnsi="宋体" w:cs="宋体"/>
          <w:sz w:val="24"/>
          <w:lang w:eastAsia="zh-CN"/>
        </w:rPr>
        <w:t>于</w:t>
      </w:r>
      <w:r>
        <w:rPr>
          <w:rFonts w:hint="eastAsia" w:ascii="宋体" w:hAnsi="宋体" w:eastAsia="宋体" w:cs="宋体"/>
          <w:sz w:val="24"/>
        </w:rPr>
        <w:t>10</w:t>
      </w:r>
      <w:r>
        <w:rPr>
          <w:rFonts w:hint="eastAsia" w:ascii="宋体" w:hAnsi="宋体" w:cs="宋体"/>
          <w:sz w:val="24"/>
          <w:lang w:eastAsia="zh-CN"/>
        </w:rPr>
        <w:t>月</w:t>
      </w:r>
      <w:r>
        <w:rPr>
          <w:rFonts w:hint="eastAsia" w:ascii="宋体" w:hAnsi="宋体" w:eastAsia="宋体" w:cs="宋体"/>
          <w:sz w:val="24"/>
        </w:rPr>
        <w:t>25日前将会议回执发送至以下联系方式</w:t>
      </w:r>
    </w:p>
    <w:p>
      <w:pPr>
        <w:autoSpaceDE w:val="0"/>
        <w:autoSpaceDN w:val="0"/>
        <w:adjustRightInd w:val="0"/>
        <w:spacing w:line="360" w:lineRule="auto"/>
        <w:rPr>
          <w:rFonts w:ascii="宋体" w:hAnsi="宋体" w:eastAsia="宋体" w:cs="宋体"/>
          <w:bCs/>
          <w:color w:val="000000"/>
          <w:kern w:val="0"/>
          <w:sz w:val="24"/>
        </w:rPr>
      </w:pPr>
      <w:r>
        <w:rPr>
          <w:rFonts w:hint="eastAsia" w:ascii="宋体" w:hAnsi="宋体" w:eastAsia="宋体" w:cs="宋体"/>
          <w:bCs/>
          <w:color w:val="000000"/>
          <w:kern w:val="0"/>
          <w:sz w:val="24"/>
        </w:rPr>
        <w:t xml:space="preserve">联系人：王烨培  18710292655  </w:t>
      </w: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sz w:val="24"/>
        </w:rPr>
        <w:br w:type="textWrapping"/>
      </w:r>
      <w:r>
        <w:rPr>
          <w:rFonts w:hint="eastAsia" w:ascii="宋体" w:hAnsi="宋体" w:eastAsia="宋体" w:cs="宋体"/>
          <w:b/>
          <w:bCs/>
          <w:color w:val="000000" w:themeColor="text1"/>
          <w:sz w:val="24"/>
          <w14:textFill>
            <w14:solidFill>
              <w14:schemeClr w14:val="tx1"/>
            </w14:solidFill>
          </w14:textFill>
        </w:rPr>
        <w:t>七、付款方式：</w:t>
      </w:r>
      <w:r>
        <w:rPr>
          <w:rFonts w:hint="eastAsia" w:ascii="宋体" w:hAnsi="宋体" w:eastAsia="宋体" w:cs="宋体"/>
          <w:bCs/>
          <w:sz w:val="24"/>
        </w:rPr>
        <w:t>会务费请在报名后5个工作日内电汇至以下账户</w:t>
      </w:r>
      <w:r>
        <w:rPr>
          <w:rFonts w:hint="eastAsia" w:ascii="宋体" w:hAnsi="宋体" w:eastAsia="宋体" w:cs="宋体"/>
          <w:color w:val="000000" w:themeColor="text1"/>
          <w:sz w:val="24"/>
          <w14:textFill>
            <w14:solidFill>
              <w14:schemeClr w14:val="tx1"/>
            </w14:solidFill>
          </w14:textFill>
        </w:rPr>
        <w:br w:type="textWrapping"/>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对公账户：仪众天下（北京）广告传媒有限公司</w:t>
      </w:r>
      <w:r>
        <w:rPr>
          <w:rFonts w:hint="eastAsia" w:ascii="宋体" w:hAnsi="宋体" w:eastAsia="宋体" w:cs="宋体"/>
          <w:color w:val="000000" w:themeColor="text1"/>
          <w:sz w:val="24"/>
          <w14:textFill>
            <w14:solidFill>
              <w14:schemeClr w14:val="tx1"/>
            </w14:solidFill>
          </w14:textFill>
        </w:rPr>
        <w:br w:type="textWrapping"/>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开户行：工商银行世纪城支行</w:t>
      </w:r>
    </w:p>
    <w:p>
      <w:pPr>
        <w:tabs>
          <w:tab w:val="left" w:pos="105"/>
        </w:tabs>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银行账号：0200  2283  0920  1061  201</w:t>
      </w:r>
    </w:p>
    <w:p>
      <w:pPr>
        <w:tabs>
          <w:tab w:val="left" w:pos="105"/>
        </w:tabs>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ascii="楷体" w:hAnsi="楷体" w:eastAsia="楷体"/>
          <w:b/>
          <w:color w:val="000000" w:themeColor="text1"/>
          <w:sz w:val="28"/>
          <w:szCs w:val="28"/>
          <w14:textFill>
            <w14:solidFill>
              <w14:schemeClr w14:val="tx1"/>
            </w14:solidFill>
          </w14:textFill>
        </w:rPr>
      </w:pPr>
      <w:bookmarkStart w:id="0" w:name="_GoBack"/>
      <w:bookmarkEnd w:id="0"/>
    </w:p>
    <w:p>
      <w:pPr>
        <w:spacing w:line="400" w:lineRule="exact"/>
        <w:jc w:val="right"/>
        <w:rPr>
          <w:rFonts w:asciiTheme="minorEastAsia" w:hAnsiTheme="minorEastAsia" w:cstheme="minorEastAsia"/>
          <w:sz w:val="28"/>
          <w:szCs w:val="28"/>
        </w:rPr>
      </w:pPr>
      <w:r>
        <w:rPr>
          <w:rFonts w:hint="eastAsia" w:asciiTheme="minorEastAsia" w:hAnsiTheme="minorEastAsia" w:cstheme="minorEastAsia"/>
          <w:sz w:val="28"/>
          <w:szCs w:val="28"/>
        </w:rPr>
        <w:t>广西</w:t>
      </w:r>
      <w:r>
        <w:rPr>
          <w:rFonts w:asciiTheme="minorEastAsia" w:hAnsiTheme="minorEastAsia" w:cstheme="minorEastAsia"/>
          <w:sz w:val="28"/>
          <w:szCs w:val="28"/>
        </w:rPr>
        <w:t>分析</w:t>
      </w:r>
      <w:r>
        <w:rPr>
          <w:rFonts w:hint="eastAsia" w:asciiTheme="minorEastAsia" w:hAnsiTheme="minorEastAsia" w:cstheme="minorEastAsia"/>
          <w:sz w:val="28"/>
          <w:szCs w:val="28"/>
        </w:rPr>
        <w:t>测试协会             中国仪器仪表行业协会</w:t>
      </w:r>
    </w:p>
    <w:p>
      <w:pPr>
        <w:spacing w:line="400" w:lineRule="exact"/>
        <w:ind w:firstLine="5600" w:firstLineChars="2000"/>
        <w:jc w:val="right"/>
        <w:rPr>
          <w:rFonts w:asciiTheme="minorEastAsia" w:hAnsiTheme="minorEastAsia" w:cstheme="minorEastAsia"/>
          <w:sz w:val="28"/>
          <w:szCs w:val="28"/>
        </w:rPr>
      </w:pPr>
      <w:r>
        <w:rPr>
          <w:rFonts w:hint="eastAsia" w:asciiTheme="minorEastAsia" w:hAnsiTheme="minorEastAsia" w:cstheme="minorEastAsia"/>
          <w:sz w:val="28"/>
          <w:szCs w:val="28"/>
        </w:rPr>
        <w:t xml:space="preserve">代理商分会      </w:t>
      </w:r>
    </w:p>
    <w:p>
      <w:pPr>
        <w:spacing w:line="400" w:lineRule="exact"/>
        <w:ind w:firstLine="5622" w:firstLineChars="2000"/>
        <w:rPr>
          <w:rFonts w:ascii="楷体" w:hAnsi="楷体" w:eastAsia="楷体"/>
          <w:b/>
          <w:color w:val="000000" w:themeColor="text1"/>
          <w:sz w:val="28"/>
          <w:szCs w:val="28"/>
          <w14:textFill>
            <w14:solidFill>
              <w14:schemeClr w14:val="tx1"/>
            </w14:solidFill>
          </w14:textFill>
        </w:rPr>
      </w:pPr>
    </w:p>
    <w:p>
      <w:pPr>
        <w:spacing w:line="400" w:lineRule="exact"/>
        <w:ind w:firstLine="4070" w:firstLineChars="1850"/>
        <w:jc w:val="right"/>
        <w:rPr>
          <w:rFonts w:ascii="微软雅黑" w:hAnsi="微软雅黑" w:eastAsia="微软雅黑"/>
          <w:b/>
          <w:sz w:val="22"/>
          <w:szCs w:val="22"/>
        </w:rPr>
      </w:pPr>
      <w:r>
        <w:rPr>
          <w:rFonts w:hint="eastAsia" w:ascii="微软雅黑" w:hAnsi="微软雅黑" w:eastAsia="微软雅黑"/>
          <w:bCs/>
          <w:sz w:val="22"/>
          <w:szCs w:val="22"/>
        </w:rPr>
        <w:t xml:space="preserve"> 2017年10月</w:t>
      </w:r>
      <w:r>
        <w:rPr>
          <w:rFonts w:hint="eastAsia" w:ascii="微软雅黑" w:hAnsi="微软雅黑" w:eastAsia="微软雅黑"/>
          <w:bCs/>
          <w:sz w:val="22"/>
          <w:szCs w:val="22"/>
          <w:lang w:val="en-US" w:eastAsia="zh-CN"/>
        </w:rPr>
        <w:t>13</w:t>
      </w:r>
      <w:r>
        <w:rPr>
          <w:rFonts w:hint="eastAsia" w:ascii="微软雅黑" w:hAnsi="微软雅黑" w:eastAsia="微软雅黑"/>
          <w:bCs/>
          <w:sz w:val="22"/>
          <w:szCs w:val="22"/>
        </w:rPr>
        <w:t>日</w:t>
      </w:r>
    </w:p>
    <w:p>
      <w:pPr>
        <w:spacing w:line="400" w:lineRule="exact"/>
        <w:rPr>
          <w:rFonts w:ascii="楷体" w:hAnsi="楷体" w:eastAsia="楷体" w:cs="仿宋_GB2312"/>
          <w:color w:val="FF0000"/>
          <w:sz w:val="28"/>
          <w:szCs w:val="28"/>
        </w:rPr>
      </w:pPr>
    </w:p>
    <w:p>
      <w:pPr>
        <w:spacing w:line="400" w:lineRule="exact"/>
        <w:rPr>
          <w:rFonts w:ascii="楷体" w:hAnsi="楷体" w:eastAsia="楷体" w:cs="仿宋_GB2312"/>
          <w:color w:val="FF0000"/>
          <w:sz w:val="28"/>
          <w:szCs w:val="28"/>
        </w:rPr>
      </w:pPr>
    </w:p>
    <w:p>
      <w:pPr>
        <w:spacing w:line="400" w:lineRule="exact"/>
        <w:rPr>
          <w:rFonts w:ascii="楷体" w:hAnsi="楷体" w:eastAsia="楷体" w:cs="仿宋_GB2312"/>
          <w:color w:val="FF0000"/>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cs="仿宋_GB2312" w:asciiTheme="minorEastAsia" w:hAnsiTheme="minorEastAsia"/>
          <w:b/>
          <w:color w:val="FF0000"/>
          <w:sz w:val="28"/>
          <w:szCs w:val="28"/>
        </w:rPr>
      </w:pPr>
      <w:r>
        <w:rPr>
          <w:rFonts w:hint="eastAsia" w:cs="仿宋_GB2312" w:asciiTheme="minorEastAsia" w:hAnsiTheme="minorEastAsia"/>
          <w:b/>
          <w:sz w:val="28"/>
          <w:szCs w:val="28"/>
        </w:rPr>
        <w:t>报名回执单</w:t>
      </w:r>
    </w:p>
    <w:p>
      <w:pPr>
        <w:spacing w:line="400" w:lineRule="exact"/>
        <w:rPr>
          <w:rFonts w:ascii="楷体" w:hAnsi="楷体" w:eastAsia="楷体" w:cs="仿宋_GB2312"/>
          <w:color w:val="FF0000"/>
          <w:sz w:val="28"/>
          <w:szCs w:val="28"/>
        </w:rPr>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113"/>
        <w:gridCol w:w="2976"/>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spacing w:line="480" w:lineRule="exact"/>
              <w:jc w:val="left"/>
              <w:rPr>
                <w:rFonts w:ascii="宋体" w:hAnsi="宋体"/>
                <w:b/>
                <w:sz w:val="24"/>
              </w:rPr>
            </w:pPr>
            <w:r>
              <w:rPr>
                <w:rFonts w:hint="eastAsia" w:ascii="宋体" w:hAnsi="宋体"/>
                <w:b/>
                <w:sz w:val="24"/>
              </w:rPr>
              <w:t>单位名称</w:t>
            </w:r>
          </w:p>
        </w:tc>
        <w:tc>
          <w:tcPr>
            <w:tcW w:w="6945" w:type="dxa"/>
            <w:gridSpan w:val="3"/>
          </w:tcPr>
          <w:p>
            <w:pPr>
              <w:spacing w:line="480" w:lineRule="exact"/>
              <w:jc w:val="lef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668" w:type="dxa"/>
          </w:tcPr>
          <w:p>
            <w:pPr>
              <w:spacing w:line="480" w:lineRule="exact"/>
              <w:jc w:val="left"/>
              <w:rPr>
                <w:rFonts w:ascii="宋体" w:hAnsi="宋体"/>
                <w:b/>
                <w:sz w:val="24"/>
              </w:rPr>
            </w:pPr>
            <w:r>
              <w:rPr>
                <w:rFonts w:hint="eastAsia" w:ascii="宋体" w:hAnsi="宋体"/>
                <w:b/>
                <w:sz w:val="24"/>
              </w:rPr>
              <w:t>详细地址</w:t>
            </w:r>
          </w:p>
        </w:tc>
        <w:tc>
          <w:tcPr>
            <w:tcW w:w="6945" w:type="dxa"/>
            <w:gridSpan w:val="3"/>
          </w:tcPr>
          <w:p>
            <w:pPr>
              <w:spacing w:line="480" w:lineRule="exact"/>
              <w:jc w:val="lef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spacing w:line="480" w:lineRule="exact"/>
              <w:jc w:val="left"/>
              <w:rPr>
                <w:rFonts w:ascii="宋体" w:hAnsi="宋体"/>
                <w:b/>
                <w:sz w:val="24"/>
              </w:rPr>
            </w:pPr>
            <w:r>
              <w:rPr>
                <w:rFonts w:hint="eastAsia" w:ascii="宋体" w:hAnsi="宋体"/>
                <w:b/>
                <w:sz w:val="24"/>
              </w:rPr>
              <w:t>参会人员</w:t>
            </w:r>
          </w:p>
        </w:tc>
        <w:tc>
          <w:tcPr>
            <w:tcW w:w="2113" w:type="dxa"/>
          </w:tcPr>
          <w:p>
            <w:pPr>
              <w:spacing w:line="480" w:lineRule="exact"/>
              <w:jc w:val="left"/>
              <w:rPr>
                <w:rFonts w:ascii="宋体" w:hAnsi="宋体"/>
                <w:b/>
                <w:sz w:val="24"/>
              </w:rPr>
            </w:pPr>
            <w:r>
              <w:rPr>
                <w:rFonts w:hint="eastAsia" w:ascii="宋体" w:hAnsi="宋体"/>
                <w:b/>
                <w:sz w:val="24"/>
              </w:rPr>
              <w:t>职务</w:t>
            </w:r>
          </w:p>
        </w:tc>
        <w:tc>
          <w:tcPr>
            <w:tcW w:w="2976" w:type="dxa"/>
          </w:tcPr>
          <w:p>
            <w:pPr>
              <w:spacing w:line="480" w:lineRule="exact"/>
              <w:jc w:val="left"/>
              <w:rPr>
                <w:rFonts w:ascii="宋体" w:hAnsi="宋体"/>
                <w:b/>
                <w:sz w:val="24"/>
              </w:rPr>
            </w:pPr>
            <w:r>
              <w:rPr>
                <w:rFonts w:ascii="宋体" w:hAnsi="宋体"/>
                <w:b/>
                <w:sz w:val="24"/>
              </w:rPr>
              <w:t>联系方式</w:t>
            </w:r>
          </w:p>
        </w:tc>
        <w:tc>
          <w:tcPr>
            <w:tcW w:w="1856" w:type="dxa"/>
          </w:tcPr>
          <w:p>
            <w:pPr>
              <w:spacing w:line="480" w:lineRule="exact"/>
              <w:jc w:val="left"/>
              <w:rPr>
                <w:rFonts w:ascii="宋体" w:hAnsi="宋体"/>
                <w:b/>
                <w:sz w:val="24"/>
              </w:rPr>
            </w:pPr>
            <w:r>
              <w:rPr>
                <w:rFonts w:hint="eastAsia" w:ascii="宋体" w:hAnsi="宋体"/>
                <w:b/>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spacing w:line="480" w:lineRule="exact"/>
              <w:jc w:val="left"/>
              <w:rPr>
                <w:rFonts w:ascii="宋体" w:hAnsi="宋体"/>
                <w:b/>
                <w:sz w:val="24"/>
              </w:rPr>
            </w:pPr>
          </w:p>
        </w:tc>
        <w:tc>
          <w:tcPr>
            <w:tcW w:w="2113" w:type="dxa"/>
          </w:tcPr>
          <w:p>
            <w:pPr>
              <w:spacing w:line="480" w:lineRule="exact"/>
              <w:jc w:val="left"/>
              <w:rPr>
                <w:rFonts w:ascii="宋体" w:hAnsi="宋体"/>
                <w:b/>
                <w:sz w:val="24"/>
              </w:rPr>
            </w:pPr>
          </w:p>
        </w:tc>
        <w:tc>
          <w:tcPr>
            <w:tcW w:w="2976" w:type="dxa"/>
          </w:tcPr>
          <w:p>
            <w:pPr>
              <w:spacing w:line="480" w:lineRule="exact"/>
              <w:jc w:val="left"/>
              <w:rPr>
                <w:rFonts w:ascii="宋体" w:hAnsi="宋体"/>
                <w:b/>
                <w:sz w:val="24"/>
              </w:rPr>
            </w:pPr>
          </w:p>
        </w:tc>
        <w:tc>
          <w:tcPr>
            <w:tcW w:w="1856" w:type="dxa"/>
          </w:tcPr>
          <w:p>
            <w:pPr>
              <w:spacing w:line="480" w:lineRule="exact"/>
              <w:jc w:val="lef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spacing w:line="480" w:lineRule="exact"/>
              <w:jc w:val="left"/>
              <w:rPr>
                <w:rFonts w:ascii="宋体" w:hAnsi="宋体"/>
                <w:b/>
                <w:sz w:val="24"/>
              </w:rPr>
            </w:pPr>
          </w:p>
        </w:tc>
        <w:tc>
          <w:tcPr>
            <w:tcW w:w="2113" w:type="dxa"/>
          </w:tcPr>
          <w:p>
            <w:pPr>
              <w:spacing w:line="480" w:lineRule="exact"/>
              <w:jc w:val="left"/>
              <w:rPr>
                <w:rFonts w:ascii="宋体" w:hAnsi="宋体"/>
                <w:b/>
                <w:sz w:val="24"/>
              </w:rPr>
            </w:pPr>
          </w:p>
        </w:tc>
        <w:tc>
          <w:tcPr>
            <w:tcW w:w="2976" w:type="dxa"/>
          </w:tcPr>
          <w:p>
            <w:pPr>
              <w:spacing w:line="480" w:lineRule="exact"/>
              <w:jc w:val="left"/>
              <w:rPr>
                <w:rFonts w:ascii="宋体" w:hAnsi="宋体"/>
                <w:b/>
                <w:sz w:val="24"/>
              </w:rPr>
            </w:pPr>
          </w:p>
        </w:tc>
        <w:tc>
          <w:tcPr>
            <w:tcW w:w="1856" w:type="dxa"/>
          </w:tcPr>
          <w:p>
            <w:pPr>
              <w:spacing w:line="480" w:lineRule="exact"/>
              <w:jc w:val="lef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spacing w:line="480" w:lineRule="exact"/>
              <w:jc w:val="left"/>
              <w:rPr>
                <w:rFonts w:ascii="宋体" w:hAnsi="宋体"/>
                <w:b/>
                <w:sz w:val="24"/>
              </w:rPr>
            </w:pPr>
          </w:p>
        </w:tc>
        <w:tc>
          <w:tcPr>
            <w:tcW w:w="2113" w:type="dxa"/>
          </w:tcPr>
          <w:p>
            <w:pPr>
              <w:spacing w:line="480" w:lineRule="exact"/>
              <w:jc w:val="left"/>
              <w:rPr>
                <w:rFonts w:ascii="宋体" w:hAnsi="宋体"/>
                <w:b/>
                <w:sz w:val="24"/>
              </w:rPr>
            </w:pPr>
          </w:p>
        </w:tc>
        <w:tc>
          <w:tcPr>
            <w:tcW w:w="2976" w:type="dxa"/>
          </w:tcPr>
          <w:p>
            <w:pPr>
              <w:spacing w:line="480" w:lineRule="exact"/>
              <w:jc w:val="left"/>
              <w:rPr>
                <w:rFonts w:ascii="宋体" w:hAnsi="宋体"/>
                <w:b/>
                <w:sz w:val="24"/>
              </w:rPr>
            </w:pPr>
          </w:p>
        </w:tc>
        <w:tc>
          <w:tcPr>
            <w:tcW w:w="1856" w:type="dxa"/>
          </w:tcPr>
          <w:p>
            <w:pPr>
              <w:spacing w:line="480" w:lineRule="exact"/>
              <w:jc w:val="left"/>
              <w:rPr>
                <w:rFonts w:ascii="宋体" w:hAnsi="宋体"/>
                <w:b/>
                <w:sz w:val="24"/>
              </w:rPr>
            </w:pPr>
          </w:p>
        </w:tc>
      </w:tr>
    </w:tbl>
    <w:p>
      <w:pPr>
        <w:spacing w:line="400" w:lineRule="exact"/>
        <w:rPr>
          <w:rFonts w:ascii="楷体" w:hAnsi="楷体" w:eastAsia="楷体" w:cs="仿宋_GB2312"/>
          <w:color w:val="FF0000"/>
          <w:sz w:val="28"/>
          <w:szCs w:val="28"/>
        </w:rPr>
      </w:pPr>
    </w:p>
    <w:p>
      <w:pPr>
        <w:spacing w:line="400" w:lineRule="exact"/>
        <w:rPr>
          <w:rFonts w:hint="eastAsia" w:ascii="楷体" w:hAnsi="楷体" w:eastAsia="楷体" w:cs="仿宋_GB2312"/>
          <w:color w:val="FF0000"/>
          <w:sz w:val="28"/>
          <w:szCs w:val="28"/>
          <w:lang w:val="en-US" w:eastAsia="zh-CN"/>
        </w:rPr>
      </w:pPr>
      <w:r>
        <w:rPr>
          <w:rFonts w:hint="eastAsia" w:ascii="楷体" w:hAnsi="楷体" w:eastAsia="楷体" w:cs="仿宋_GB2312"/>
          <w:color w:val="FF0000"/>
          <w:sz w:val="28"/>
          <w:szCs w:val="28"/>
          <w:lang w:val="en-US" w:eastAsia="zh-CN"/>
        </w:rPr>
        <w:fldChar w:fldCharType="begin"/>
      </w:r>
      <w:r>
        <w:rPr>
          <w:rFonts w:hint="eastAsia" w:ascii="楷体" w:hAnsi="楷体" w:eastAsia="楷体" w:cs="仿宋_GB2312"/>
          <w:color w:val="FF0000"/>
          <w:sz w:val="28"/>
          <w:szCs w:val="28"/>
          <w:lang w:val="en-US" w:eastAsia="zh-CN"/>
        </w:rPr>
        <w:instrText xml:space="preserve"> HYPERLINK "mailto:回执回至kf1718@126.com" </w:instrText>
      </w:r>
      <w:r>
        <w:rPr>
          <w:rFonts w:hint="eastAsia" w:ascii="楷体" w:hAnsi="楷体" w:eastAsia="楷体" w:cs="仿宋_GB2312"/>
          <w:color w:val="FF0000"/>
          <w:sz w:val="28"/>
          <w:szCs w:val="28"/>
          <w:lang w:val="en-US" w:eastAsia="zh-CN"/>
        </w:rPr>
        <w:fldChar w:fldCharType="separate"/>
      </w:r>
      <w:r>
        <w:rPr>
          <w:rStyle w:val="8"/>
          <w:rFonts w:hint="eastAsia" w:ascii="楷体" w:hAnsi="楷体" w:eastAsia="楷体" w:cs="仿宋_GB2312"/>
          <w:color w:val="FF0000"/>
          <w:sz w:val="28"/>
          <w:szCs w:val="28"/>
          <w:lang w:val="en-US" w:eastAsia="zh-CN"/>
        </w:rPr>
        <w:t>回执回至kf1718@126.com</w:t>
      </w:r>
      <w:r>
        <w:rPr>
          <w:rFonts w:hint="eastAsia" w:ascii="楷体" w:hAnsi="楷体" w:eastAsia="楷体" w:cs="仿宋_GB2312"/>
          <w:color w:val="FF0000"/>
          <w:sz w:val="28"/>
          <w:szCs w:val="28"/>
          <w:lang w:val="en-US" w:eastAsia="zh-CN"/>
        </w:rPr>
        <w:fldChar w:fldCharType="end"/>
      </w:r>
      <w:r>
        <w:rPr>
          <w:rFonts w:hint="eastAsia" w:ascii="楷体" w:hAnsi="楷体" w:eastAsia="楷体" w:cs="仿宋_GB2312"/>
          <w:color w:val="FF0000"/>
          <w:sz w:val="28"/>
          <w:szCs w:val="28"/>
          <w:lang w:val="en-US" w:eastAsia="zh-CN"/>
        </w:rPr>
        <w:t xml:space="preserve"> </w:t>
      </w:r>
    </w:p>
    <w:p>
      <w:pPr>
        <w:spacing w:line="360" w:lineRule="auto"/>
        <w:rPr>
          <w:rFonts w:ascii="宋体" w:hAnsi="宋体" w:eastAsia="宋体" w:cs="宋体"/>
          <w:sz w:val="24"/>
        </w:rPr>
      </w:pPr>
      <w:r>
        <w:rPr>
          <w:rFonts w:hint="eastAsia" w:ascii="宋体" w:hAnsi="宋体" w:eastAsia="宋体" w:cs="宋体"/>
          <w:sz w:val="24"/>
        </w:rPr>
        <w:t>参加会议的代表请</w:t>
      </w:r>
      <w:r>
        <w:rPr>
          <w:rFonts w:hint="eastAsia" w:ascii="宋体" w:hAnsi="宋体" w:cs="宋体"/>
          <w:sz w:val="24"/>
          <w:lang w:eastAsia="zh-CN"/>
        </w:rPr>
        <w:t>于</w:t>
      </w:r>
      <w:r>
        <w:rPr>
          <w:rFonts w:hint="eastAsia" w:ascii="宋体" w:hAnsi="宋体" w:eastAsia="宋体" w:cs="宋体"/>
          <w:sz w:val="24"/>
        </w:rPr>
        <w:t>10</w:t>
      </w:r>
      <w:r>
        <w:rPr>
          <w:rFonts w:hint="eastAsia" w:ascii="宋体" w:hAnsi="宋体" w:cs="宋体"/>
          <w:sz w:val="24"/>
          <w:lang w:eastAsia="zh-CN"/>
        </w:rPr>
        <w:t>月</w:t>
      </w:r>
      <w:r>
        <w:rPr>
          <w:rFonts w:hint="eastAsia" w:ascii="宋体" w:hAnsi="宋体" w:eastAsia="宋体" w:cs="宋体"/>
          <w:sz w:val="24"/>
        </w:rPr>
        <w:t>25日前将会议回执发送至以下联系方式</w:t>
      </w:r>
    </w:p>
    <w:p>
      <w:pPr>
        <w:autoSpaceDE w:val="0"/>
        <w:autoSpaceDN w:val="0"/>
        <w:adjustRightInd w:val="0"/>
        <w:spacing w:line="360" w:lineRule="auto"/>
        <w:rPr>
          <w:rFonts w:hint="eastAsia" w:ascii="宋体" w:hAnsi="宋体" w:eastAsia="宋体" w:cs="宋体"/>
          <w:bCs/>
          <w:color w:val="000000"/>
          <w:kern w:val="0"/>
          <w:sz w:val="24"/>
        </w:rPr>
      </w:pPr>
      <w:r>
        <w:rPr>
          <w:rFonts w:hint="eastAsia" w:ascii="宋体" w:hAnsi="宋体" w:eastAsia="宋体" w:cs="宋体"/>
          <w:bCs/>
          <w:color w:val="000000"/>
          <w:kern w:val="0"/>
          <w:sz w:val="24"/>
        </w:rPr>
        <w:t xml:space="preserve">联系人：王烨培  18710292655  </w:t>
      </w:r>
    </w:p>
    <w:p>
      <w:r>
        <w:rPr>
          <w:rFonts w:hint="eastAsia" w:ascii="宋体" w:hAnsi="宋体" w:eastAsia="宋体" w:cs="宋体"/>
          <w:sz w:val="24"/>
        </w:rPr>
        <w:t>地点：</w:t>
      </w:r>
      <w:r>
        <w:t>南宁</w:t>
      </w:r>
      <w:r>
        <w:rPr>
          <w:rFonts w:hint="eastAsia"/>
          <w:lang w:eastAsia="zh-CN"/>
        </w:rPr>
        <w:t>江南希尔顿欢朋酒店（南宁市江南区白沙大道</w:t>
      </w:r>
      <w:r>
        <w:rPr>
          <w:rFonts w:hint="eastAsia"/>
          <w:lang w:val="en-US" w:eastAsia="zh-CN"/>
        </w:rPr>
        <w:t>53号松宇时代</w:t>
      </w:r>
      <w:r>
        <w:rPr>
          <w:rFonts w:hint="eastAsia"/>
          <w:lang w:eastAsia="zh-CN"/>
        </w:rPr>
        <w:t>）</w:t>
      </w:r>
    </w:p>
    <w:p>
      <w:r>
        <w:t>报道时间：2017年10月26日</w:t>
      </w:r>
      <w:r>
        <w:rPr>
          <w:rFonts w:hint="eastAsia"/>
          <w:lang w:eastAsia="zh-CN"/>
        </w:rPr>
        <w:t>（</w:t>
      </w:r>
      <w:r>
        <w:rPr>
          <w:rFonts w:hint="eastAsia"/>
          <w:lang w:val="en-US" w:eastAsia="zh-CN"/>
        </w:rPr>
        <w:t>14：00-18：00报到）</w:t>
      </w:r>
    </w:p>
    <w:p>
      <w:r>
        <w:t>会议时间：2017年10月27日</w:t>
      </w:r>
      <w:r>
        <w:rPr>
          <w:rFonts w:hint="eastAsia"/>
          <w:lang w:eastAsia="zh-CN"/>
        </w:rPr>
        <w:t>（</w:t>
      </w:r>
      <w:r>
        <w:rPr>
          <w:rFonts w:hint="eastAsia"/>
          <w:lang w:val="en-US" w:eastAsia="zh-CN"/>
        </w:rPr>
        <w:t>早上8：00-9：00报到）</w:t>
      </w:r>
    </w:p>
    <w:p>
      <w:pPr>
        <w:autoSpaceDE w:val="0"/>
        <w:autoSpaceDN w:val="0"/>
        <w:adjustRightInd w:val="0"/>
        <w:spacing w:line="360" w:lineRule="auto"/>
        <w:rPr>
          <w:rFonts w:hint="eastAsia" w:ascii="宋体" w:hAnsi="宋体" w:eastAsia="宋体" w:cs="宋体"/>
          <w:bCs/>
          <w:color w:val="000000"/>
          <w:kern w:val="0"/>
          <w:sz w:val="24"/>
        </w:rPr>
      </w:pPr>
    </w:p>
    <w:p>
      <w:pPr>
        <w:spacing w:line="400" w:lineRule="exact"/>
        <w:rPr>
          <w:rFonts w:hint="eastAsia" w:ascii="楷体" w:hAnsi="楷体" w:eastAsia="楷体" w:cs="仿宋_GB2312"/>
          <w:color w:val="FF0000"/>
          <w:sz w:val="28"/>
          <w:szCs w:val="28"/>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decimal"/>
      <w:pStyle w:val="2"/>
      <w:suff w:val="nothing"/>
      <w:lvlText w:val="%1、"/>
      <w:lvlJc w:val="left"/>
    </w:lvl>
  </w:abstractNum>
  <w:abstractNum w:abstractNumId="1">
    <w:nsid w:val="576941E5"/>
    <w:multiLevelType w:val="singleLevel"/>
    <w:tmpl w:val="576941E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80"/>
    <w:rsid w:val="000003BF"/>
    <w:rsid w:val="000119A7"/>
    <w:rsid w:val="00017647"/>
    <w:rsid w:val="00036F04"/>
    <w:rsid w:val="00043514"/>
    <w:rsid w:val="00054B36"/>
    <w:rsid w:val="00071F82"/>
    <w:rsid w:val="00075457"/>
    <w:rsid w:val="000803F7"/>
    <w:rsid w:val="00094C99"/>
    <w:rsid w:val="000A0BA5"/>
    <w:rsid w:val="000D0842"/>
    <w:rsid w:val="000D442B"/>
    <w:rsid w:val="000E271B"/>
    <w:rsid w:val="000F0F27"/>
    <w:rsid w:val="000F3CEA"/>
    <w:rsid w:val="000F7643"/>
    <w:rsid w:val="00104364"/>
    <w:rsid w:val="00132A95"/>
    <w:rsid w:val="00132F4D"/>
    <w:rsid w:val="001557C6"/>
    <w:rsid w:val="00157C21"/>
    <w:rsid w:val="00161903"/>
    <w:rsid w:val="00180277"/>
    <w:rsid w:val="00186F67"/>
    <w:rsid w:val="001B7C3E"/>
    <w:rsid w:val="001C00ED"/>
    <w:rsid w:val="001D60F3"/>
    <w:rsid w:val="001E316B"/>
    <w:rsid w:val="001F7CCF"/>
    <w:rsid w:val="00237E6C"/>
    <w:rsid w:val="00253080"/>
    <w:rsid w:val="002609BF"/>
    <w:rsid w:val="0029532F"/>
    <w:rsid w:val="002A4AEF"/>
    <w:rsid w:val="002C7ECD"/>
    <w:rsid w:val="002F04ED"/>
    <w:rsid w:val="002F2A9B"/>
    <w:rsid w:val="002F6FE4"/>
    <w:rsid w:val="00301491"/>
    <w:rsid w:val="003229B9"/>
    <w:rsid w:val="003365D1"/>
    <w:rsid w:val="003371E5"/>
    <w:rsid w:val="00367F64"/>
    <w:rsid w:val="00375340"/>
    <w:rsid w:val="003761D7"/>
    <w:rsid w:val="003867D9"/>
    <w:rsid w:val="003A560F"/>
    <w:rsid w:val="003C3352"/>
    <w:rsid w:val="003D1195"/>
    <w:rsid w:val="003D1567"/>
    <w:rsid w:val="003D55A9"/>
    <w:rsid w:val="003F54D0"/>
    <w:rsid w:val="00410081"/>
    <w:rsid w:val="0044059B"/>
    <w:rsid w:val="00444C9A"/>
    <w:rsid w:val="004452AC"/>
    <w:rsid w:val="004722C7"/>
    <w:rsid w:val="00473C4F"/>
    <w:rsid w:val="00484A7A"/>
    <w:rsid w:val="004A3842"/>
    <w:rsid w:val="004A598F"/>
    <w:rsid w:val="004A79E6"/>
    <w:rsid w:val="004B34B5"/>
    <w:rsid w:val="004B476D"/>
    <w:rsid w:val="004C5234"/>
    <w:rsid w:val="004E1192"/>
    <w:rsid w:val="004E2157"/>
    <w:rsid w:val="004E5A67"/>
    <w:rsid w:val="004F0A58"/>
    <w:rsid w:val="005001D0"/>
    <w:rsid w:val="005107AD"/>
    <w:rsid w:val="00532AB9"/>
    <w:rsid w:val="00552E63"/>
    <w:rsid w:val="005534A6"/>
    <w:rsid w:val="00553D33"/>
    <w:rsid w:val="00557584"/>
    <w:rsid w:val="005B4E61"/>
    <w:rsid w:val="005B6351"/>
    <w:rsid w:val="005E3837"/>
    <w:rsid w:val="005E7526"/>
    <w:rsid w:val="00632904"/>
    <w:rsid w:val="00674D59"/>
    <w:rsid w:val="00676E1D"/>
    <w:rsid w:val="00681C6D"/>
    <w:rsid w:val="00690651"/>
    <w:rsid w:val="00695DD5"/>
    <w:rsid w:val="00696808"/>
    <w:rsid w:val="006A4A7A"/>
    <w:rsid w:val="006D3BF1"/>
    <w:rsid w:val="006E78B6"/>
    <w:rsid w:val="006F0500"/>
    <w:rsid w:val="006F5993"/>
    <w:rsid w:val="00705A7A"/>
    <w:rsid w:val="00721D18"/>
    <w:rsid w:val="00727242"/>
    <w:rsid w:val="00742EC7"/>
    <w:rsid w:val="007468FD"/>
    <w:rsid w:val="0074773A"/>
    <w:rsid w:val="00754D9C"/>
    <w:rsid w:val="00773531"/>
    <w:rsid w:val="00785214"/>
    <w:rsid w:val="0079106A"/>
    <w:rsid w:val="00796F29"/>
    <w:rsid w:val="007A2A4B"/>
    <w:rsid w:val="007A4225"/>
    <w:rsid w:val="007A5569"/>
    <w:rsid w:val="007A752A"/>
    <w:rsid w:val="007B2D1E"/>
    <w:rsid w:val="007B2DEC"/>
    <w:rsid w:val="007B57B2"/>
    <w:rsid w:val="007B6627"/>
    <w:rsid w:val="007C6C54"/>
    <w:rsid w:val="007D0B5E"/>
    <w:rsid w:val="007F1770"/>
    <w:rsid w:val="007F3488"/>
    <w:rsid w:val="00800ED4"/>
    <w:rsid w:val="00805422"/>
    <w:rsid w:val="008513DF"/>
    <w:rsid w:val="0086432E"/>
    <w:rsid w:val="008820E7"/>
    <w:rsid w:val="00882A01"/>
    <w:rsid w:val="00894E41"/>
    <w:rsid w:val="008952A6"/>
    <w:rsid w:val="008A3203"/>
    <w:rsid w:val="008A3D2D"/>
    <w:rsid w:val="008B0713"/>
    <w:rsid w:val="008B58EB"/>
    <w:rsid w:val="008B6C2E"/>
    <w:rsid w:val="008B791C"/>
    <w:rsid w:val="008C06A4"/>
    <w:rsid w:val="008C19DF"/>
    <w:rsid w:val="008D7200"/>
    <w:rsid w:val="008E776C"/>
    <w:rsid w:val="008F306F"/>
    <w:rsid w:val="00902712"/>
    <w:rsid w:val="00905CE7"/>
    <w:rsid w:val="00925A4A"/>
    <w:rsid w:val="00926FE6"/>
    <w:rsid w:val="00931BC7"/>
    <w:rsid w:val="009406B1"/>
    <w:rsid w:val="00942FC2"/>
    <w:rsid w:val="009457CA"/>
    <w:rsid w:val="00957ADD"/>
    <w:rsid w:val="00966B6F"/>
    <w:rsid w:val="00972278"/>
    <w:rsid w:val="0098627F"/>
    <w:rsid w:val="009914AF"/>
    <w:rsid w:val="0099231F"/>
    <w:rsid w:val="009953C9"/>
    <w:rsid w:val="009A2D86"/>
    <w:rsid w:val="009A5583"/>
    <w:rsid w:val="009B3D5D"/>
    <w:rsid w:val="009B5FED"/>
    <w:rsid w:val="009B6F44"/>
    <w:rsid w:val="009D5735"/>
    <w:rsid w:val="009E3BCF"/>
    <w:rsid w:val="00A0086B"/>
    <w:rsid w:val="00A31565"/>
    <w:rsid w:val="00A45C88"/>
    <w:rsid w:val="00A71185"/>
    <w:rsid w:val="00A813A0"/>
    <w:rsid w:val="00A871C0"/>
    <w:rsid w:val="00A97602"/>
    <w:rsid w:val="00AA2D68"/>
    <w:rsid w:val="00AB3CC5"/>
    <w:rsid w:val="00AB73FF"/>
    <w:rsid w:val="00AD053E"/>
    <w:rsid w:val="00AE43F8"/>
    <w:rsid w:val="00AF65AC"/>
    <w:rsid w:val="00B11BA9"/>
    <w:rsid w:val="00B222D2"/>
    <w:rsid w:val="00B334F6"/>
    <w:rsid w:val="00B472C2"/>
    <w:rsid w:val="00B526D0"/>
    <w:rsid w:val="00B53455"/>
    <w:rsid w:val="00B57A78"/>
    <w:rsid w:val="00B6717E"/>
    <w:rsid w:val="00B82BDE"/>
    <w:rsid w:val="00B93434"/>
    <w:rsid w:val="00BA73B5"/>
    <w:rsid w:val="00BD6442"/>
    <w:rsid w:val="00C1347F"/>
    <w:rsid w:val="00C1529F"/>
    <w:rsid w:val="00C254C0"/>
    <w:rsid w:val="00C303F3"/>
    <w:rsid w:val="00C43861"/>
    <w:rsid w:val="00C45681"/>
    <w:rsid w:val="00C47763"/>
    <w:rsid w:val="00C57A12"/>
    <w:rsid w:val="00C654CE"/>
    <w:rsid w:val="00C8353E"/>
    <w:rsid w:val="00C92B72"/>
    <w:rsid w:val="00C978DF"/>
    <w:rsid w:val="00CB3ECB"/>
    <w:rsid w:val="00CE0C56"/>
    <w:rsid w:val="00CE108D"/>
    <w:rsid w:val="00CE4DF8"/>
    <w:rsid w:val="00CE71D4"/>
    <w:rsid w:val="00CF3D4D"/>
    <w:rsid w:val="00D01D8D"/>
    <w:rsid w:val="00D1209A"/>
    <w:rsid w:val="00D20CA0"/>
    <w:rsid w:val="00D43764"/>
    <w:rsid w:val="00D55588"/>
    <w:rsid w:val="00D933B4"/>
    <w:rsid w:val="00DC21FC"/>
    <w:rsid w:val="00DC3483"/>
    <w:rsid w:val="00DD70DB"/>
    <w:rsid w:val="00DD7DE1"/>
    <w:rsid w:val="00DE08EF"/>
    <w:rsid w:val="00DF1902"/>
    <w:rsid w:val="00DF592D"/>
    <w:rsid w:val="00E02D95"/>
    <w:rsid w:val="00E13ED3"/>
    <w:rsid w:val="00E25E1B"/>
    <w:rsid w:val="00E25E8C"/>
    <w:rsid w:val="00E5308A"/>
    <w:rsid w:val="00E57BA3"/>
    <w:rsid w:val="00E64F89"/>
    <w:rsid w:val="00E718F4"/>
    <w:rsid w:val="00E7473F"/>
    <w:rsid w:val="00E76C6E"/>
    <w:rsid w:val="00E83410"/>
    <w:rsid w:val="00E90DC1"/>
    <w:rsid w:val="00EB0269"/>
    <w:rsid w:val="00EB2267"/>
    <w:rsid w:val="00EC0B45"/>
    <w:rsid w:val="00EC25DC"/>
    <w:rsid w:val="00EC296E"/>
    <w:rsid w:val="00EC4836"/>
    <w:rsid w:val="00ED1D6F"/>
    <w:rsid w:val="00EE34E2"/>
    <w:rsid w:val="00EE4150"/>
    <w:rsid w:val="00F01916"/>
    <w:rsid w:val="00F021C9"/>
    <w:rsid w:val="00F03B04"/>
    <w:rsid w:val="00F17EB7"/>
    <w:rsid w:val="00F26B0B"/>
    <w:rsid w:val="00F31314"/>
    <w:rsid w:val="00F35F80"/>
    <w:rsid w:val="00F6749A"/>
    <w:rsid w:val="00F748DD"/>
    <w:rsid w:val="00F75883"/>
    <w:rsid w:val="00FB40B6"/>
    <w:rsid w:val="00FB60DF"/>
    <w:rsid w:val="00FC4EF0"/>
    <w:rsid w:val="00FC6F51"/>
    <w:rsid w:val="00FD1C5C"/>
    <w:rsid w:val="00FD634F"/>
    <w:rsid w:val="00FE1BB8"/>
    <w:rsid w:val="01E150A5"/>
    <w:rsid w:val="04EC21C4"/>
    <w:rsid w:val="05A30DA6"/>
    <w:rsid w:val="071216EA"/>
    <w:rsid w:val="0A4D2BF6"/>
    <w:rsid w:val="12990BBE"/>
    <w:rsid w:val="14705C51"/>
    <w:rsid w:val="14E51FD5"/>
    <w:rsid w:val="1D302CFE"/>
    <w:rsid w:val="1E3E57C1"/>
    <w:rsid w:val="24A41537"/>
    <w:rsid w:val="263549EB"/>
    <w:rsid w:val="2C125334"/>
    <w:rsid w:val="31B23FFC"/>
    <w:rsid w:val="35972D02"/>
    <w:rsid w:val="3A352318"/>
    <w:rsid w:val="3A3872C3"/>
    <w:rsid w:val="3B4715A0"/>
    <w:rsid w:val="42F338C7"/>
    <w:rsid w:val="450A7EA5"/>
    <w:rsid w:val="49C22CC2"/>
    <w:rsid w:val="4BBE57DE"/>
    <w:rsid w:val="51DD29DF"/>
    <w:rsid w:val="53714A47"/>
    <w:rsid w:val="59213252"/>
    <w:rsid w:val="5A1D3500"/>
    <w:rsid w:val="5A223D67"/>
    <w:rsid w:val="5E403986"/>
    <w:rsid w:val="5F7B6833"/>
    <w:rsid w:val="612E4DB4"/>
    <w:rsid w:val="65EE1733"/>
    <w:rsid w:val="6B9B2216"/>
    <w:rsid w:val="6D042185"/>
    <w:rsid w:val="7473071B"/>
    <w:rsid w:val="766E2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paragraph" w:styleId="2">
    <w:name w:val="heading 1"/>
    <w:basedOn w:val="1"/>
    <w:next w:val="1"/>
    <w:link w:val="17"/>
    <w:qFormat/>
    <w:uiPriority w:val="0"/>
    <w:pPr>
      <w:keepNext/>
      <w:widowControl/>
      <w:numPr>
        <w:ilvl w:val="0"/>
        <w:numId w:val="1"/>
      </w:numPr>
      <w:tabs>
        <w:tab w:val="left" w:pos="1440"/>
      </w:tabs>
      <w:spacing w:before="100" w:beforeAutospacing="1" w:after="100" w:afterAutospacing="1"/>
      <w:jc w:val="center"/>
      <w:outlineLvl w:val="0"/>
    </w:pPr>
    <w:rPr>
      <w:rFonts w:ascii="宋体" w:hAnsi="宋体" w:eastAsia="宋体" w:cs="Times New Roman"/>
      <w:b/>
      <w:kern w:val="0"/>
      <w:szCs w:val="21"/>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6"/>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Hyperlink"/>
    <w:basedOn w:val="6"/>
    <w:qFormat/>
    <w:uiPriority w:val="99"/>
    <w:rPr>
      <w:color w:val="0000FF"/>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无间隔1"/>
    <w:qFormat/>
    <w:uiPriority w:val="1"/>
    <w:pPr>
      <w:shd w:val="clear" w:color="auto" w:fill="FFFFFF"/>
      <w:spacing w:beforeAutospacing="1" w:afterAutospacing="1"/>
      <w:jc w:val="both"/>
    </w:pPr>
    <w:rPr>
      <w:rFonts w:cs="宋体" w:asciiTheme="minorEastAsia" w:hAnsiTheme="minorEastAsia" w:eastAsiaTheme="minorEastAsia"/>
      <w:b/>
      <w:sz w:val="24"/>
      <w:szCs w:val="24"/>
      <w:lang w:val="en-US" w:eastAsia="zh-CN" w:bidi="ar-SA"/>
    </w:rPr>
  </w:style>
  <w:style w:type="paragraph" w:customStyle="1" w:styleId="12">
    <w:name w:val="列出段落1"/>
    <w:basedOn w:val="1"/>
    <w:qFormat/>
    <w:uiPriority w:val="34"/>
    <w:pPr>
      <w:ind w:firstLine="420" w:firstLineChars="200"/>
    </w:pPr>
  </w:style>
  <w:style w:type="character" w:customStyle="1" w:styleId="13">
    <w:name w:val="书籍标题1"/>
    <w:basedOn w:val="6"/>
    <w:qFormat/>
    <w:uiPriority w:val="33"/>
    <w:rPr>
      <w:b/>
      <w:bCs/>
      <w:smallCaps/>
      <w:spacing w:val="5"/>
    </w:rPr>
  </w:style>
  <w:style w:type="character" w:customStyle="1" w:styleId="14">
    <w:name w:val="页眉 Char"/>
    <w:basedOn w:val="6"/>
    <w:link w:val="5"/>
    <w:qFormat/>
    <w:uiPriority w:val="99"/>
    <w:rPr>
      <w:rFonts w:cs="宋体" w:asciiTheme="minorEastAsia" w:hAnsiTheme="minorEastAsia"/>
      <w:b/>
      <w:kern w:val="0"/>
      <w:sz w:val="18"/>
      <w:szCs w:val="18"/>
      <w:shd w:val="clear" w:color="auto" w:fill="FFFFFF"/>
    </w:rPr>
  </w:style>
  <w:style w:type="character" w:customStyle="1" w:styleId="15">
    <w:name w:val="页脚 Char"/>
    <w:basedOn w:val="6"/>
    <w:link w:val="4"/>
    <w:qFormat/>
    <w:uiPriority w:val="99"/>
    <w:rPr>
      <w:rFonts w:cs="宋体" w:asciiTheme="minorEastAsia" w:hAnsiTheme="minorEastAsia"/>
      <w:b/>
      <w:kern w:val="0"/>
      <w:sz w:val="18"/>
      <w:szCs w:val="18"/>
      <w:shd w:val="clear" w:color="auto" w:fill="FFFFFF"/>
    </w:rPr>
  </w:style>
  <w:style w:type="character" w:customStyle="1" w:styleId="16">
    <w:name w:val="批注框文本 Char"/>
    <w:basedOn w:val="6"/>
    <w:link w:val="3"/>
    <w:qFormat/>
    <w:uiPriority w:val="99"/>
    <w:rPr>
      <w:sz w:val="18"/>
      <w:szCs w:val="18"/>
    </w:rPr>
  </w:style>
  <w:style w:type="character" w:customStyle="1" w:styleId="17">
    <w:name w:val="标题 1 Char"/>
    <w:basedOn w:val="6"/>
    <w:link w:val="2"/>
    <w:qFormat/>
    <w:uiPriority w:val="0"/>
    <w:rPr>
      <w:rFonts w:ascii="宋体" w:hAnsi="宋体" w:eastAsia="宋体" w:cs="Times New Roman"/>
      <w:b/>
      <w:kern w:val="0"/>
      <w:szCs w:val="21"/>
    </w:rPr>
  </w:style>
  <w:style w:type="character" w:customStyle="1" w:styleId="18">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6</Pages>
  <Words>2820</Words>
  <Characters>3041</Characters>
  <Lines>12</Lines>
  <Paragraphs>3</Paragraphs>
  <ScaleCrop>false</ScaleCrop>
  <LinksUpToDate>false</LinksUpToDate>
  <CharactersWithSpaces>3177</CharactersWithSpaces>
  <Application>WPS Office_10.1.0.6759_F1E327BC-269C-435d-A152-05C5408002CA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2017-05-25T07:29:00Z</dcterms:created>
  <dc:creator>c1718</dc:creator>
  <cp:lastModifiedBy>王</cp:lastModifiedBy>
  <cp:lastPrinted>2017-10-11T03:39:00Z</cp:lastPrinted>
  <dcterms:modified xsi:type="dcterms:W3CDTF">2017-10-18T08:20:17Z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