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黑体"/>
          <w:sz w:val="52"/>
          <w:szCs w:val="52"/>
        </w:rPr>
      </w:pPr>
      <w:r>
        <w:rPr>
          <w:rFonts w:hint="eastAsia" w:ascii="Times New Roman" w:hAnsi="Times New Roman" w:eastAsia="黑体"/>
          <w:sz w:val="52"/>
          <w:szCs w:val="52"/>
        </w:rPr>
        <w:t>中国仪器仪表行业协会团体标准</w:t>
      </w:r>
    </w:p>
    <w:p>
      <w:pPr>
        <w:rPr>
          <w:rFonts w:ascii="Times New Roman" w:hAnsi="Times New Roman" w:eastAsia="黑体"/>
          <w:sz w:val="52"/>
          <w:szCs w:val="52"/>
        </w:rPr>
      </w:pPr>
    </w:p>
    <w:p>
      <w:pPr>
        <w:pStyle w:val="2"/>
        <w:jc w:val="center"/>
        <w:rPr>
          <w:rFonts w:ascii="Times New Roman" w:hAnsi="Times New Roman"/>
          <w:sz w:val="36"/>
          <w:szCs w:val="36"/>
        </w:rPr>
      </w:pPr>
      <w:r>
        <w:rPr>
          <w:rFonts w:hint="eastAsia" w:ascii="Times New Roman" w:hAnsi="Times New Roman"/>
          <w:sz w:val="36"/>
          <w:szCs w:val="36"/>
        </w:rPr>
        <w:t>《电能录波器》</w:t>
      </w:r>
    </w:p>
    <w:p>
      <w:pPr>
        <w:rPr>
          <w:rFonts w:ascii="Times New Roman" w:hAnsi="Times New Roman"/>
          <w:sz w:val="32"/>
          <w:szCs w:val="32"/>
        </w:rPr>
      </w:pPr>
    </w:p>
    <w:p>
      <w:pPr>
        <w:rPr>
          <w:rFonts w:ascii="Times New Roman" w:hAnsi="Times New Roman"/>
          <w:sz w:val="32"/>
          <w:szCs w:val="32"/>
        </w:rPr>
      </w:pPr>
    </w:p>
    <w:p>
      <w:pPr>
        <w:rPr>
          <w:rFonts w:ascii="Times New Roman" w:hAnsi="Times New Roman"/>
          <w:sz w:val="32"/>
          <w:szCs w:val="32"/>
        </w:rPr>
      </w:pPr>
    </w:p>
    <w:p>
      <w:pPr>
        <w:pStyle w:val="2"/>
        <w:jc w:val="center"/>
        <w:rPr>
          <w:rFonts w:ascii="Times New Roman" w:hAnsi="Times New Roman"/>
          <w:sz w:val="28"/>
          <w:szCs w:val="28"/>
        </w:rPr>
      </w:pPr>
      <w:r>
        <w:rPr>
          <w:rFonts w:hint="eastAsia" w:ascii="Times New Roman" w:hAnsi="Times New Roman"/>
          <w:sz w:val="36"/>
          <w:szCs w:val="36"/>
        </w:rPr>
        <w:t>编制说明</w:t>
      </w:r>
    </w:p>
    <w:p>
      <w:pPr>
        <w:jc w:val="center"/>
        <w:rPr>
          <w:rFonts w:ascii="Times New Roman" w:hAnsi="Times New Roman"/>
          <w:sz w:val="28"/>
          <w:szCs w:val="28"/>
        </w:rPr>
      </w:pPr>
      <w:r>
        <w:rPr>
          <w:rFonts w:hint="eastAsia" w:ascii="Times New Roman" w:hAnsi="Times New Roman"/>
          <w:sz w:val="28"/>
          <w:szCs w:val="28"/>
        </w:rPr>
        <w:t>（</w:t>
      </w:r>
      <w:r>
        <w:rPr>
          <w:rFonts w:hint="eastAsia" w:ascii="Times New Roman" w:hAnsi="Times New Roman"/>
          <w:b/>
          <w:bCs/>
          <w:sz w:val="28"/>
          <w:szCs w:val="28"/>
        </w:rPr>
        <w:t>征求意见稿</w:t>
      </w:r>
      <w:r>
        <w:rPr>
          <w:rFonts w:hint="eastAsia" w:ascii="Times New Roman" w:hAnsi="Times New Roman"/>
          <w:sz w:val="28"/>
          <w:szCs w:val="28"/>
        </w:rPr>
        <w:t>）</w:t>
      </w:r>
    </w:p>
    <w:p>
      <w:pPr>
        <w:rPr>
          <w:rFonts w:ascii="Times New Roman" w:hAnsi="Times New Roman"/>
          <w:sz w:val="28"/>
          <w:szCs w:val="28"/>
        </w:rPr>
      </w:pPr>
      <w:r>
        <w:rPr>
          <w:rFonts w:hint="eastAsia" w:ascii="Times New Roman" w:hAnsi="Times New Roman"/>
          <w:sz w:val="28"/>
          <w:szCs w:val="28"/>
        </w:rPr>
        <w:t xml:space="preserve">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jc w:val="center"/>
        <w:rPr>
          <w:rFonts w:ascii="Times New Roman" w:hAnsi="Times New Roman"/>
          <w:sz w:val="28"/>
          <w:szCs w:val="28"/>
        </w:rPr>
      </w:pPr>
      <w:r>
        <w:rPr>
          <w:rFonts w:hint="eastAsia" w:ascii="Times New Roman" w:hAnsi="Times New Roman"/>
          <w:sz w:val="28"/>
          <w:szCs w:val="28"/>
        </w:rPr>
        <w:t>20211225</w:t>
      </w:r>
    </w:p>
    <w:p>
      <w:pPr>
        <w:pStyle w:val="17"/>
        <w:ind w:firstLine="0" w:firstLineChars="0"/>
        <w:jc w:val="center"/>
        <w:rPr>
          <w:rFonts w:ascii="黑体" w:hAnsi="黑体" w:eastAsia="黑体" w:cs="黑体"/>
          <w:sz w:val="28"/>
          <w:szCs w:val="28"/>
        </w:rPr>
      </w:pPr>
    </w:p>
    <w:p>
      <w:pPr>
        <w:pStyle w:val="17"/>
        <w:ind w:firstLine="1400" w:firstLineChars="500"/>
        <w:jc w:val="left"/>
        <w:rPr>
          <w:rFonts w:ascii="黑体" w:hAnsi="黑体" w:eastAsia="黑体" w:cs="黑体"/>
          <w:sz w:val="28"/>
          <w:szCs w:val="28"/>
        </w:rPr>
      </w:pPr>
    </w:p>
    <w:p>
      <w:pPr>
        <w:pStyle w:val="17"/>
        <w:ind w:firstLine="1400" w:firstLineChars="500"/>
        <w:jc w:val="left"/>
        <w:rPr>
          <w:rFonts w:ascii="黑体" w:hAnsi="黑体" w:eastAsia="黑体" w:cs="黑体"/>
          <w:sz w:val="28"/>
          <w:szCs w:val="28"/>
        </w:rPr>
      </w:pPr>
    </w:p>
    <w:p>
      <w:pPr>
        <w:pStyle w:val="17"/>
        <w:ind w:firstLine="1400" w:firstLineChars="500"/>
        <w:jc w:val="left"/>
        <w:rPr>
          <w:rFonts w:ascii="黑体" w:hAnsi="黑体" w:eastAsia="黑体" w:cs="黑体"/>
          <w:sz w:val="28"/>
          <w:szCs w:val="28"/>
        </w:rPr>
      </w:pPr>
    </w:p>
    <w:p>
      <w:pPr>
        <w:pStyle w:val="19"/>
        <w:spacing w:before="360" w:after="360"/>
        <w:rPr>
          <w:rFonts w:hAnsi="黑体" w:cs="黑体"/>
          <w:shd w:val="clear" w:color="auto" w:fill="FFFFFF"/>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sz w:val="21"/>
          <w:szCs w:val="21"/>
        </w:rPr>
      </w:pPr>
      <w:r>
        <w:rPr>
          <w:rFonts w:hint="eastAsia"/>
          <w:sz w:val="21"/>
          <w:szCs w:val="21"/>
        </w:rPr>
        <w:t>一、</w:t>
      </w:r>
      <w:r>
        <w:rPr>
          <w:rFonts w:ascii="黑体" w:hAnsi="黑体" w:eastAsia="黑体" w:cs="黑体"/>
          <w:sz w:val="21"/>
          <w:szCs w:val="21"/>
        </w:rPr>
        <w:t xml:space="preserve"> </w:t>
      </w:r>
      <w:r>
        <w:rPr>
          <w:rFonts w:hint="eastAsia" w:ascii="黑体" w:hAnsi="黑体" w:eastAsia="黑体" w:cs="黑体"/>
          <w:sz w:val="21"/>
          <w:szCs w:val="21"/>
        </w:rPr>
        <w:t>工作简况</w:t>
      </w:r>
    </w:p>
    <w:p>
      <w:pPr>
        <w:pStyle w:val="3"/>
        <w:rPr>
          <w:rFonts w:ascii="黑体" w:hAnsi="黑体" w:eastAsia="黑体" w:cs="黑体"/>
          <w:sz w:val="21"/>
          <w:szCs w:val="21"/>
        </w:rPr>
      </w:pPr>
      <w:r>
        <w:rPr>
          <w:rFonts w:ascii="黑体" w:hAnsi="黑体" w:eastAsia="黑体" w:cs="黑体"/>
          <w:sz w:val="21"/>
          <w:szCs w:val="21"/>
        </w:rPr>
        <w:t>1</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任务来源</w:t>
      </w:r>
    </w:p>
    <w:p>
      <w:pPr>
        <w:pStyle w:val="3"/>
        <w:ind w:firstLine="420" w:firstLineChars="200"/>
        <w:rPr>
          <w:rFonts w:ascii="宋体" w:hAnsi="宋体" w:cs="宋体"/>
          <w:b w:val="0"/>
          <w:bCs w:val="0"/>
          <w:kern w:val="2"/>
          <w:sz w:val="21"/>
          <w:szCs w:val="21"/>
        </w:rPr>
      </w:pPr>
      <w:r>
        <w:rPr>
          <w:rFonts w:hint="eastAsia" w:ascii="宋体" w:hAnsi="宋体" w:cs="宋体"/>
          <w:b w:val="0"/>
          <w:bCs w:val="0"/>
          <w:kern w:val="2"/>
          <w:sz w:val="21"/>
          <w:szCs w:val="21"/>
        </w:rPr>
        <w:t>本标准是由中国仪器仪表行业协会 2020年下达的制定计划，项目编号为T/CIMA 0060，本标准由中国仪器仪表行业协会归口，中国仪器仪表行业协会电工仪器仪表分会提出，计划完成时间2021年12月。</w:t>
      </w:r>
    </w:p>
    <w:p>
      <w:pPr>
        <w:pStyle w:val="3"/>
        <w:rPr>
          <w:rFonts w:ascii="Times New Roman" w:hAnsi="Times New Roman"/>
          <w:sz w:val="28"/>
          <w:szCs w:val="28"/>
        </w:rPr>
      </w:pPr>
      <w:r>
        <w:rPr>
          <w:rFonts w:ascii="黑体" w:hAnsi="黑体" w:eastAsia="黑体" w:cs="黑体"/>
          <w:sz w:val="21"/>
          <w:szCs w:val="21"/>
        </w:rPr>
        <w:t xml:space="preserve">2  </w:t>
      </w:r>
      <w:r>
        <w:rPr>
          <w:rFonts w:hint="eastAsia" w:ascii="黑体" w:hAnsi="黑体" w:eastAsia="黑体" w:cs="黑体"/>
          <w:sz w:val="21"/>
          <w:szCs w:val="21"/>
        </w:rPr>
        <w:t>目的和意义</w:t>
      </w:r>
    </w:p>
    <w:p>
      <w:pPr>
        <w:spacing w:line="360" w:lineRule="auto"/>
        <w:ind w:firstLine="420" w:firstLineChars="200"/>
        <w:rPr>
          <w:rFonts w:ascii="宋体" w:hAnsi="宋体" w:cs="宋体"/>
          <w:szCs w:val="21"/>
        </w:rPr>
      </w:pPr>
      <w:r>
        <w:rPr>
          <w:rFonts w:hint="eastAsia" w:ascii="宋体" w:hAnsi="宋体" w:cs="宋体"/>
          <w:szCs w:val="21"/>
        </w:rPr>
        <w:t>随着电力电子技术的迅猛发展，各类电子设备、用电负荷和用电环境正在发生日新月异的改变，为了准确分析配网中设备故障、了解各种变频设备启停及运行波形，观测和记录各种电源和信号线的噪声(浪涌)波形，以及各种用电负荷的功率及用能监测，电能录波器应运而生，可实现对各种用电设备运行状态及用能监测及记录。由于缺少相应的国家和行业标准等技术标准，使得目前市场上电能录波器的型号规格尚未统一、性能功能指标各异、录波数据分析软件不统一，质量参差不齐。为此，有必要制定《电能录波器技术规范》团体标准，规定电能录波器的技术要求、试验方法及检验规则等， 进一步规范电能录波器的设计、制造、检验及应用，保障电能录波器的准确性和运行可靠性，使其能够准确可靠记录用电设备运行状态及用能情况，准确录制和分析电能计量设备现场动态负荷运行工况和故障、失准原因，推动动态负荷条件下电能计量检测工作和故障分析的有效开展，促进电能计量技术进步和产业发展。</w:t>
      </w:r>
    </w:p>
    <w:p>
      <w:pPr>
        <w:spacing w:line="360" w:lineRule="auto"/>
        <w:ind w:firstLine="420" w:firstLineChars="200"/>
        <w:rPr>
          <w:rFonts w:ascii="宋体" w:hAnsi="宋体" w:cs="宋体"/>
          <w:szCs w:val="21"/>
        </w:rPr>
      </w:pPr>
      <w:r>
        <w:rPr>
          <w:rFonts w:hint="eastAsia" w:ascii="宋体" w:hAnsi="宋体" w:cs="宋体"/>
          <w:szCs w:val="21"/>
        </w:rPr>
        <w:t>本标准规定了电能录波器的术语和定义、技术要求、试验方法、检验规则和标志、包装、运输、贮存。</w:t>
      </w:r>
    </w:p>
    <w:p>
      <w:pPr>
        <w:spacing w:line="360" w:lineRule="auto"/>
        <w:ind w:firstLine="420" w:firstLineChars="200"/>
        <w:rPr>
          <w:rFonts w:ascii="黑体" w:hAnsi="黑体" w:eastAsia="黑体" w:cs="黑体"/>
          <w:szCs w:val="21"/>
        </w:rPr>
      </w:pPr>
      <w:r>
        <w:rPr>
          <w:rFonts w:hint="eastAsia" w:ascii="黑体" w:hAnsi="黑体" w:eastAsia="黑体" w:cs="黑体"/>
          <w:szCs w:val="21"/>
        </w:rPr>
        <w:t xml:space="preserve">3 </w:t>
      </w:r>
      <w:r>
        <w:rPr>
          <w:rFonts w:ascii="黑体" w:hAnsi="黑体" w:eastAsia="黑体" w:cs="黑体"/>
          <w:szCs w:val="21"/>
        </w:rPr>
        <w:t xml:space="preserve"> </w:t>
      </w:r>
      <w:r>
        <w:rPr>
          <w:rFonts w:hint="eastAsia" w:ascii="黑体" w:hAnsi="黑体" w:eastAsia="黑体" w:cs="黑体"/>
          <w:szCs w:val="21"/>
        </w:rPr>
        <w:t>主要工作过程</w:t>
      </w:r>
    </w:p>
    <w:p>
      <w:pPr>
        <w:spacing w:line="360" w:lineRule="auto"/>
        <w:ind w:firstLine="422" w:firstLineChars="200"/>
        <w:rPr>
          <w:rFonts w:ascii="宋体" w:hAnsi="宋体" w:cs="宋体"/>
          <w:b/>
          <w:szCs w:val="21"/>
        </w:rPr>
      </w:pPr>
      <w:r>
        <w:rPr>
          <w:rFonts w:hint="eastAsia" w:ascii="宋体" w:hAnsi="宋体" w:cs="宋体"/>
          <w:b/>
          <w:szCs w:val="21"/>
        </w:rPr>
        <w:t>2020年10月：</w:t>
      </w:r>
      <w:r>
        <w:rPr>
          <w:rFonts w:hint="eastAsia" w:ascii="宋体" w:hAnsi="宋体" w:cs="宋体"/>
          <w:bCs/>
          <w:szCs w:val="21"/>
        </w:rPr>
        <w:t>中国仪器仪表行业协会电工仪器仪表分会申请立项</w:t>
      </w:r>
      <w:r>
        <w:rPr>
          <w:rFonts w:hint="eastAsia" w:ascii="宋体" w:hAnsi="宋体" w:cs="宋体"/>
          <w:b/>
          <w:szCs w:val="21"/>
        </w:rPr>
        <w:t>，并形成标准草案稿。</w:t>
      </w:r>
    </w:p>
    <w:p>
      <w:pPr>
        <w:spacing w:line="360" w:lineRule="auto"/>
        <w:ind w:firstLine="422" w:firstLineChars="200"/>
        <w:rPr>
          <w:rFonts w:ascii="宋体" w:hAnsi="宋体" w:cs="宋体"/>
          <w:szCs w:val="21"/>
        </w:rPr>
      </w:pPr>
      <w:r>
        <w:rPr>
          <w:rFonts w:hint="eastAsia" w:ascii="宋体" w:hAnsi="宋体" w:cs="宋体"/>
          <w:b/>
          <w:szCs w:val="21"/>
        </w:rPr>
        <w:t>2020年11月：</w:t>
      </w:r>
      <w:r>
        <w:rPr>
          <w:rFonts w:hint="eastAsia" w:ascii="宋体" w:hAnsi="宋体" w:cs="宋体"/>
          <w:szCs w:val="21"/>
        </w:rPr>
        <w:t>中国仪器仪表行业协会下达了《关于同意“电能录波器”团体标准立项的批复》，由国网山东省电力公司营销服务中心（计量中心）牵头，组织</w:t>
      </w:r>
      <w:r>
        <w:rPr>
          <w:rFonts w:hint="eastAsia" w:ascii="黑体" w:hAnsi="黑体" w:eastAsia="黑体" w:cs="黑体"/>
          <w:b/>
          <w:szCs w:val="21"/>
        </w:rPr>
        <w:t>成立标准起草工作组</w:t>
      </w:r>
      <w:r>
        <w:rPr>
          <w:rFonts w:hint="eastAsia" w:ascii="宋体" w:hAnsi="宋体" w:cs="宋体"/>
          <w:szCs w:val="21"/>
        </w:rPr>
        <w:t>。</w:t>
      </w:r>
    </w:p>
    <w:p>
      <w:pPr>
        <w:spacing w:line="360" w:lineRule="auto"/>
        <w:ind w:firstLine="422" w:firstLineChars="200"/>
        <w:rPr>
          <w:rFonts w:ascii="宋体" w:hAnsi="宋体" w:cs="宋体"/>
          <w:szCs w:val="21"/>
        </w:rPr>
      </w:pPr>
      <w:r>
        <w:rPr>
          <w:rFonts w:hint="eastAsia" w:ascii="宋体" w:hAnsi="宋体" w:cs="宋体"/>
          <w:b/>
          <w:szCs w:val="21"/>
        </w:rPr>
        <w:t>2020年12月-2021年2月：</w:t>
      </w:r>
      <w:r>
        <w:rPr>
          <w:rFonts w:hint="eastAsia" w:ascii="宋体" w:hAnsi="宋体" w:cs="宋体"/>
          <w:szCs w:val="21"/>
        </w:rPr>
        <w:t>启动团体标准制定工作。起草组严格按照《国家标准管理办法》、GB/T 1.1—2020《标准化工作导则 第1部分：标准化文件的结构和起草规则编写》等文件的要求进行标准制定并形成了</w:t>
      </w:r>
      <w:r>
        <w:rPr>
          <w:rFonts w:hint="eastAsia" w:ascii="黑体" w:hAnsi="黑体" w:eastAsia="黑体" w:cs="黑体"/>
          <w:b/>
          <w:szCs w:val="21"/>
        </w:rPr>
        <w:t>工作组讨论稿</w:t>
      </w:r>
      <w:r>
        <w:rPr>
          <w:rFonts w:hint="eastAsia" w:ascii="宋体" w:hAnsi="宋体" w:cs="宋体"/>
          <w:szCs w:val="21"/>
        </w:rPr>
        <w:t>。</w:t>
      </w:r>
    </w:p>
    <w:p>
      <w:pPr>
        <w:spacing w:line="360" w:lineRule="auto"/>
        <w:ind w:firstLine="413" w:firstLineChars="196"/>
        <w:rPr>
          <w:rFonts w:ascii="宋体" w:hAnsi="宋体" w:cs="宋体"/>
          <w:szCs w:val="21"/>
        </w:rPr>
      </w:pPr>
      <w:bookmarkStart w:id="0" w:name="_Hlk17657671"/>
      <w:r>
        <w:rPr>
          <w:rFonts w:hint="eastAsia" w:ascii="宋体" w:hAnsi="宋体" w:cs="宋体"/>
          <w:b/>
          <w:szCs w:val="21"/>
        </w:rPr>
        <w:t>2021年3月-4月</w:t>
      </w:r>
      <w:bookmarkEnd w:id="0"/>
      <w:r>
        <w:rPr>
          <w:rFonts w:hint="eastAsia" w:ascii="宋体" w:hAnsi="宋体" w:cs="宋体"/>
          <w:szCs w:val="21"/>
        </w:rPr>
        <w:t>：工作组讨论稿在标准编制工作组内部第一次征求意见，共回收意见</w:t>
      </w:r>
      <w:r>
        <w:rPr>
          <w:rFonts w:hint="eastAsia" w:ascii="宋体" w:hAnsi="宋体" w:cs="宋体"/>
          <w:szCs w:val="21"/>
          <w:highlight w:val="none"/>
        </w:rPr>
        <w:t>73条</w:t>
      </w:r>
      <w:r>
        <w:rPr>
          <w:rFonts w:hint="eastAsia" w:ascii="宋体" w:hAnsi="宋体" w:cs="宋体"/>
          <w:szCs w:val="21"/>
        </w:rPr>
        <w:t>，主笔单位按照回收意见对工作组讨论稿进行了修改完善。</w:t>
      </w:r>
    </w:p>
    <w:p>
      <w:pPr>
        <w:spacing w:line="360" w:lineRule="auto"/>
        <w:ind w:firstLine="413" w:firstLineChars="196"/>
        <w:rPr>
          <w:rFonts w:ascii="宋体" w:hAnsi="宋体" w:cs="宋体"/>
          <w:szCs w:val="21"/>
        </w:rPr>
      </w:pPr>
      <w:r>
        <w:rPr>
          <w:rFonts w:hint="eastAsia" w:ascii="宋体" w:hAnsi="宋体" w:cs="宋体"/>
          <w:b/>
          <w:szCs w:val="21"/>
        </w:rPr>
        <w:t>2020年4月10日：</w:t>
      </w:r>
      <w:r>
        <w:rPr>
          <w:rFonts w:hint="eastAsia" w:ascii="宋体" w:hAnsi="宋体" w:cs="宋体"/>
          <w:szCs w:val="21"/>
        </w:rPr>
        <w:t>在武汉召开起草第一次工作组会议，工作组对工作组讨论稿的标准化对象、结构进行了认真、细致的逐条讨论，并对主要技术内容达成了一致意见，分配标准符合性验证工作，并对试验项目进行分工，形成会议纪要。</w:t>
      </w:r>
    </w:p>
    <w:p>
      <w:pPr>
        <w:spacing w:line="360" w:lineRule="auto"/>
        <w:ind w:firstLine="413" w:firstLineChars="196"/>
        <w:rPr>
          <w:rFonts w:ascii="宋体" w:hAnsi="宋体" w:cs="宋体"/>
          <w:szCs w:val="21"/>
        </w:rPr>
      </w:pPr>
      <w:r>
        <w:rPr>
          <w:rFonts w:hint="eastAsia" w:ascii="宋体" w:hAnsi="宋体" w:cs="宋体"/>
          <w:b/>
          <w:bCs/>
          <w:szCs w:val="21"/>
        </w:rPr>
        <w:t>2021年5月-2021年9月：工作组讨论稿</w:t>
      </w:r>
      <w:r>
        <w:rPr>
          <w:rFonts w:hint="eastAsia" w:ascii="宋体" w:hAnsi="宋体" w:cs="宋体"/>
          <w:szCs w:val="21"/>
        </w:rPr>
        <w:t>在标准编制工作组内部第二次征求意见，共回收意见</w:t>
      </w:r>
      <w:r>
        <w:rPr>
          <w:rFonts w:hint="eastAsia" w:ascii="宋体" w:hAnsi="宋体" w:cs="宋体"/>
          <w:szCs w:val="21"/>
          <w:highlight w:val="none"/>
        </w:rPr>
        <w:t>24条</w:t>
      </w:r>
      <w:r>
        <w:rPr>
          <w:rFonts w:hint="eastAsia" w:ascii="宋体" w:hAnsi="宋体" w:cs="宋体"/>
          <w:szCs w:val="21"/>
        </w:rPr>
        <w:t>，主笔单位按照回收意见对工作组讨论稿进行了修改完善。</w:t>
      </w:r>
    </w:p>
    <w:p>
      <w:pPr>
        <w:spacing w:line="360" w:lineRule="auto"/>
        <w:ind w:firstLine="413" w:firstLineChars="196"/>
        <w:rPr>
          <w:rFonts w:ascii="宋体" w:hAnsi="宋体" w:cs="宋体"/>
          <w:szCs w:val="21"/>
        </w:rPr>
      </w:pPr>
      <w:r>
        <w:rPr>
          <w:rFonts w:hint="eastAsia" w:ascii="宋体" w:hAnsi="宋体" w:cs="宋体"/>
          <w:b/>
          <w:bCs/>
          <w:szCs w:val="21"/>
        </w:rPr>
        <w:t>2021年9月29日：</w:t>
      </w:r>
      <w:r>
        <w:rPr>
          <w:rFonts w:hint="eastAsia" w:ascii="宋体" w:hAnsi="宋体" w:cs="宋体"/>
          <w:szCs w:val="21"/>
        </w:rPr>
        <w:t>在青岛召开起草工作组第二次会议，对标准工作组讨论稿以及所征求的意见内容进行了仔细讨论，形成会议纪要。</w:t>
      </w:r>
    </w:p>
    <w:p>
      <w:pPr>
        <w:spacing w:line="360" w:lineRule="auto"/>
        <w:ind w:firstLine="413" w:firstLineChars="196"/>
        <w:rPr>
          <w:rFonts w:ascii="宋体" w:hAnsi="宋体" w:cs="宋体"/>
          <w:szCs w:val="21"/>
          <w:highlight w:val="none"/>
        </w:rPr>
      </w:pPr>
      <w:r>
        <w:rPr>
          <w:rFonts w:hint="eastAsia" w:ascii="宋体" w:hAnsi="宋体" w:cs="宋体"/>
          <w:b/>
          <w:bCs/>
          <w:szCs w:val="21"/>
        </w:rPr>
        <w:t>2021年10月-11月：</w:t>
      </w:r>
      <w:r>
        <w:rPr>
          <w:rFonts w:hint="eastAsia" w:ascii="宋体" w:hAnsi="宋体" w:cs="宋体"/>
          <w:szCs w:val="21"/>
        </w:rPr>
        <w:t>工作组讨论稿在标准编制工作组内部第三次征求意见，共回收意见</w:t>
      </w:r>
      <w:r>
        <w:rPr>
          <w:rFonts w:hint="eastAsia" w:ascii="宋体" w:hAnsi="宋体" w:cs="宋体"/>
          <w:szCs w:val="21"/>
          <w:highlight w:val="none"/>
        </w:rPr>
        <w:t>45条，主笔单位按照回收意见对工作组讨论稿进行了修改完善。会后</w:t>
      </w:r>
      <w:r>
        <w:rPr>
          <w:rFonts w:hint="eastAsia" w:ascii="黑体" w:hAnsi="黑体" w:eastAsia="黑体" w:cs="黑体"/>
          <w:b/>
          <w:szCs w:val="21"/>
          <w:highlight w:val="none"/>
        </w:rPr>
        <w:t>形成征求意见稿</w:t>
      </w:r>
      <w:r>
        <w:rPr>
          <w:rFonts w:hint="eastAsia" w:ascii="宋体" w:hAnsi="宋体" w:cs="宋体"/>
          <w:szCs w:val="21"/>
          <w:highlight w:val="none"/>
        </w:rPr>
        <w:t>。</w:t>
      </w:r>
    </w:p>
    <w:p>
      <w:pPr>
        <w:spacing w:line="360" w:lineRule="auto"/>
        <w:ind w:firstLine="413" w:firstLineChars="196"/>
        <w:rPr>
          <w:rFonts w:ascii="宋体" w:hAnsi="宋体" w:cs="宋体"/>
          <w:szCs w:val="21"/>
          <w:highlight w:val="yellow"/>
        </w:rPr>
      </w:pPr>
      <w:r>
        <w:rPr>
          <w:rFonts w:hint="eastAsia" w:ascii="宋体" w:hAnsi="宋体" w:cs="宋体"/>
          <w:b/>
          <w:szCs w:val="21"/>
          <w:highlight w:val="none"/>
        </w:rPr>
        <w:t>2020年</w:t>
      </w:r>
      <w:r>
        <w:rPr>
          <w:rFonts w:hint="eastAsia" w:ascii="宋体" w:hAnsi="宋体" w:cs="宋体"/>
          <w:b/>
          <w:szCs w:val="21"/>
          <w:highlight w:val="none"/>
          <w:lang w:val="en-US" w:eastAsia="zh-CN"/>
        </w:rPr>
        <w:t>1</w:t>
      </w:r>
      <w:r>
        <w:rPr>
          <w:rFonts w:hint="eastAsia" w:ascii="宋体" w:hAnsi="宋体" w:cs="宋体"/>
          <w:b/>
          <w:szCs w:val="21"/>
          <w:highlight w:val="none"/>
        </w:rPr>
        <w:t>月</w:t>
      </w:r>
      <w:r>
        <w:rPr>
          <w:rFonts w:hint="eastAsia" w:ascii="宋体" w:hAnsi="宋体" w:cs="宋体"/>
          <w:b/>
          <w:szCs w:val="21"/>
          <w:highlight w:val="none"/>
          <w:lang w:val="en-US" w:eastAsia="zh-CN"/>
        </w:rPr>
        <w:t>10</w:t>
      </w:r>
      <w:r>
        <w:rPr>
          <w:rFonts w:hint="eastAsia" w:ascii="宋体" w:hAnsi="宋体" w:cs="宋体"/>
          <w:b/>
          <w:szCs w:val="21"/>
          <w:highlight w:val="none"/>
        </w:rPr>
        <w:t>日，</w:t>
      </w:r>
      <w:r>
        <w:rPr>
          <w:rFonts w:hint="eastAsia" w:ascii="宋体" w:hAnsi="宋体" w:cs="宋体"/>
          <w:b/>
          <w:bCs/>
          <w:szCs w:val="21"/>
          <w:highlight w:val="none"/>
        </w:rPr>
        <w:t>广泛征求意见</w:t>
      </w:r>
      <w:r>
        <w:rPr>
          <w:rFonts w:hint="eastAsia" w:ascii="宋体" w:hAnsi="宋体" w:cs="宋体"/>
          <w:bCs/>
          <w:szCs w:val="21"/>
          <w:highlight w:val="none"/>
        </w:rPr>
        <w:t>，</w:t>
      </w:r>
      <w:r>
        <w:rPr>
          <w:rFonts w:hint="eastAsia" w:ascii="宋体" w:hAnsi="宋体" w:cs="宋体"/>
          <w:szCs w:val="21"/>
          <w:highlight w:val="none"/>
        </w:rPr>
        <w:t>征求意见稿在网站、微信公众号等平台公示，征集行业意见。</w:t>
      </w:r>
    </w:p>
    <w:p>
      <w:pPr>
        <w:spacing w:line="360" w:lineRule="auto"/>
        <w:rPr>
          <w:rFonts w:ascii="黑体" w:hAnsi="黑体" w:eastAsia="黑体" w:cs="黑体"/>
          <w:b/>
          <w:bCs/>
          <w:kern w:val="0"/>
          <w:szCs w:val="21"/>
          <w:lang w:val="zh-CN"/>
        </w:rPr>
      </w:pPr>
      <w:r>
        <w:rPr>
          <w:rFonts w:hint="eastAsia" w:ascii="黑体" w:hAnsi="黑体" w:eastAsia="黑体" w:cs="黑体"/>
          <w:b/>
          <w:bCs/>
          <w:kern w:val="0"/>
          <w:szCs w:val="21"/>
        </w:rPr>
        <w:t xml:space="preserve">4  </w:t>
      </w:r>
      <w:r>
        <w:rPr>
          <w:rFonts w:hint="eastAsia" w:ascii="黑体" w:hAnsi="黑体" w:eastAsia="黑体" w:cs="黑体"/>
          <w:b/>
          <w:bCs/>
          <w:kern w:val="0"/>
          <w:szCs w:val="21"/>
          <w:lang w:val="zh-CN"/>
        </w:rPr>
        <w:t>主要参加单位和工作组成员及其所做的工作</w:t>
      </w:r>
    </w:p>
    <w:p>
      <w:pPr>
        <w:spacing w:line="360" w:lineRule="auto"/>
        <w:ind w:firstLine="420" w:firstLineChars="200"/>
        <w:rPr>
          <w:rFonts w:ascii="Times New Roman" w:hAnsi="Times New Roman"/>
          <w:szCs w:val="21"/>
        </w:rPr>
      </w:pPr>
      <w:r>
        <w:rPr>
          <w:rFonts w:ascii="Times New Roman" w:hAnsi="Times New Roman"/>
          <w:szCs w:val="21"/>
        </w:rPr>
        <w:t>工作组组长和牵头起草单位是</w:t>
      </w:r>
      <w:r>
        <w:rPr>
          <w:rFonts w:hint="eastAsia" w:ascii="宋体" w:hAnsi="宋体" w:cs="宋体"/>
          <w:szCs w:val="21"/>
        </w:rPr>
        <w:t>国网山东省电力公司营销服务中心（计量中心）</w:t>
      </w:r>
      <w:r>
        <w:rPr>
          <w:rFonts w:ascii="Times New Roman" w:hAnsi="Times New Roman"/>
          <w:szCs w:val="21"/>
        </w:rPr>
        <w:t>，主要起草单位有</w:t>
      </w:r>
      <w:r>
        <w:rPr>
          <w:rFonts w:hint="eastAsia" w:ascii="Times New Roman" w:hAnsi="Times New Roman"/>
          <w:szCs w:val="21"/>
        </w:rPr>
        <w:t>浙江正泰仪器仪表有限责任公司，深圳市星龙科技股份有限公司、深圳市科陆电子科技股份有限公司、北京志翔科技股份有限公司等</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本标准主要起草人：</w:t>
      </w:r>
      <w:r>
        <w:rPr>
          <w:rFonts w:hint="eastAsia" w:ascii="Times New Roman" w:hAnsi="Times New Roman"/>
          <w:szCs w:val="21"/>
        </w:rPr>
        <w:t>代燕杰、董贤光、刘献成、章登清、黄建钟等</w:t>
      </w:r>
      <w:r>
        <w:rPr>
          <w:szCs w:val="21"/>
        </w:rPr>
        <w:t>。</w:t>
      </w:r>
    </w:p>
    <w:p>
      <w:pPr>
        <w:spacing w:line="360" w:lineRule="auto"/>
        <w:ind w:firstLine="420" w:firstLineChars="200"/>
        <w:rPr>
          <w:rFonts w:ascii="Times New Roman" w:hAnsi="Times New Roman"/>
          <w:szCs w:val="21"/>
        </w:rPr>
      </w:pPr>
      <w:r>
        <w:rPr>
          <w:rFonts w:hint="eastAsia" w:ascii="宋体" w:hAnsi="宋体" w:cs="宋体"/>
          <w:szCs w:val="21"/>
        </w:rPr>
        <w:t>国网山东省电力公司营销服务中心（计量中心）</w:t>
      </w:r>
      <w:r>
        <w:rPr>
          <w:rFonts w:ascii="Times New Roman" w:hAnsi="Times New Roman"/>
          <w:szCs w:val="21"/>
        </w:rPr>
        <w:t>作为执笔单位负责了本标准的工作组讨论稿和征求意见稿的起草、修改工作。</w:t>
      </w:r>
    </w:p>
    <w:p>
      <w:pPr>
        <w:spacing w:line="360" w:lineRule="auto"/>
        <w:ind w:firstLine="420" w:firstLineChars="200"/>
        <w:rPr>
          <w:sz w:val="24"/>
          <w:szCs w:val="24"/>
        </w:rPr>
      </w:pPr>
      <w:r>
        <w:rPr>
          <w:rFonts w:hint="eastAsia" w:ascii="Times New Roman" w:hAnsi="Times New Roman"/>
          <w:szCs w:val="21"/>
        </w:rPr>
        <w:t>代燕杰为本标准的主笔人，负责标准的编写，</w:t>
      </w:r>
      <w:r>
        <w:rPr>
          <w:rFonts w:hint="eastAsia" w:ascii="Times New Roman" w:hAnsi="Times New Roman"/>
          <w:szCs w:val="21"/>
          <w:highlight w:val="none"/>
          <w:lang w:val="en-US" w:eastAsia="zh-CN"/>
        </w:rPr>
        <w:t>章登清</w:t>
      </w:r>
      <w:r>
        <w:rPr>
          <w:rFonts w:hint="eastAsia" w:ascii="Times New Roman" w:hAnsi="Times New Roman"/>
          <w:szCs w:val="21"/>
          <w:highlight w:val="none"/>
        </w:rPr>
        <w:t>为本标准起草工作组的组长，</w:t>
      </w:r>
      <w:bookmarkStart w:id="1" w:name="_GoBack"/>
      <w:bookmarkEnd w:id="1"/>
      <w:r>
        <w:rPr>
          <w:rFonts w:hint="eastAsia" w:ascii="Times New Roman" w:hAnsi="Times New Roman"/>
          <w:szCs w:val="21"/>
        </w:rPr>
        <w:t>刘献成、何珊等为本标准起草工作组的组员，负责标准的编写进程和组织协调工作；黄建钟</w:t>
      </w:r>
      <w:r>
        <w:rPr>
          <w:rFonts w:hint="eastAsia" w:ascii="Times New Roman" w:hAnsi="Times New Roman"/>
          <w:szCs w:val="21"/>
          <w:lang w:eastAsia="zh-CN"/>
        </w:rPr>
        <w:t>、</w:t>
      </w:r>
      <w:r>
        <w:rPr>
          <w:rFonts w:hint="eastAsia" w:ascii="Times New Roman" w:hAnsi="Times New Roman"/>
          <w:szCs w:val="21"/>
          <w:lang w:val="en-US" w:eastAsia="zh-CN"/>
        </w:rPr>
        <w:t>郑栩展</w:t>
      </w:r>
      <w:r>
        <w:rPr>
          <w:rFonts w:hint="eastAsia" w:ascii="Times New Roman" w:hAnsi="Times New Roman"/>
          <w:szCs w:val="21"/>
        </w:rPr>
        <w:t>等工作组成员为本标准的编写和修改工作给与大量帮助。</w:t>
      </w:r>
    </w:p>
    <w:p>
      <w:pPr>
        <w:pStyle w:val="3"/>
        <w:rPr>
          <w:rFonts w:ascii="黑体" w:hAnsi="黑体" w:eastAsia="黑体" w:cs="黑体"/>
          <w:sz w:val="21"/>
          <w:szCs w:val="21"/>
          <w:highlight w:val="none"/>
        </w:rPr>
      </w:pPr>
      <w:r>
        <w:rPr>
          <w:rFonts w:hint="eastAsia" w:ascii="黑体" w:hAnsi="黑体" w:eastAsia="黑体" w:cs="黑体"/>
          <w:sz w:val="21"/>
          <w:szCs w:val="21"/>
          <w:highlight w:val="none"/>
        </w:rPr>
        <w:t>二</w:t>
      </w:r>
      <w:r>
        <w:rPr>
          <w:rFonts w:hint="eastAsia"/>
          <w:sz w:val="21"/>
          <w:szCs w:val="21"/>
          <w:highlight w:val="none"/>
        </w:rPr>
        <w:t>、</w:t>
      </w:r>
      <w:r>
        <w:rPr>
          <w:rFonts w:hint="eastAsia" w:ascii="黑体" w:hAnsi="黑体" w:eastAsia="黑体" w:cs="黑体"/>
          <w:sz w:val="21"/>
          <w:szCs w:val="21"/>
          <w:highlight w:val="none"/>
        </w:rPr>
        <w:t xml:space="preserve">  标准编制原则和主要技术内容确定的依据</w:t>
      </w:r>
    </w:p>
    <w:p>
      <w:pPr>
        <w:pStyle w:val="4"/>
        <w:rPr>
          <w:rFonts w:ascii="黑体" w:hAnsi="黑体" w:eastAsia="黑体" w:cs="黑体"/>
          <w:sz w:val="21"/>
          <w:szCs w:val="21"/>
          <w:highlight w:val="none"/>
        </w:rPr>
      </w:pPr>
      <w:r>
        <w:rPr>
          <w:rFonts w:ascii="黑体" w:hAnsi="黑体" w:eastAsia="黑体" w:cs="黑体"/>
          <w:sz w:val="21"/>
          <w:szCs w:val="21"/>
          <w:highlight w:val="none"/>
        </w:rPr>
        <w:t xml:space="preserve">1 </w:t>
      </w:r>
      <w:r>
        <w:rPr>
          <w:rFonts w:hint="eastAsia" w:ascii="黑体" w:hAnsi="黑体" w:eastAsia="黑体" w:cs="黑体"/>
          <w:sz w:val="21"/>
          <w:szCs w:val="21"/>
          <w:highlight w:val="none"/>
        </w:rPr>
        <w:t xml:space="preserve"> 主要阐述标准制定或修订过程遵循的基本原则</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本标准按</w:t>
      </w:r>
      <w:r>
        <w:rPr>
          <w:rFonts w:ascii="宋体" w:hAnsi="宋体" w:cs="宋体"/>
          <w:szCs w:val="21"/>
          <w:highlight w:val="none"/>
        </w:rPr>
        <w:t>GB/T 1.1-</w:t>
      </w:r>
      <w:r>
        <w:rPr>
          <w:rFonts w:hint="eastAsia" w:ascii="宋体" w:hAnsi="宋体" w:cs="宋体"/>
          <w:szCs w:val="21"/>
          <w:highlight w:val="none"/>
        </w:rPr>
        <w:t>2020《标准化工作导则 第1部分：标准化文件的结构和起草规则编写》的要求编写。除参考GB/T 14549-1993的相关内容外，主要在气候适应性、机械和结构、电气性能、电磁兼容性、准确度等方面提出了技术规定，并给出了相应的试验方法。</w:t>
      </w:r>
    </w:p>
    <w:p>
      <w:pPr>
        <w:pStyle w:val="4"/>
        <w:rPr>
          <w:rFonts w:ascii="黑体" w:hAnsi="黑体" w:eastAsia="黑体" w:cs="黑体"/>
          <w:sz w:val="21"/>
          <w:szCs w:val="21"/>
          <w:highlight w:val="none"/>
        </w:rPr>
      </w:pPr>
      <w:r>
        <w:rPr>
          <w:rFonts w:ascii="黑体" w:hAnsi="黑体" w:eastAsia="黑体" w:cs="黑体"/>
          <w:sz w:val="21"/>
          <w:szCs w:val="21"/>
          <w:highlight w:val="none"/>
        </w:rPr>
        <w:t>2</w:t>
      </w:r>
      <w:r>
        <w:rPr>
          <w:rFonts w:hint="eastAsia" w:ascii="黑体" w:hAnsi="黑体" w:eastAsia="黑体" w:cs="黑体"/>
          <w:sz w:val="21"/>
          <w:szCs w:val="21"/>
          <w:highlight w:val="none"/>
        </w:rPr>
        <w:t xml:space="preserve">  标准主要内容中范围、技术要求、试验方法、检验规则依据</w:t>
      </w:r>
    </w:p>
    <w:p>
      <w:pPr>
        <w:spacing w:line="360" w:lineRule="auto"/>
        <w:rPr>
          <w:rFonts w:ascii="黑体" w:hAnsi="黑体" w:eastAsia="黑体" w:cs="黑体"/>
          <w:b/>
          <w:sz w:val="24"/>
          <w:szCs w:val="24"/>
          <w:highlight w:val="none"/>
        </w:rPr>
      </w:pPr>
      <w:r>
        <w:rPr>
          <w:rFonts w:ascii="黑体" w:hAnsi="黑体" w:eastAsia="黑体" w:cs="黑体"/>
          <w:b/>
          <w:szCs w:val="21"/>
          <w:highlight w:val="none"/>
        </w:rPr>
        <w:t xml:space="preserve">2.1 </w:t>
      </w:r>
      <w:r>
        <w:rPr>
          <w:rFonts w:hint="eastAsia" w:ascii="黑体" w:hAnsi="黑体" w:eastAsia="黑体" w:cs="黑体"/>
          <w:b/>
          <w:szCs w:val="21"/>
          <w:highlight w:val="none"/>
        </w:rPr>
        <w:t xml:space="preserve"> 范围</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本文件规定了电能录波器的术语和定义、技术要求、试验方法、检验规则和标志、包装、运输、贮存。</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本文件适用于新制造的400 V及以下低压二次负荷的便携式电能录波器。</w:t>
      </w:r>
    </w:p>
    <w:p>
      <w:pPr>
        <w:spacing w:line="360" w:lineRule="auto"/>
        <w:rPr>
          <w:rFonts w:ascii="黑体" w:hAnsi="黑体" w:eastAsia="黑体" w:cs="黑体"/>
          <w:b/>
          <w:szCs w:val="21"/>
          <w:highlight w:val="none"/>
        </w:rPr>
      </w:pPr>
      <w:r>
        <w:rPr>
          <w:rFonts w:ascii="黑体" w:hAnsi="黑体" w:eastAsia="黑体" w:cs="黑体"/>
          <w:b/>
          <w:szCs w:val="21"/>
          <w:highlight w:val="none"/>
        </w:rPr>
        <w:t>2.</w:t>
      </w:r>
      <w:r>
        <w:rPr>
          <w:rFonts w:hint="eastAsia" w:ascii="黑体" w:hAnsi="黑体" w:eastAsia="黑体" w:cs="黑体"/>
          <w:b/>
          <w:szCs w:val="21"/>
          <w:highlight w:val="none"/>
        </w:rPr>
        <w:t>2　技术要求</w:t>
      </w:r>
    </w:p>
    <w:p>
      <w:pPr>
        <w:spacing w:line="360" w:lineRule="auto"/>
        <w:ind w:firstLine="525" w:firstLineChars="250"/>
        <w:rPr>
          <w:rFonts w:ascii="宋体" w:hAnsi="宋体" w:cs="宋体"/>
          <w:szCs w:val="21"/>
          <w:highlight w:val="none"/>
        </w:rPr>
      </w:pPr>
      <w:r>
        <w:rPr>
          <w:rFonts w:hint="eastAsia" w:ascii="宋体" w:hAnsi="宋体" w:cs="宋体"/>
          <w:szCs w:val="21"/>
          <w:highlight w:val="none"/>
        </w:rPr>
        <w:t>电能录波器的技术要求主要包括气候适应性、机械和结构要求、电气性能要求、电磁兼容性要求、准确度要求。</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2.2.1 气候适应性</w:t>
      </w:r>
    </w:p>
    <w:p>
      <w:pPr>
        <w:spacing w:line="360" w:lineRule="auto"/>
        <w:ind w:firstLine="525" w:firstLineChars="250"/>
        <w:rPr>
          <w:rFonts w:ascii="宋体" w:hAnsi="宋体" w:cs="宋体"/>
          <w:szCs w:val="21"/>
          <w:highlight w:val="none"/>
        </w:rPr>
      </w:pPr>
      <w:r>
        <w:rPr>
          <w:rFonts w:ascii="宋体" w:hAnsi="宋体" w:cs="宋体"/>
          <w:szCs w:val="21"/>
          <w:highlight w:val="none"/>
        </w:rPr>
        <w:t>文件规定了电能录波器的温度范围，规定的工作范围为-25 ℃～60 ℃，极限工作范围、储存和运输极限范围为-40 ℃～70 ℃；年平均的湿度范围小于75%；</w:t>
      </w:r>
      <w:r>
        <w:rPr>
          <w:rFonts w:hint="eastAsia" w:ascii="宋体" w:hAnsi="宋体" w:cs="宋体"/>
          <w:szCs w:val="21"/>
          <w:highlight w:val="none"/>
        </w:rPr>
        <w:t>电能录波器在海拔4000 m及以下应正常工作。</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2.2.2 机械和结构要求</w:t>
      </w:r>
    </w:p>
    <w:p>
      <w:pPr>
        <w:pStyle w:val="21"/>
        <w:spacing w:line="360" w:lineRule="auto"/>
        <w:ind w:firstLine="420"/>
        <w:rPr>
          <w:highlight w:val="none"/>
        </w:rPr>
      </w:pPr>
      <w:r>
        <w:rPr>
          <w:rFonts w:hint="eastAsia" w:hAnsi="宋体" w:cs="宋体"/>
          <w:szCs w:val="21"/>
          <w:highlight w:val="none"/>
        </w:rPr>
        <w:t>电能录波器的机械和结构要求主要包括外观、标识、外壳防护等级、冲击、振动五部分。</w:t>
      </w:r>
      <w:r>
        <w:rPr>
          <w:rFonts w:hint="eastAsia"/>
          <w:highlight w:val="none"/>
        </w:rPr>
        <w:t>外壳防护等级应符合GB/T 4208-2017中 IP 30的规定。电能录波器的冲击与振动要求与GB/T 2423一致。</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2.2.3 电气性能要求</w:t>
      </w:r>
    </w:p>
    <w:p>
      <w:pPr>
        <w:pStyle w:val="24"/>
        <w:numPr>
          <w:ilvl w:val="0"/>
          <w:numId w:val="0"/>
        </w:numPr>
        <w:tabs>
          <w:tab w:val="clear" w:pos="851"/>
        </w:tabs>
        <w:spacing w:line="360" w:lineRule="auto"/>
        <w:rPr>
          <w:rFonts w:ascii="Times New Roman"/>
          <w:highlight w:val="none"/>
        </w:rPr>
      </w:pPr>
      <w:r>
        <w:rPr>
          <w:rFonts w:hint="eastAsia" w:ascii="Times New Roman"/>
          <w:highlight w:val="none"/>
        </w:rPr>
        <w:t xml:space="preserve">    </w:t>
      </w:r>
      <w:r>
        <w:rPr>
          <w:rFonts w:ascii="Times New Roman"/>
          <w:highlight w:val="none"/>
        </w:rPr>
        <w:t>在供电电源方面，电能录波器可采用外接交流电源或内附电池</w:t>
      </w:r>
      <w:r>
        <w:rPr>
          <w:rFonts w:hint="eastAsia" w:ascii="Times New Roman"/>
          <w:highlight w:val="none"/>
        </w:rPr>
        <w:t>，也</w:t>
      </w:r>
      <w:r>
        <w:rPr>
          <w:rFonts w:ascii="Times New Roman"/>
          <w:szCs w:val="21"/>
          <w:highlight w:val="none"/>
        </w:rPr>
        <w:t>可采用供电回路进行供电</w:t>
      </w:r>
      <w:r>
        <w:rPr>
          <w:rFonts w:ascii="Times New Roman"/>
          <w:highlight w:val="none"/>
        </w:rPr>
        <w:t>。</w:t>
      </w:r>
      <w:r>
        <w:rPr>
          <w:rFonts w:hint="eastAsia" w:ascii="Times New Roman"/>
          <w:highlight w:val="none"/>
        </w:rPr>
        <w:t>供电电压允许范围为</w:t>
      </w:r>
      <w:r>
        <w:rPr>
          <w:rFonts w:ascii="Times New Roman"/>
          <w:highlight w:val="none"/>
        </w:rPr>
        <w:t>10%；频率允许范围为5%</w:t>
      </w:r>
      <w:r>
        <w:rPr>
          <w:rFonts w:ascii="Times New Roman"/>
          <w:szCs w:val="21"/>
          <w:highlight w:val="none"/>
        </w:rPr>
        <w:t>。</w:t>
      </w:r>
    </w:p>
    <w:p>
      <w:pPr>
        <w:pStyle w:val="21"/>
        <w:spacing w:line="360" w:lineRule="auto"/>
        <w:ind w:firstLine="420"/>
        <w:rPr>
          <w:rFonts w:ascii="Times New Roman"/>
          <w:highlight w:val="none"/>
        </w:rPr>
      </w:pPr>
      <w:r>
        <w:rPr>
          <w:rFonts w:ascii="Times New Roman"/>
          <w:highlight w:val="none"/>
        </w:rPr>
        <w:t>在输入输出回路方面，</w:t>
      </w:r>
      <w:r>
        <w:rPr>
          <w:rFonts w:ascii="Times New Roman"/>
          <w:szCs w:val="21"/>
          <w:highlight w:val="none"/>
        </w:rPr>
        <w:t>电压信号输入回路</w:t>
      </w:r>
      <w:r>
        <w:rPr>
          <w:rFonts w:ascii="Times New Roman"/>
          <w:highlight w:val="none"/>
        </w:rPr>
        <w:t>可承受的波峰系数</w:t>
      </w:r>
      <w:r>
        <w:rPr>
          <w:rFonts w:hint="eastAsia" w:ascii="Times New Roman"/>
          <w:highlight w:val="none"/>
        </w:rPr>
        <w:t>≥2，常用电压值为</w:t>
      </w:r>
      <w:r>
        <w:rPr>
          <w:rFonts w:ascii="Times New Roman"/>
          <w:highlight w:val="none"/>
        </w:rPr>
        <w:t>57.7 V、100 V、220 V；。</w:t>
      </w:r>
      <w:r>
        <w:rPr>
          <w:rFonts w:ascii="Times New Roman"/>
          <w:szCs w:val="21"/>
          <w:highlight w:val="none"/>
        </w:rPr>
        <w:t>电流信号输入回路</w:t>
      </w:r>
      <w:r>
        <w:rPr>
          <w:rFonts w:hint="eastAsia" w:ascii="Times New Roman"/>
          <w:szCs w:val="21"/>
          <w:highlight w:val="none"/>
        </w:rPr>
        <w:t>常用</w:t>
      </w:r>
      <w:r>
        <w:rPr>
          <w:rFonts w:ascii="Times New Roman"/>
          <w:highlight w:val="none"/>
        </w:rPr>
        <w:t>电流</w:t>
      </w:r>
      <w:r>
        <w:rPr>
          <w:rFonts w:hint="eastAsia" w:ascii="Times New Roman"/>
          <w:highlight w:val="none"/>
        </w:rPr>
        <w:t>为</w:t>
      </w:r>
      <w:r>
        <w:rPr>
          <w:rFonts w:ascii="Times New Roman"/>
          <w:highlight w:val="none"/>
        </w:rPr>
        <w:t>5 A、10 A、100 A。</w:t>
      </w:r>
    </w:p>
    <w:p>
      <w:pPr>
        <w:spacing w:line="360" w:lineRule="auto"/>
        <w:ind w:firstLine="525" w:firstLineChars="250"/>
        <w:rPr>
          <w:highlight w:val="none"/>
        </w:rPr>
      </w:pPr>
      <w:r>
        <w:rPr>
          <w:rFonts w:hint="eastAsia"/>
          <w:highlight w:val="none"/>
        </w:rPr>
        <w:t>在绝缘性能方面，绝缘电阻在测试电压250V时或500V时要求≥5MΩ，脉冲电压试验应按照GB/T 17215.231—2021的要求，交流电压试验应按照GB/T 17215.231-2021的要求。</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2.2.4 电磁兼容性要求</w:t>
      </w:r>
    </w:p>
    <w:p>
      <w:pPr>
        <w:spacing w:line="360" w:lineRule="auto"/>
        <w:ind w:firstLine="525" w:firstLineChars="250"/>
        <w:rPr>
          <w:highlight w:val="none"/>
        </w:rPr>
      </w:pPr>
      <w:r>
        <w:rPr>
          <w:rFonts w:hint="eastAsia"/>
          <w:highlight w:val="none"/>
        </w:rPr>
        <w:t>电能录波器的电磁兼容性规定按照GB/T 17626.3-2018、GB/T 17626.4-2018、GB/T 17626.5-2008、GB/T 17626.11-2008的要求。</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2.2.5 准确度要求</w:t>
      </w:r>
    </w:p>
    <w:p>
      <w:pPr>
        <w:spacing w:line="360" w:lineRule="auto"/>
        <w:ind w:firstLine="420" w:firstLineChars="200"/>
        <w:rPr>
          <w:highlight w:val="none"/>
        </w:rPr>
      </w:pPr>
      <w:r>
        <w:rPr>
          <w:rFonts w:hint="eastAsia"/>
          <w:highlight w:val="none"/>
        </w:rPr>
        <w:t>基波基本误差与谐波基本误差测试需符合允许误差要求。</w:t>
      </w:r>
    </w:p>
    <w:p>
      <w:pPr>
        <w:spacing w:line="360" w:lineRule="auto"/>
        <w:ind w:firstLine="420" w:firstLineChars="200"/>
        <w:rPr>
          <w:rFonts w:hAnsi="宋体"/>
          <w:highlight w:val="none"/>
        </w:rPr>
      </w:pPr>
      <w:r>
        <w:rPr>
          <w:rFonts w:hint="eastAsia" w:hAnsi="宋体"/>
          <w:szCs w:val="21"/>
          <w:highlight w:val="none"/>
        </w:rPr>
        <w:t>在</w:t>
      </w:r>
      <w:r>
        <w:rPr>
          <w:rFonts w:hint="eastAsia"/>
          <w:highlight w:val="none"/>
        </w:rPr>
        <w:t>闪变要求方面，任一通道对方波调制的闪变测量和录波允许误差不应超过5%</w:t>
      </w:r>
      <w:r>
        <w:rPr>
          <w:rFonts w:hint="eastAsia" w:hAnsi="宋体"/>
          <w:highlight w:val="none"/>
        </w:rPr>
        <w:t>。</w:t>
      </w:r>
    </w:p>
    <w:p>
      <w:pPr>
        <w:spacing w:line="360" w:lineRule="auto"/>
        <w:ind w:firstLine="420" w:firstLineChars="200"/>
        <w:rPr>
          <w:rFonts w:hAnsi="宋体"/>
          <w:highlight w:val="none"/>
        </w:rPr>
      </w:pPr>
      <w:r>
        <w:rPr>
          <w:rFonts w:hint="eastAsia" w:hAnsi="宋体"/>
          <w:szCs w:val="21"/>
          <w:highlight w:val="none"/>
        </w:rPr>
        <w:t>在影响量引起的附加误差极限值方面，应单独测试某个影响量引起的误差及其改变量，并</w:t>
      </w:r>
      <w:r>
        <w:rPr>
          <w:rFonts w:hint="eastAsia" w:hAnsi="宋体"/>
          <w:highlight w:val="none"/>
        </w:rPr>
        <w:t>参照</w:t>
      </w:r>
      <w:r>
        <w:rPr>
          <w:rFonts w:hint="eastAsia"/>
          <w:spacing w:val="6"/>
          <w:highlight w:val="none"/>
        </w:rPr>
        <w:t>GB/T 17215.211-2021</w:t>
      </w:r>
      <w:r>
        <w:rPr>
          <w:rFonts w:hint="eastAsia" w:hAnsi="宋体"/>
          <w:highlight w:val="none"/>
        </w:rPr>
        <w:t>的要求。</w:t>
      </w:r>
    </w:p>
    <w:p>
      <w:pPr>
        <w:spacing w:line="360" w:lineRule="auto"/>
        <w:rPr>
          <w:rFonts w:ascii="黑体" w:hAnsi="黑体" w:eastAsia="黑体" w:cs="黑体"/>
          <w:b/>
          <w:szCs w:val="21"/>
          <w:highlight w:val="none"/>
        </w:rPr>
      </w:pPr>
      <w:r>
        <w:rPr>
          <w:rFonts w:ascii="黑体" w:hAnsi="黑体" w:eastAsia="黑体" w:cs="黑体"/>
          <w:b/>
          <w:szCs w:val="21"/>
          <w:highlight w:val="none"/>
        </w:rPr>
        <w:t>2.</w:t>
      </w:r>
      <w:r>
        <w:rPr>
          <w:rFonts w:hint="eastAsia" w:ascii="黑体" w:hAnsi="黑体" w:eastAsia="黑体" w:cs="黑体"/>
          <w:b/>
          <w:szCs w:val="21"/>
          <w:highlight w:val="none"/>
        </w:rPr>
        <w:t>3　试验方法</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2.3.1 气候适应性试验</w:t>
      </w:r>
    </w:p>
    <w:p>
      <w:pPr>
        <w:spacing w:line="360" w:lineRule="auto"/>
        <w:ind w:firstLine="525" w:firstLineChars="250"/>
        <w:rPr>
          <w:highlight w:val="none"/>
        </w:rPr>
      </w:pPr>
      <w:r>
        <w:rPr>
          <w:rFonts w:hint="eastAsia"/>
          <w:highlight w:val="none"/>
        </w:rPr>
        <w:t>根据2.2.2技术要求，试验方法参照通用测量仪表进行，高温试验参照</w:t>
      </w:r>
      <w:r>
        <w:rPr>
          <w:highlight w:val="none"/>
        </w:rPr>
        <w:t>GB/T 2423</w:t>
      </w:r>
      <w:r>
        <w:rPr>
          <w:rFonts w:hint="eastAsia"/>
          <w:highlight w:val="none"/>
        </w:rPr>
        <w:t>.</w:t>
      </w:r>
      <w:r>
        <w:rPr>
          <w:highlight w:val="none"/>
        </w:rPr>
        <w:t>2</w:t>
      </w:r>
      <w:r>
        <w:rPr>
          <w:rFonts w:hint="eastAsia"/>
          <w:highlight w:val="none"/>
        </w:rPr>
        <w:t>—2008</w:t>
      </w:r>
      <w:r>
        <w:rPr>
          <w:highlight w:val="none"/>
        </w:rPr>
        <w:t>规定</w:t>
      </w:r>
      <w:r>
        <w:rPr>
          <w:rFonts w:hint="eastAsia"/>
          <w:highlight w:val="none"/>
        </w:rPr>
        <w:t>的试验要求，低温试验参照</w:t>
      </w:r>
      <w:r>
        <w:rPr>
          <w:highlight w:val="none"/>
        </w:rPr>
        <w:t>GB/T 2423.1</w:t>
      </w:r>
      <w:r>
        <w:rPr>
          <w:rFonts w:hint="eastAsia"/>
          <w:highlight w:val="none"/>
        </w:rPr>
        <w:t>—2008</w:t>
      </w:r>
      <w:r>
        <w:rPr>
          <w:highlight w:val="none"/>
        </w:rPr>
        <w:t>规定</w:t>
      </w:r>
      <w:r>
        <w:rPr>
          <w:rFonts w:hint="eastAsia"/>
          <w:highlight w:val="none"/>
        </w:rPr>
        <w:t>的试验要求，交变湿热试验参照</w:t>
      </w:r>
      <w:r>
        <w:rPr>
          <w:highlight w:val="none"/>
        </w:rPr>
        <w:t>GB/T 2423.</w:t>
      </w:r>
      <w:r>
        <w:rPr>
          <w:rFonts w:hint="eastAsia"/>
          <w:highlight w:val="none"/>
        </w:rPr>
        <w:t>4—2008</w:t>
      </w:r>
      <w:r>
        <w:rPr>
          <w:highlight w:val="none"/>
        </w:rPr>
        <w:t>规定</w:t>
      </w:r>
      <w:r>
        <w:rPr>
          <w:rFonts w:hint="eastAsia"/>
          <w:highlight w:val="none"/>
        </w:rPr>
        <w:t>的</w:t>
      </w:r>
      <w:r>
        <w:rPr>
          <w:highlight w:val="none"/>
        </w:rPr>
        <w:t>试验</w:t>
      </w:r>
      <w:r>
        <w:rPr>
          <w:rFonts w:hint="eastAsia"/>
          <w:highlight w:val="none"/>
        </w:rPr>
        <w:t>要求。</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2.3.2 机械性能与结构试验</w:t>
      </w:r>
    </w:p>
    <w:p>
      <w:pPr>
        <w:spacing w:line="360" w:lineRule="auto"/>
        <w:ind w:firstLine="525" w:firstLineChars="250"/>
        <w:rPr>
          <w:highlight w:val="none"/>
        </w:rPr>
      </w:pPr>
      <w:r>
        <w:rPr>
          <w:rFonts w:hint="eastAsia"/>
          <w:highlight w:val="none"/>
        </w:rPr>
        <w:t>根据2.2.2的要求，冲击试验时施加一个不重复的具有特定峰值加速度和持续时间的标准冲击脉冲波形。对于振动试验，在电能录波器三个互相垂直的轴向上分别施加振动。</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2.3.3 电气性能试验</w:t>
      </w:r>
    </w:p>
    <w:p>
      <w:pPr>
        <w:spacing w:line="360" w:lineRule="auto"/>
        <w:ind w:firstLine="525" w:firstLineChars="250"/>
        <w:rPr>
          <w:highlight w:val="none"/>
        </w:rPr>
      </w:pPr>
      <w:r>
        <w:rPr>
          <w:rFonts w:hint="eastAsia"/>
          <w:highlight w:val="none"/>
        </w:rPr>
        <w:t>在绝缘电阻试验方面，在额定工作条件下，用250 V兆欧表测量电能录波器额定电压不大于60 V的各电气回路对地和各电气回路之间的绝缘电阻；用500 V兆欧表测量电能录波器额定电压大于60 V的各电气回路对地和各电气回路之间的绝缘电阻。</w:t>
      </w:r>
    </w:p>
    <w:p>
      <w:pPr>
        <w:spacing w:line="360" w:lineRule="auto"/>
        <w:ind w:firstLine="525" w:firstLineChars="250"/>
        <w:rPr>
          <w:highlight w:val="none"/>
        </w:rPr>
      </w:pPr>
      <w:r>
        <w:rPr>
          <w:rFonts w:hint="eastAsia"/>
          <w:highlight w:val="none"/>
        </w:rPr>
        <w:t>在</w:t>
      </w:r>
      <w:r>
        <w:rPr>
          <w:rFonts w:hint="eastAsia" w:hAnsi="黑体"/>
          <w:highlight w:val="none"/>
        </w:rPr>
        <w:t>脉冲电压试验方面，参照</w:t>
      </w:r>
      <w:r>
        <w:rPr>
          <w:rFonts w:hint="eastAsia"/>
          <w:highlight w:val="none"/>
        </w:rPr>
        <w:t>GB/T 17215.231-2021相关试验的要求进行。</w:t>
      </w:r>
    </w:p>
    <w:p>
      <w:pPr>
        <w:spacing w:line="360" w:lineRule="auto"/>
        <w:ind w:firstLine="525" w:firstLineChars="250"/>
        <w:rPr>
          <w:highlight w:val="none"/>
        </w:rPr>
      </w:pPr>
      <w:r>
        <w:rPr>
          <w:rFonts w:hint="eastAsia"/>
          <w:highlight w:val="none"/>
        </w:rPr>
        <w:t>在交流电压试验方面，参照GB/T 17215.231-2021相关试验的要求进行。</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2.3.4 电磁兼容性试验</w:t>
      </w:r>
    </w:p>
    <w:p>
      <w:pPr>
        <w:spacing w:line="360" w:lineRule="auto"/>
        <w:ind w:firstLine="525" w:firstLineChars="250"/>
        <w:rPr>
          <w:highlight w:val="none"/>
        </w:rPr>
      </w:pPr>
      <w:r>
        <w:rPr>
          <w:rFonts w:hint="eastAsia"/>
          <w:highlight w:val="none"/>
        </w:rPr>
        <w:t>根据2.2.4的要求，静电放电抗扰度试验按照GB/T 17626.2—2018的规定，射频电磁场辐射抗扰度试验按照GB/T 17626.3—2016的规定，电快速瞬变脉冲群抗扰度试验按照GB/T 17626.4—2018的规定，浪涌（冲击）抗扰度试验按照GB/T 17626.5—2008的规定，电压暂降、短时中断和电压变化的抗扰度试验按照GB/T 17626.11-2008的规定进行。</w:t>
      </w:r>
    </w:p>
    <w:p>
      <w:pPr>
        <w:spacing w:line="360" w:lineRule="auto"/>
        <w:rPr>
          <w:rFonts w:ascii="黑体" w:hAnsi="黑体" w:eastAsia="黑体" w:cs="黑体"/>
          <w:b/>
          <w:szCs w:val="21"/>
          <w:highlight w:val="none"/>
        </w:rPr>
      </w:pPr>
      <w:r>
        <w:rPr>
          <w:rFonts w:hint="eastAsia" w:ascii="黑体" w:hAnsi="黑体" w:eastAsia="黑体" w:cs="黑体"/>
          <w:b/>
          <w:szCs w:val="21"/>
          <w:highlight w:val="none"/>
        </w:rPr>
        <w:t>2.3.5 准确度试验</w:t>
      </w:r>
    </w:p>
    <w:p>
      <w:pPr>
        <w:spacing w:line="360" w:lineRule="auto"/>
        <w:ind w:firstLine="525" w:firstLineChars="250"/>
        <w:rPr>
          <w:rFonts w:ascii="Times New Roman"/>
          <w:highlight w:val="none"/>
        </w:rPr>
      </w:pPr>
      <w:r>
        <w:rPr>
          <w:rFonts w:hint="eastAsia" w:ascii="Times New Roman"/>
          <w:highlight w:val="none"/>
        </w:rPr>
        <w:t>基波基本误差试验，</w:t>
      </w:r>
      <w:r>
        <w:rPr>
          <w:rFonts w:ascii="Times New Roman"/>
          <w:highlight w:val="none"/>
        </w:rPr>
        <w:t>使用标准表法检测基本误差</w:t>
      </w:r>
      <w:r>
        <w:rPr>
          <w:rFonts w:hint="eastAsia" w:ascii="Times New Roman"/>
          <w:highlight w:val="none"/>
        </w:rPr>
        <w:t>。</w:t>
      </w:r>
    </w:p>
    <w:p>
      <w:pPr>
        <w:spacing w:line="360" w:lineRule="auto"/>
        <w:ind w:firstLine="525" w:firstLineChars="250"/>
        <w:rPr>
          <w:rFonts w:ascii="Times New Roman"/>
          <w:highlight w:val="none"/>
        </w:rPr>
      </w:pPr>
      <w:r>
        <w:rPr>
          <w:rFonts w:hint="eastAsia" w:ascii="Times New Roman"/>
          <w:highlight w:val="none"/>
        </w:rPr>
        <w:t>谐波误差试验，</w:t>
      </w:r>
      <w:r>
        <w:rPr>
          <w:spacing w:val="-9"/>
          <w:highlight w:val="none"/>
        </w:rPr>
        <w:t xml:space="preserve">依次对 </w:t>
      </w:r>
      <w:r>
        <w:rPr>
          <w:rFonts w:ascii="Times New Roman" w:eastAsia="Times New Roman"/>
          <w:highlight w:val="none"/>
        </w:rPr>
        <w:t>2</w:t>
      </w:r>
      <w:r>
        <w:rPr>
          <w:rFonts w:hint="eastAsia" w:ascii="Times New Roman"/>
          <w:highlight w:val="none"/>
        </w:rPr>
        <w:t>、3、5、7、11、25、50次谐波分别进行试验。</w:t>
      </w:r>
    </w:p>
    <w:p>
      <w:pPr>
        <w:spacing w:line="360" w:lineRule="auto"/>
        <w:ind w:firstLine="525" w:firstLineChars="250"/>
        <w:rPr>
          <w:highlight w:val="none"/>
        </w:rPr>
      </w:pPr>
      <w:r>
        <w:rPr>
          <w:rFonts w:hint="eastAsia" w:ascii="Times New Roman"/>
          <w:highlight w:val="none"/>
        </w:rPr>
        <w:t>闪变试验，</w:t>
      </w:r>
      <w:r>
        <w:rPr>
          <w:rFonts w:hint="eastAsia"/>
          <w:highlight w:val="none"/>
        </w:rPr>
        <w:t>按照规定的设定值任选4个测试点，在230 V条件下进行测试，记录10min短时间闪变标准值和电能录波器短时间闪变值，以及2 h长时间闪变标准值和电能录波器长时间闪变值，分别按式计算闪变误差。</w:t>
      </w:r>
    </w:p>
    <w:p>
      <w:pPr>
        <w:spacing w:line="360" w:lineRule="auto"/>
        <w:ind w:firstLine="525" w:firstLineChars="250"/>
        <w:rPr>
          <w:rFonts w:ascii="Times New Roman"/>
          <w:highlight w:val="none"/>
        </w:rPr>
      </w:pPr>
      <w:r>
        <w:rPr>
          <w:rFonts w:ascii="Times New Roman"/>
          <w:highlight w:val="none"/>
        </w:rPr>
        <w:t>时钟</w:t>
      </w:r>
      <w:r>
        <w:rPr>
          <w:rFonts w:hint="eastAsia" w:ascii="Times New Roman"/>
          <w:highlight w:val="none"/>
        </w:rPr>
        <w:t>准确度试验，电能录波器</w:t>
      </w:r>
      <w:r>
        <w:rPr>
          <w:rFonts w:ascii="Times New Roman"/>
          <w:highlight w:val="none"/>
        </w:rPr>
        <w:t>与标准时钟测试仪同时记录其指示时间，</w:t>
      </w:r>
      <w:r>
        <w:rPr>
          <w:rFonts w:hint="eastAsia" w:ascii="Times New Roman"/>
          <w:highlight w:val="none"/>
        </w:rPr>
        <w:t>并</w:t>
      </w:r>
      <w:r>
        <w:rPr>
          <w:rFonts w:ascii="Times New Roman"/>
          <w:highlight w:val="none"/>
        </w:rPr>
        <w:t>计算</w:t>
      </w:r>
      <w:r>
        <w:rPr>
          <w:rFonts w:hint="eastAsia" w:ascii="Times New Roman"/>
          <w:highlight w:val="none"/>
        </w:rPr>
        <w:t>电能录波器</w:t>
      </w:r>
      <w:r>
        <w:rPr>
          <w:rFonts w:ascii="Times New Roman"/>
          <w:highlight w:val="none"/>
        </w:rPr>
        <w:t>时钟示值误差</w:t>
      </w:r>
      <w:r>
        <w:rPr>
          <w:rFonts w:hint="eastAsia" w:ascii="Times New Roman"/>
          <w:highlight w:val="none"/>
        </w:rPr>
        <w:t>。</w:t>
      </w:r>
    </w:p>
    <w:p>
      <w:pPr>
        <w:spacing w:line="360" w:lineRule="auto"/>
        <w:ind w:firstLine="525" w:firstLineChars="250"/>
        <w:rPr>
          <w:highlight w:val="none"/>
        </w:rPr>
      </w:pPr>
      <w:r>
        <w:rPr>
          <w:rFonts w:hint="eastAsia" w:ascii="Times New Roman"/>
          <w:highlight w:val="none"/>
        </w:rPr>
        <w:t>影响量试验方面，应分别进行</w:t>
      </w:r>
      <w:r>
        <w:rPr>
          <w:highlight w:val="none"/>
        </w:rPr>
        <w:t>测量线路电压引起的改变量</w:t>
      </w:r>
      <w:r>
        <w:rPr>
          <w:rFonts w:hint="eastAsia"/>
          <w:highlight w:val="none"/>
        </w:rPr>
        <w:t>、测量线路频率引起的改变量、逆相序引起的改变量、</w:t>
      </w:r>
      <w:r>
        <w:rPr>
          <w:highlight w:val="none"/>
        </w:rPr>
        <w:t>电压、电流线路中5次谐波引起的改变量</w:t>
      </w:r>
      <w:r>
        <w:rPr>
          <w:rFonts w:hint="eastAsia"/>
          <w:highlight w:val="none"/>
        </w:rPr>
        <w:t>、</w:t>
      </w:r>
      <w:r>
        <w:rPr>
          <w:highlight w:val="none"/>
        </w:rPr>
        <w:t>电流线路中奇次谐波引起的改变量</w:t>
      </w:r>
      <w:r>
        <w:rPr>
          <w:rFonts w:hint="eastAsia"/>
          <w:highlight w:val="none"/>
        </w:rPr>
        <w:t>、电流电路中的间谐波-脉冲串触发波形试验、</w:t>
      </w:r>
      <w:r>
        <w:rPr>
          <w:highlight w:val="none"/>
        </w:rPr>
        <w:t>电流线路中</w:t>
      </w:r>
      <w:r>
        <w:rPr>
          <w:rFonts w:hint="eastAsia"/>
          <w:highlight w:val="none"/>
        </w:rPr>
        <w:t>直流和偶次</w:t>
      </w:r>
      <w:r>
        <w:rPr>
          <w:highlight w:val="none"/>
        </w:rPr>
        <w:t>谐波引起的改变量</w:t>
      </w:r>
      <w:r>
        <w:rPr>
          <w:rFonts w:hint="eastAsia"/>
          <w:highlight w:val="none"/>
        </w:rPr>
        <w:t>、外部工频磁场引起的改变量等试验。</w:t>
      </w:r>
    </w:p>
    <w:p>
      <w:pPr>
        <w:pStyle w:val="3"/>
        <w:rPr>
          <w:rFonts w:ascii="黑体" w:hAnsi="黑体" w:eastAsia="黑体" w:cs="黑体"/>
          <w:sz w:val="21"/>
          <w:szCs w:val="21"/>
        </w:rPr>
      </w:pPr>
      <w:r>
        <w:rPr>
          <w:rFonts w:hint="eastAsia" w:ascii="黑体" w:hAnsi="黑体" w:eastAsia="黑体" w:cs="黑体"/>
          <w:sz w:val="21"/>
          <w:szCs w:val="21"/>
        </w:rPr>
        <w:t>三</w:t>
      </w:r>
      <w:r>
        <w:rPr>
          <w:rFonts w:hint="eastAsia"/>
          <w:sz w:val="21"/>
          <w:szCs w:val="21"/>
        </w:rPr>
        <w:t>、</w:t>
      </w:r>
      <w:r>
        <w:rPr>
          <w:rFonts w:ascii="Times New Roman" w:hAnsi="Times New Roman"/>
          <w:sz w:val="28"/>
          <w:szCs w:val="28"/>
        </w:rPr>
        <w:t xml:space="preserve"> </w:t>
      </w:r>
      <w:r>
        <w:rPr>
          <w:rFonts w:hint="eastAsia" w:ascii="黑体" w:hAnsi="黑体" w:eastAsia="黑体" w:cs="黑体"/>
          <w:sz w:val="21"/>
          <w:szCs w:val="21"/>
        </w:rPr>
        <w:t>主要试验（或验证）情况</w:t>
      </w:r>
    </w:p>
    <w:p>
      <w:pPr>
        <w:spacing w:line="360" w:lineRule="auto"/>
        <w:ind w:firstLine="420" w:firstLineChars="200"/>
        <w:rPr>
          <w:rFonts w:ascii="Times New Roman"/>
          <w:szCs w:val="21"/>
        </w:rPr>
      </w:pPr>
      <w:r>
        <w:rPr>
          <w:rFonts w:hint="eastAsia" w:ascii="Times New Roman"/>
          <w:szCs w:val="21"/>
        </w:rPr>
        <w:t>本标准在各项指标的试验及验证过程中使用的设备包括：电能录波器、温湿度试验箱、脉冲电压试验装置、交流电压试验装置、防尘防水测试试验箱、</w:t>
      </w:r>
      <w:r>
        <w:rPr>
          <w:rFonts w:ascii="Times New Roman"/>
          <w:szCs w:val="21"/>
        </w:rPr>
        <w:t>灼热丝</w:t>
      </w:r>
      <w:r>
        <w:rPr>
          <w:rFonts w:hint="eastAsia" w:ascii="Times New Roman"/>
          <w:szCs w:val="21"/>
        </w:rPr>
        <w:t>、数字万用表、外磁场试验台、</w:t>
      </w:r>
      <w:r>
        <w:rPr>
          <w:rFonts w:ascii="Times New Roman"/>
          <w:szCs w:val="21"/>
        </w:rPr>
        <w:t>静电放电发生器</w:t>
      </w:r>
      <w:r>
        <w:rPr>
          <w:rFonts w:hint="eastAsia" w:ascii="Times New Roman"/>
          <w:szCs w:val="21"/>
        </w:rPr>
        <w:t>、</w:t>
      </w:r>
      <w:r>
        <w:rPr>
          <w:rFonts w:ascii="Times New Roman"/>
          <w:szCs w:val="21"/>
        </w:rPr>
        <w:t>脉冲群发生器</w:t>
      </w:r>
      <w:r>
        <w:rPr>
          <w:rFonts w:hint="eastAsia" w:ascii="Times New Roman"/>
          <w:szCs w:val="21"/>
        </w:rPr>
        <w:t>、电波暗室、浪涌发生器、衰减震荡波发生器、</w:t>
      </w:r>
      <w:r>
        <w:rPr>
          <w:rFonts w:hint="eastAsia" w:ascii="宋体" w:hAnsi="宋体" w:cs="宋体"/>
          <w:szCs w:val="21"/>
        </w:rPr>
        <w:t>电压短时中断试验装置</w:t>
      </w:r>
      <w:r>
        <w:rPr>
          <w:rFonts w:hint="eastAsia" w:ascii="Times New Roman"/>
          <w:szCs w:val="21"/>
        </w:rPr>
        <w:t>、振动台、冲击台、交变湿热箱等。</w:t>
      </w:r>
    </w:p>
    <w:p>
      <w:pPr>
        <w:spacing w:line="360" w:lineRule="auto"/>
        <w:ind w:firstLine="420" w:firstLineChars="200"/>
        <w:rPr>
          <w:rFonts w:ascii="宋体" w:cs="宋体"/>
          <w:szCs w:val="21"/>
        </w:rPr>
      </w:pPr>
      <w:r>
        <w:rPr>
          <w:rFonts w:ascii="Times New Roman"/>
          <w:szCs w:val="21"/>
        </w:rPr>
        <w:t>在本标准起草工作过程中，委托</w:t>
      </w:r>
      <w:r>
        <w:rPr>
          <w:rFonts w:hint="eastAsia" w:ascii="Times New Roman"/>
          <w:szCs w:val="21"/>
        </w:rPr>
        <w:t>深圳市星龙科技股份有限公司、北京志翔科技股份有限公司</w:t>
      </w:r>
      <w:r>
        <w:rPr>
          <w:rFonts w:hint="eastAsia" w:ascii="宋体" w:hAnsi="宋体" w:cs="宋体"/>
          <w:color w:val="000000"/>
          <w:kern w:val="0"/>
          <w:sz w:val="22"/>
        </w:rPr>
        <w:t>、深圳市科陆电子科技股份有限公司</w:t>
      </w:r>
      <w:r>
        <w:rPr>
          <w:rFonts w:ascii="Times New Roman"/>
          <w:szCs w:val="21"/>
        </w:rPr>
        <w:t>对标准中的主要指标分别进行了验证试验</w:t>
      </w:r>
      <w:r>
        <w:rPr>
          <w:rFonts w:hint="eastAsia" w:ascii="Times New Roman"/>
          <w:szCs w:val="21"/>
        </w:rPr>
        <w:t>并出具了试验报告</w:t>
      </w:r>
      <w:r>
        <w:rPr>
          <w:rFonts w:ascii="Times New Roman"/>
          <w:szCs w:val="21"/>
        </w:rPr>
        <w:t>。</w:t>
      </w:r>
    </w:p>
    <w:p>
      <w:pPr>
        <w:spacing w:line="360" w:lineRule="auto"/>
        <w:ind w:firstLine="420" w:firstLineChars="200"/>
        <w:rPr>
          <w:rFonts w:ascii="宋体" w:hAnsi="宋体" w:cs="宋体"/>
          <w:szCs w:val="21"/>
        </w:rPr>
      </w:pPr>
      <w:r>
        <w:rPr>
          <w:rFonts w:hint="eastAsia" w:ascii="宋体" w:hAnsi="宋体" w:cs="宋体"/>
          <w:szCs w:val="21"/>
        </w:rPr>
        <w:t>对电能录波器的测量准确度、电气要求和电磁兼容要求进行了测试，测试结果均符合本标准中的指标要求，为标准的制定提供了试验数据支撑。</w:t>
      </w:r>
    </w:p>
    <w:p>
      <w:pPr>
        <w:pStyle w:val="3"/>
        <w:rPr>
          <w:rFonts w:ascii="黑体" w:hAnsi="黑体" w:eastAsia="黑体" w:cs="黑体"/>
          <w:b w:val="0"/>
          <w:bCs w:val="0"/>
          <w:sz w:val="21"/>
          <w:szCs w:val="21"/>
        </w:rPr>
      </w:pPr>
      <w:r>
        <w:rPr>
          <w:rFonts w:hint="eastAsia" w:ascii="黑体" w:hAnsi="黑体" w:eastAsia="黑体" w:cs="黑体"/>
          <w:sz w:val="21"/>
          <w:szCs w:val="21"/>
        </w:rPr>
        <w:t>四、 标准涉及专利情况</w:t>
      </w:r>
    </w:p>
    <w:p>
      <w:pPr>
        <w:spacing w:line="360" w:lineRule="auto"/>
        <w:ind w:firstLine="420" w:firstLineChars="200"/>
        <w:rPr>
          <w:sz w:val="24"/>
          <w:szCs w:val="24"/>
        </w:rPr>
      </w:pPr>
      <w:r>
        <w:rPr>
          <w:rFonts w:hint="eastAsia"/>
          <w:szCs w:val="21"/>
        </w:rPr>
        <w:t>本文件不涉及任何专利问题</w:t>
      </w:r>
      <w:r>
        <w:rPr>
          <w:sz w:val="24"/>
          <w:szCs w:val="24"/>
        </w:rPr>
        <w:t>。</w:t>
      </w:r>
    </w:p>
    <w:p>
      <w:pPr>
        <w:pStyle w:val="3"/>
        <w:rPr>
          <w:rFonts w:ascii="黑体" w:hAnsi="黑体" w:eastAsia="黑体" w:cs="黑体"/>
          <w:sz w:val="21"/>
          <w:szCs w:val="21"/>
        </w:rPr>
      </w:pPr>
      <w:r>
        <w:rPr>
          <w:rFonts w:hint="eastAsia" w:ascii="黑体" w:hAnsi="黑体" w:eastAsia="黑体" w:cs="黑体"/>
          <w:sz w:val="21"/>
          <w:szCs w:val="21"/>
        </w:rPr>
        <w:t>五、 预期达到的社会效益、对产业发展的作用</w:t>
      </w:r>
    </w:p>
    <w:p>
      <w:pPr>
        <w:spacing w:line="360" w:lineRule="auto"/>
        <w:ind w:firstLine="420" w:firstLineChars="200"/>
        <w:rPr>
          <w:rFonts w:ascii="Times New Roman" w:hAnsi="Times New Roman"/>
          <w:lang w:val="zh-CN"/>
        </w:rPr>
      </w:pPr>
      <w:r>
        <w:rPr>
          <w:rFonts w:hint="eastAsia" w:ascii="宋体" w:hAnsi="宋体" w:cs="宋体"/>
          <w:szCs w:val="21"/>
        </w:rPr>
        <w:t>随着电力电子技术的迅猛发展，对各种用电设备运行状态及用能监测及记录所用的电能录波器越来越广泛。</w:t>
      </w:r>
      <w:r>
        <w:rPr>
          <w:rFonts w:hint="eastAsia" w:ascii="Times New Roman" w:hAnsi="Times New Roman"/>
          <w:lang w:val="zh-CN"/>
        </w:rPr>
        <w:t>本文件的制订可以规范电能录波器产品的技术要求以及对应的试验方法，</w:t>
      </w:r>
      <w:r>
        <w:rPr>
          <w:rFonts w:hint="eastAsia" w:ascii="宋体" w:hAnsi="宋体" w:cs="宋体"/>
          <w:szCs w:val="21"/>
        </w:rPr>
        <w:t>进一步规范电能录波器的设计、制造、检验及应用，</w:t>
      </w:r>
      <w:r>
        <w:rPr>
          <w:rFonts w:hint="eastAsia" w:ascii="Times New Roman" w:hAnsi="Times New Roman"/>
          <w:lang w:val="zh-CN"/>
        </w:rPr>
        <w:t>为促进</w:t>
      </w:r>
      <w:r>
        <w:rPr>
          <w:rFonts w:hint="eastAsia" w:ascii="宋体" w:hAnsi="宋体" w:cs="宋体"/>
          <w:szCs w:val="21"/>
        </w:rPr>
        <w:t>电能计量技术进步和产业发展</w:t>
      </w:r>
      <w:r>
        <w:rPr>
          <w:rFonts w:hint="eastAsia" w:ascii="Times New Roman" w:hAnsi="Times New Roman"/>
          <w:lang w:val="zh-CN"/>
        </w:rPr>
        <w:t>提供了标准支撑。</w:t>
      </w:r>
    </w:p>
    <w:p>
      <w:pPr>
        <w:pStyle w:val="3"/>
        <w:rPr>
          <w:rFonts w:ascii="黑体" w:hAnsi="黑体" w:eastAsia="黑体" w:cs="黑体"/>
          <w:sz w:val="21"/>
          <w:szCs w:val="21"/>
        </w:rPr>
      </w:pPr>
      <w:r>
        <w:rPr>
          <w:rFonts w:hint="eastAsia" w:ascii="黑体" w:hAnsi="黑体" w:eastAsia="黑体" w:cs="黑体"/>
          <w:sz w:val="21"/>
          <w:szCs w:val="21"/>
        </w:rPr>
        <w:t>六、与国际、国外同类标准水平的对比情况</w:t>
      </w:r>
    </w:p>
    <w:p>
      <w:pPr>
        <w:spacing w:line="360" w:lineRule="auto"/>
        <w:ind w:firstLine="420" w:firstLineChars="200"/>
        <w:rPr>
          <w:rFonts w:ascii="Times New Roman" w:hAnsi="Times New Roman"/>
          <w:szCs w:val="21"/>
        </w:rPr>
      </w:pPr>
      <w:r>
        <w:rPr>
          <w:rFonts w:ascii="Times New Roman" w:hAnsi="Times New Roman"/>
          <w:szCs w:val="21"/>
        </w:rPr>
        <w:t>国外无相关标准。</w:t>
      </w:r>
    </w:p>
    <w:p>
      <w:pPr>
        <w:pStyle w:val="3"/>
        <w:rPr>
          <w:rFonts w:ascii="黑体" w:hAnsi="黑体" w:eastAsia="黑体" w:cs="黑体"/>
          <w:sz w:val="21"/>
          <w:szCs w:val="21"/>
        </w:rPr>
      </w:pPr>
      <w:r>
        <w:rPr>
          <w:rFonts w:hint="eastAsia" w:ascii="黑体" w:hAnsi="黑体" w:eastAsia="黑体" w:cs="黑体"/>
          <w:sz w:val="21"/>
          <w:szCs w:val="21"/>
        </w:rPr>
        <w:t>七、在标准体系中的位置，与现行相关法律、法规、规章及相关标准，特别是强制性标准的协调性</w:t>
      </w:r>
    </w:p>
    <w:p>
      <w:pPr>
        <w:spacing w:line="360" w:lineRule="auto"/>
        <w:ind w:firstLine="420" w:firstLineChars="200"/>
        <w:rPr>
          <w:rFonts w:ascii="Times New Roman" w:hAnsi="Times New Roman"/>
          <w:szCs w:val="21"/>
        </w:rPr>
      </w:pPr>
      <w:r>
        <w:rPr>
          <w:rFonts w:hint="eastAsia"/>
        </w:rPr>
        <w:t>与相关技术领域的国家现行法律、法规和政策保持一致。</w:t>
      </w:r>
      <w:r>
        <w:rPr>
          <w:rFonts w:ascii="Times New Roman" w:hAnsi="Times New Roman"/>
          <w:szCs w:val="21"/>
        </w:rPr>
        <w:t>与现有标准、制定中的标准没有矛盾。</w:t>
      </w:r>
    </w:p>
    <w:p>
      <w:pPr>
        <w:pStyle w:val="3"/>
        <w:rPr>
          <w:rFonts w:ascii="黑体" w:hAnsi="黑体" w:eastAsia="黑体" w:cs="黑体"/>
          <w:sz w:val="21"/>
          <w:szCs w:val="21"/>
        </w:rPr>
      </w:pPr>
      <w:r>
        <w:rPr>
          <w:rFonts w:hint="eastAsia" w:ascii="黑体" w:hAnsi="黑体" w:eastAsia="黑体" w:cs="黑体"/>
          <w:sz w:val="21"/>
          <w:szCs w:val="21"/>
        </w:rPr>
        <w:t>八、标准性质的重大分歧意见的处理经过和依据</w:t>
      </w:r>
    </w:p>
    <w:p>
      <w:pPr>
        <w:spacing w:line="360" w:lineRule="auto"/>
        <w:ind w:firstLine="420" w:firstLineChars="200"/>
        <w:rPr>
          <w:rFonts w:ascii="Times New Roman" w:hAnsi="Times New Roman"/>
          <w:lang w:val="zh-CN"/>
        </w:rPr>
      </w:pPr>
      <w:r>
        <w:rPr>
          <w:rFonts w:ascii="Times New Roman" w:hAnsi="Times New Roman"/>
          <w:lang w:val="zh-CN"/>
        </w:rPr>
        <w:t>无。</w:t>
      </w:r>
    </w:p>
    <w:p>
      <w:pPr>
        <w:pStyle w:val="3"/>
        <w:rPr>
          <w:rFonts w:ascii="黑体" w:hAnsi="黑体" w:eastAsia="黑体" w:cs="黑体"/>
          <w:sz w:val="21"/>
          <w:szCs w:val="21"/>
        </w:rPr>
      </w:pPr>
      <w:r>
        <w:rPr>
          <w:rFonts w:hint="eastAsia" w:ascii="黑体" w:hAnsi="黑体" w:eastAsia="黑体" w:cs="黑体"/>
          <w:sz w:val="21"/>
          <w:szCs w:val="21"/>
        </w:rPr>
        <w:t>九、标准性质的建议说明</w:t>
      </w:r>
    </w:p>
    <w:p>
      <w:pPr>
        <w:spacing w:line="400" w:lineRule="exact"/>
        <w:ind w:firstLine="420" w:firstLineChars="200"/>
        <w:rPr>
          <w:rFonts w:ascii="Times New Roman" w:hAnsi="Times New Roman"/>
          <w:szCs w:val="21"/>
        </w:rPr>
      </w:pPr>
      <w:r>
        <w:rPr>
          <w:rFonts w:hint="eastAsia" w:ascii="Times New Roman" w:hAnsi="Times New Roman"/>
          <w:szCs w:val="21"/>
        </w:rPr>
        <w:t>本标准为推荐性标准，旨在为此类设备的</w:t>
      </w:r>
      <w:r>
        <w:rPr>
          <w:rFonts w:ascii="Times New Roman" w:hAnsi="Times New Roman"/>
        </w:rPr>
        <w:t>设计、制造、检验和验收</w:t>
      </w:r>
      <w:r>
        <w:rPr>
          <w:rFonts w:hint="eastAsia" w:ascii="Times New Roman" w:hAnsi="Times New Roman"/>
          <w:szCs w:val="21"/>
        </w:rPr>
        <w:t>提供规范性依据，但不强制执行。</w:t>
      </w:r>
    </w:p>
    <w:p>
      <w:pPr>
        <w:spacing w:line="400" w:lineRule="exact"/>
        <w:ind w:firstLine="422" w:firstLineChars="200"/>
        <w:rPr>
          <w:rFonts w:ascii="黑体" w:hAnsi="黑体" w:eastAsia="黑体" w:cs="黑体"/>
          <w:b/>
          <w:bCs/>
          <w:szCs w:val="21"/>
        </w:rPr>
      </w:pPr>
      <w:r>
        <w:rPr>
          <w:rFonts w:hint="eastAsia" w:ascii="黑体" w:hAnsi="黑体" w:eastAsia="黑体" w:cs="黑体"/>
          <w:b/>
          <w:bCs/>
          <w:szCs w:val="21"/>
        </w:rPr>
        <w:t>十</w:t>
      </w:r>
      <w:r>
        <w:rPr>
          <w:rFonts w:hint="eastAsia" w:ascii="黑体" w:hAnsi="黑体" w:eastAsia="黑体" w:cs="黑体"/>
          <w:szCs w:val="21"/>
        </w:rPr>
        <w:t>、</w:t>
      </w:r>
      <w:r>
        <w:rPr>
          <w:rFonts w:hint="eastAsia" w:ascii="黑体" w:hAnsi="黑体" w:eastAsia="黑体" w:cs="黑体"/>
          <w:b/>
          <w:bCs/>
          <w:szCs w:val="21"/>
        </w:rPr>
        <w:t>贯彻标准的要求和措施建议（包括组织措施、技术措施、过渡办法、实施日期等）</w:t>
      </w:r>
    </w:p>
    <w:p>
      <w:pPr>
        <w:spacing w:line="600" w:lineRule="exact"/>
        <w:rPr>
          <w:rFonts w:ascii="Times New Roman" w:hAnsi="Times New Roman"/>
          <w:lang w:val="zh-CN"/>
        </w:rPr>
      </w:pPr>
      <w:r>
        <w:rPr>
          <w:rFonts w:hint="eastAsia" w:ascii="Times New Roman" w:hAnsi="Times New Roman"/>
        </w:rPr>
        <w:t xml:space="preserve">    </w:t>
      </w:r>
      <w:r>
        <w:rPr>
          <w:rFonts w:ascii="Times New Roman" w:hAnsi="Times New Roman"/>
          <w:lang w:val="zh-CN"/>
        </w:rPr>
        <w:t>无。</w:t>
      </w:r>
    </w:p>
    <w:p>
      <w:pPr>
        <w:spacing w:line="600" w:lineRule="exact"/>
        <w:rPr>
          <w:rFonts w:ascii="黑体" w:hAnsi="黑体" w:eastAsia="黑体" w:cs="黑体"/>
          <w:b/>
          <w:bCs/>
          <w:szCs w:val="21"/>
        </w:rPr>
      </w:pPr>
      <w:r>
        <w:rPr>
          <w:rFonts w:hint="eastAsia" w:ascii="黑体" w:hAnsi="黑体" w:eastAsia="黑体" w:cs="黑体"/>
          <w:b/>
          <w:bCs/>
          <w:szCs w:val="21"/>
        </w:rPr>
        <w:t>十一</w:t>
      </w:r>
      <w:r>
        <w:rPr>
          <w:rFonts w:hint="eastAsia" w:ascii="黑体" w:hAnsi="黑体" w:eastAsia="黑体" w:cs="黑体"/>
          <w:szCs w:val="21"/>
        </w:rPr>
        <w:t>、</w:t>
      </w:r>
      <w:r>
        <w:rPr>
          <w:rFonts w:hint="eastAsia" w:ascii="黑体" w:hAnsi="黑体" w:eastAsia="黑体" w:cs="黑体"/>
          <w:b/>
          <w:bCs/>
          <w:szCs w:val="21"/>
        </w:rPr>
        <w:t>废止现行相关标准的建议</w:t>
      </w:r>
    </w:p>
    <w:p>
      <w:pPr>
        <w:spacing w:line="600" w:lineRule="exact"/>
        <w:rPr>
          <w:rFonts w:ascii="黑体" w:hAnsi="黑体" w:eastAsia="黑体" w:cs="黑体"/>
          <w:b/>
          <w:bCs/>
          <w:szCs w:val="21"/>
        </w:rPr>
      </w:pPr>
      <w:r>
        <w:rPr>
          <w:rFonts w:hint="eastAsia" w:ascii="宋体" w:hAnsi="宋体" w:cs="宋体"/>
          <w:szCs w:val="21"/>
        </w:rPr>
        <w:t xml:space="preserve">    无。</w:t>
      </w:r>
    </w:p>
    <w:p>
      <w:pPr>
        <w:spacing w:line="400" w:lineRule="exact"/>
        <w:ind w:left="1054" w:hanging="1054" w:hangingChars="500"/>
        <w:rPr>
          <w:rFonts w:ascii="黑体" w:hAnsi="黑体" w:eastAsia="黑体" w:cs="黑体"/>
          <w:b/>
          <w:bCs/>
          <w:kern w:val="0"/>
          <w:szCs w:val="21"/>
          <w:lang w:val="zh-CN"/>
        </w:rPr>
      </w:pPr>
      <w:r>
        <w:rPr>
          <w:rFonts w:hint="eastAsia" w:ascii="黑体" w:hAnsi="黑体" w:eastAsia="黑体" w:cs="黑体"/>
          <w:b/>
          <w:bCs/>
          <w:szCs w:val="21"/>
        </w:rPr>
        <w:t>十二</w:t>
      </w:r>
      <w:r>
        <w:rPr>
          <w:rFonts w:hint="eastAsia" w:ascii="黑体" w:hAnsi="黑体" w:eastAsia="黑体" w:cs="黑体"/>
          <w:szCs w:val="21"/>
        </w:rPr>
        <w:t>、</w:t>
      </w:r>
      <w:r>
        <w:rPr>
          <w:rFonts w:hint="eastAsia" w:ascii="黑体" w:hAnsi="黑体" w:eastAsia="黑体" w:cs="黑体"/>
          <w:b/>
          <w:bCs/>
          <w:kern w:val="0"/>
          <w:szCs w:val="21"/>
          <w:lang w:val="zh-CN"/>
        </w:rPr>
        <w:t>其他予以说明的事项</w:t>
      </w:r>
    </w:p>
    <w:p>
      <w:pPr>
        <w:spacing w:line="360" w:lineRule="auto"/>
        <w:ind w:firstLine="420" w:firstLineChars="200"/>
        <w:rPr>
          <w:sz w:val="24"/>
          <w:szCs w:val="24"/>
          <w:lang w:val="zh-CN"/>
        </w:rPr>
      </w:pPr>
      <w:r>
        <w:rPr>
          <w:rFonts w:hint="eastAsia" w:ascii="宋体" w:hAnsi="宋体" w:cs="宋体"/>
          <w:szCs w:val="21"/>
        </w:rPr>
        <w:t>在第一次工作组会议上，工作组对标准草案稿的标准化对象，标准结构进行了认真、细致讨论，工作组认为，标准的结构相比于技术规范更接近产品标准，因此工作组将标准更名。原标准名称“电能录波器技术规范”修改为“电能录波器”</w:t>
      </w:r>
      <w:r>
        <w:rPr>
          <w:rFonts w:hint="eastAsia" w:ascii="宋体" w:hAnsi="宋体" w:cs="宋体"/>
          <w:szCs w:val="21"/>
          <w:lang w:val="zh-CN"/>
        </w:rPr>
        <w:t>。</w:t>
      </w:r>
    </w:p>
    <w:p>
      <w:pPr>
        <w:spacing w:line="400" w:lineRule="exact"/>
        <w:ind w:firstLine="420"/>
        <w:rPr>
          <w:rFonts w:ascii="宋体" w:hAnsi="宋体" w:cs="宋体"/>
          <w:szCs w:val="21"/>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3</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4"/>
      <w:lvlText w:val="%1)"/>
      <w:lvlJc w:val="left"/>
      <w:pPr>
        <w:tabs>
          <w:tab w:val="left" w:pos="851"/>
        </w:tabs>
        <w:ind w:left="851" w:hanging="426"/>
      </w:pPr>
      <w:rPr>
        <w:rFonts w:hint="eastAsia" w:ascii="宋体" w:hAnsi="Times New Roman" w:eastAsia="宋体"/>
        <w:sz w:val="21"/>
      </w:rPr>
    </w:lvl>
    <w:lvl w:ilvl="1" w:tentative="0">
      <w:start w:val="1"/>
      <w:numFmt w:val="decimal"/>
      <w:pStyle w:val="25"/>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26"/>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D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46BA"/>
    <w:rsid w:val="00076F33"/>
    <w:rsid w:val="00091438"/>
    <w:rsid w:val="000929A1"/>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2193A"/>
    <w:rsid w:val="00131C05"/>
    <w:rsid w:val="001327F4"/>
    <w:rsid w:val="0013476B"/>
    <w:rsid w:val="00140FB8"/>
    <w:rsid w:val="00141B98"/>
    <w:rsid w:val="001446ED"/>
    <w:rsid w:val="00146EDD"/>
    <w:rsid w:val="00161356"/>
    <w:rsid w:val="00165275"/>
    <w:rsid w:val="00183189"/>
    <w:rsid w:val="00184D4C"/>
    <w:rsid w:val="00192421"/>
    <w:rsid w:val="00192C8B"/>
    <w:rsid w:val="00194207"/>
    <w:rsid w:val="001A507A"/>
    <w:rsid w:val="001B4E14"/>
    <w:rsid w:val="001C3ED8"/>
    <w:rsid w:val="001C5231"/>
    <w:rsid w:val="001C55ED"/>
    <w:rsid w:val="001D038D"/>
    <w:rsid w:val="001F7207"/>
    <w:rsid w:val="001F7AB4"/>
    <w:rsid w:val="002004B4"/>
    <w:rsid w:val="002004D0"/>
    <w:rsid w:val="00206A66"/>
    <w:rsid w:val="00210C5F"/>
    <w:rsid w:val="002145BD"/>
    <w:rsid w:val="00221BDC"/>
    <w:rsid w:val="00224108"/>
    <w:rsid w:val="00243479"/>
    <w:rsid w:val="00247BF2"/>
    <w:rsid w:val="002542CE"/>
    <w:rsid w:val="0026529F"/>
    <w:rsid w:val="00284FBA"/>
    <w:rsid w:val="00285508"/>
    <w:rsid w:val="002864C4"/>
    <w:rsid w:val="00292180"/>
    <w:rsid w:val="00293FB6"/>
    <w:rsid w:val="00294CF4"/>
    <w:rsid w:val="002A3B58"/>
    <w:rsid w:val="002A484B"/>
    <w:rsid w:val="002A6CD7"/>
    <w:rsid w:val="002B4C66"/>
    <w:rsid w:val="002C464D"/>
    <w:rsid w:val="002C4E91"/>
    <w:rsid w:val="002C769C"/>
    <w:rsid w:val="002E1DAF"/>
    <w:rsid w:val="002E2F23"/>
    <w:rsid w:val="002F02C5"/>
    <w:rsid w:val="002F3DF7"/>
    <w:rsid w:val="002F7CA0"/>
    <w:rsid w:val="0030109E"/>
    <w:rsid w:val="00307E6D"/>
    <w:rsid w:val="00310AD6"/>
    <w:rsid w:val="00311B24"/>
    <w:rsid w:val="00312657"/>
    <w:rsid w:val="00316AEB"/>
    <w:rsid w:val="00317C9F"/>
    <w:rsid w:val="0034542C"/>
    <w:rsid w:val="00345489"/>
    <w:rsid w:val="00351087"/>
    <w:rsid w:val="003604FE"/>
    <w:rsid w:val="00371A8E"/>
    <w:rsid w:val="0037225A"/>
    <w:rsid w:val="003736A6"/>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A3A"/>
    <w:rsid w:val="004001EF"/>
    <w:rsid w:val="00411CCA"/>
    <w:rsid w:val="0042301F"/>
    <w:rsid w:val="00426380"/>
    <w:rsid w:val="00426D41"/>
    <w:rsid w:val="00433F0D"/>
    <w:rsid w:val="00453CFD"/>
    <w:rsid w:val="0046366A"/>
    <w:rsid w:val="00472477"/>
    <w:rsid w:val="00473EC6"/>
    <w:rsid w:val="00491AAF"/>
    <w:rsid w:val="00494341"/>
    <w:rsid w:val="00495729"/>
    <w:rsid w:val="004958A9"/>
    <w:rsid w:val="004B42FD"/>
    <w:rsid w:val="004D035F"/>
    <w:rsid w:val="004D25D8"/>
    <w:rsid w:val="004D6719"/>
    <w:rsid w:val="004E142A"/>
    <w:rsid w:val="004E5B62"/>
    <w:rsid w:val="004F77A2"/>
    <w:rsid w:val="004F7B35"/>
    <w:rsid w:val="005023D2"/>
    <w:rsid w:val="00504D78"/>
    <w:rsid w:val="00514919"/>
    <w:rsid w:val="0052574F"/>
    <w:rsid w:val="0053279D"/>
    <w:rsid w:val="0054263F"/>
    <w:rsid w:val="005453CA"/>
    <w:rsid w:val="00547862"/>
    <w:rsid w:val="005517EF"/>
    <w:rsid w:val="00551D13"/>
    <w:rsid w:val="0055341B"/>
    <w:rsid w:val="00554865"/>
    <w:rsid w:val="00560931"/>
    <w:rsid w:val="00576B8F"/>
    <w:rsid w:val="00580A71"/>
    <w:rsid w:val="00581791"/>
    <w:rsid w:val="00596C29"/>
    <w:rsid w:val="005A0A0F"/>
    <w:rsid w:val="005A7101"/>
    <w:rsid w:val="005B04B9"/>
    <w:rsid w:val="005D3277"/>
    <w:rsid w:val="005E1501"/>
    <w:rsid w:val="005E3C02"/>
    <w:rsid w:val="005F1579"/>
    <w:rsid w:val="005F2E08"/>
    <w:rsid w:val="005F79C2"/>
    <w:rsid w:val="00601078"/>
    <w:rsid w:val="00607AF6"/>
    <w:rsid w:val="00612AE7"/>
    <w:rsid w:val="00634184"/>
    <w:rsid w:val="00642FCC"/>
    <w:rsid w:val="00647254"/>
    <w:rsid w:val="00656F8B"/>
    <w:rsid w:val="00657FF9"/>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20F6"/>
    <w:rsid w:val="00735D69"/>
    <w:rsid w:val="0074014F"/>
    <w:rsid w:val="00740307"/>
    <w:rsid w:val="00741613"/>
    <w:rsid w:val="00752B3F"/>
    <w:rsid w:val="007638AD"/>
    <w:rsid w:val="00775364"/>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40377"/>
    <w:rsid w:val="0085109D"/>
    <w:rsid w:val="008652F1"/>
    <w:rsid w:val="008A1B7C"/>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10C43"/>
    <w:rsid w:val="00A218BA"/>
    <w:rsid w:val="00A43FDA"/>
    <w:rsid w:val="00A45735"/>
    <w:rsid w:val="00A55416"/>
    <w:rsid w:val="00A577E2"/>
    <w:rsid w:val="00A62621"/>
    <w:rsid w:val="00A65029"/>
    <w:rsid w:val="00A73B4E"/>
    <w:rsid w:val="00A76F83"/>
    <w:rsid w:val="00A854F6"/>
    <w:rsid w:val="00A855B9"/>
    <w:rsid w:val="00A9442A"/>
    <w:rsid w:val="00AA02D0"/>
    <w:rsid w:val="00AA1F60"/>
    <w:rsid w:val="00AB29A6"/>
    <w:rsid w:val="00AC2761"/>
    <w:rsid w:val="00AD128C"/>
    <w:rsid w:val="00AD3B06"/>
    <w:rsid w:val="00AF29E8"/>
    <w:rsid w:val="00AF2FC0"/>
    <w:rsid w:val="00B03E6A"/>
    <w:rsid w:val="00B0432B"/>
    <w:rsid w:val="00B04431"/>
    <w:rsid w:val="00B05335"/>
    <w:rsid w:val="00B07968"/>
    <w:rsid w:val="00B223D8"/>
    <w:rsid w:val="00B227F6"/>
    <w:rsid w:val="00B363A1"/>
    <w:rsid w:val="00B5376B"/>
    <w:rsid w:val="00B710A0"/>
    <w:rsid w:val="00B94948"/>
    <w:rsid w:val="00BA1248"/>
    <w:rsid w:val="00BB392C"/>
    <w:rsid w:val="00BC2A58"/>
    <w:rsid w:val="00BC463B"/>
    <w:rsid w:val="00BC4820"/>
    <w:rsid w:val="00BD2A6B"/>
    <w:rsid w:val="00BE01BA"/>
    <w:rsid w:val="00BF3D86"/>
    <w:rsid w:val="00C02B99"/>
    <w:rsid w:val="00C0676C"/>
    <w:rsid w:val="00C06773"/>
    <w:rsid w:val="00C07FD7"/>
    <w:rsid w:val="00C24F5C"/>
    <w:rsid w:val="00C27F6A"/>
    <w:rsid w:val="00C303B6"/>
    <w:rsid w:val="00C35947"/>
    <w:rsid w:val="00C35DF7"/>
    <w:rsid w:val="00C43FDE"/>
    <w:rsid w:val="00C63018"/>
    <w:rsid w:val="00C63B25"/>
    <w:rsid w:val="00C70BED"/>
    <w:rsid w:val="00C76244"/>
    <w:rsid w:val="00C82E2D"/>
    <w:rsid w:val="00C85261"/>
    <w:rsid w:val="00CA6EBE"/>
    <w:rsid w:val="00CC7860"/>
    <w:rsid w:val="00CD43CB"/>
    <w:rsid w:val="00CD6C9A"/>
    <w:rsid w:val="00CF074D"/>
    <w:rsid w:val="00CF5406"/>
    <w:rsid w:val="00D108F4"/>
    <w:rsid w:val="00D17521"/>
    <w:rsid w:val="00D200D6"/>
    <w:rsid w:val="00D20E90"/>
    <w:rsid w:val="00D23634"/>
    <w:rsid w:val="00D24E58"/>
    <w:rsid w:val="00D45ECB"/>
    <w:rsid w:val="00D7033C"/>
    <w:rsid w:val="00D84706"/>
    <w:rsid w:val="00D85F2C"/>
    <w:rsid w:val="00D90933"/>
    <w:rsid w:val="00DB0013"/>
    <w:rsid w:val="00DB3454"/>
    <w:rsid w:val="00DC3630"/>
    <w:rsid w:val="00DD718B"/>
    <w:rsid w:val="00DD7EBE"/>
    <w:rsid w:val="00DE2825"/>
    <w:rsid w:val="00DF5125"/>
    <w:rsid w:val="00DF6A53"/>
    <w:rsid w:val="00DF6A54"/>
    <w:rsid w:val="00E00C17"/>
    <w:rsid w:val="00E025A9"/>
    <w:rsid w:val="00E07DFE"/>
    <w:rsid w:val="00E11A6F"/>
    <w:rsid w:val="00E166E6"/>
    <w:rsid w:val="00E1672C"/>
    <w:rsid w:val="00E42B81"/>
    <w:rsid w:val="00E47E34"/>
    <w:rsid w:val="00E50118"/>
    <w:rsid w:val="00E56F40"/>
    <w:rsid w:val="00E72BD3"/>
    <w:rsid w:val="00E74BFC"/>
    <w:rsid w:val="00E75D8B"/>
    <w:rsid w:val="00E77999"/>
    <w:rsid w:val="00E95999"/>
    <w:rsid w:val="00EA4114"/>
    <w:rsid w:val="00EA7644"/>
    <w:rsid w:val="00EB1602"/>
    <w:rsid w:val="00EB46D7"/>
    <w:rsid w:val="00EC5B9D"/>
    <w:rsid w:val="00ED545D"/>
    <w:rsid w:val="00EE0B00"/>
    <w:rsid w:val="00F3640C"/>
    <w:rsid w:val="00F3754A"/>
    <w:rsid w:val="00F46547"/>
    <w:rsid w:val="00F5148D"/>
    <w:rsid w:val="00F51C56"/>
    <w:rsid w:val="00F52715"/>
    <w:rsid w:val="00F61FAD"/>
    <w:rsid w:val="00F64A7B"/>
    <w:rsid w:val="00F842D4"/>
    <w:rsid w:val="00F9244E"/>
    <w:rsid w:val="00F937EE"/>
    <w:rsid w:val="00F96C35"/>
    <w:rsid w:val="00FB4480"/>
    <w:rsid w:val="00FD0271"/>
    <w:rsid w:val="00FD4FE4"/>
    <w:rsid w:val="00FE3DBE"/>
    <w:rsid w:val="00FF1806"/>
    <w:rsid w:val="00FF4757"/>
    <w:rsid w:val="00FF5E2B"/>
    <w:rsid w:val="00FF60E8"/>
    <w:rsid w:val="015D78C2"/>
    <w:rsid w:val="01F8525A"/>
    <w:rsid w:val="025A548B"/>
    <w:rsid w:val="0267744B"/>
    <w:rsid w:val="032B7CCC"/>
    <w:rsid w:val="03F3608F"/>
    <w:rsid w:val="03F73430"/>
    <w:rsid w:val="04B406C8"/>
    <w:rsid w:val="051A11D0"/>
    <w:rsid w:val="05B71053"/>
    <w:rsid w:val="07282BD2"/>
    <w:rsid w:val="073525D0"/>
    <w:rsid w:val="07933427"/>
    <w:rsid w:val="08591C04"/>
    <w:rsid w:val="090215F0"/>
    <w:rsid w:val="091229C5"/>
    <w:rsid w:val="093B6561"/>
    <w:rsid w:val="094B1189"/>
    <w:rsid w:val="09FF031A"/>
    <w:rsid w:val="0A9E3E3B"/>
    <w:rsid w:val="0AA00011"/>
    <w:rsid w:val="0B090D2C"/>
    <w:rsid w:val="0C7A2535"/>
    <w:rsid w:val="0C7A6ED4"/>
    <w:rsid w:val="0D5F0B5D"/>
    <w:rsid w:val="0EE86A55"/>
    <w:rsid w:val="10DF406E"/>
    <w:rsid w:val="11E90053"/>
    <w:rsid w:val="12BF58FF"/>
    <w:rsid w:val="12F24C1A"/>
    <w:rsid w:val="13176148"/>
    <w:rsid w:val="13760D4E"/>
    <w:rsid w:val="13767950"/>
    <w:rsid w:val="14147A3B"/>
    <w:rsid w:val="15020CA3"/>
    <w:rsid w:val="16035571"/>
    <w:rsid w:val="162639CD"/>
    <w:rsid w:val="16436BBB"/>
    <w:rsid w:val="16BB474E"/>
    <w:rsid w:val="180E1119"/>
    <w:rsid w:val="18393541"/>
    <w:rsid w:val="18A176F2"/>
    <w:rsid w:val="18A500EF"/>
    <w:rsid w:val="18C35161"/>
    <w:rsid w:val="195D7E33"/>
    <w:rsid w:val="198552B3"/>
    <w:rsid w:val="19970503"/>
    <w:rsid w:val="19C27D7F"/>
    <w:rsid w:val="1B002FFA"/>
    <w:rsid w:val="1B9907D4"/>
    <w:rsid w:val="1C0C749B"/>
    <w:rsid w:val="1C2A1FFA"/>
    <w:rsid w:val="1D7D286E"/>
    <w:rsid w:val="1DD31238"/>
    <w:rsid w:val="1F6736C2"/>
    <w:rsid w:val="1F783185"/>
    <w:rsid w:val="2071095A"/>
    <w:rsid w:val="20840C8E"/>
    <w:rsid w:val="208D6BBB"/>
    <w:rsid w:val="21D7460A"/>
    <w:rsid w:val="2216145C"/>
    <w:rsid w:val="223649D8"/>
    <w:rsid w:val="22A45836"/>
    <w:rsid w:val="22B34C76"/>
    <w:rsid w:val="23A75EEF"/>
    <w:rsid w:val="24481FE0"/>
    <w:rsid w:val="248764B8"/>
    <w:rsid w:val="24BC14A0"/>
    <w:rsid w:val="259768C4"/>
    <w:rsid w:val="25F36AC0"/>
    <w:rsid w:val="26A45E4D"/>
    <w:rsid w:val="26D20B6F"/>
    <w:rsid w:val="272711D4"/>
    <w:rsid w:val="29417347"/>
    <w:rsid w:val="29A852E1"/>
    <w:rsid w:val="29EB4EC7"/>
    <w:rsid w:val="2A2F41FE"/>
    <w:rsid w:val="2A4D3368"/>
    <w:rsid w:val="2A721FF8"/>
    <w:rsid w:val="2B187193"/>
    <w:rsid w:val="2B2C3011"/>
    <w:rsid w:val="2B59385C"/>
    <w:rsid w:val="2B882FE3"/>
    <w:rsid w:val="2BFE0E57"/>
    <w:rsid w:val="2CF74318"/>
    <w:rsid w:val="2CFB12C0"/>
    <w:rsid w:val="2E060545"/>
    <w:rsid w:val="2E1F36AF"/>
    <w:rsid w:val="2FFC7C4A"/>
    <w:rsid w:val="30305AEA"/>
    <w:rsid w:val="304B257B"/>
    <w:rsid w:val="30B0524B"/>
    <w:rsid w:val="30B11B46"/>
    <w:rsid w:val="324C2EAE"/>
    <w:rsid w:val="32D166F5"/>
    <w:rsid w:val="339F6C4E"/>
    <w:rsid w:val="33DA06F7"/>
    <w:rsid w:val="340F48FC"/>
    <w:rsid w:val="34265515"/>
    <w:rsid w:val="343C1419"/>
    <w:rsid w:val="34AF2C20"/>
    <w:rsid w:val="34C11256"/>
    <w:rsid w:val="351202FF"/>
    <w:rsid w:val="35BC388F"/>
    <w:rsid w:val="3609360F"/>
    <w:rsid w:val="361B04A0"/>
    <w:rsid w:val="365C6355"/>
    <w:rsid w:val="36646E1F"/>
    <w:rsid w:val="36825C5E"/>
    <w:rsid w:val="36C55F68"/>
    <w:rsid w:val="37265173"/>
    <w:rsid w:val="37D35893"/>
    <w:rsid w:val="383E4EC8"/>
    <w:rsid w:val="385A6D44"/>
    <w:rsid w:val="386A7099"/>
    <w:rsid w:val="393E24A6"/>
    <w:rsid w:val="39A560B6"/>
    <w:rsid w:val="3AA14BDA"/>
    <w:rsid w:val="3B267C8A"/>
    <w:rsid w:val="3BC86EC9"/>
    <w:rsid w:val="3BE6368D"/>
    <w:rsid w:val="3C523343"/>
    <w:rsid w:val="3C890106"/>
    <w:rsid w:val="3D1651F0"/>
    <w:rsid w:val="3DED4844"/>
    <w:rsid w:val="3EBE5E7C"/>
    <w:rsid w:val="3F5F3197"/>
    <w:rsid w:val="3FAD462D"/>
    <w:rsid w:val="3FEC7CB4"/>
    <w:rsid w:val="40687AEB"/>
    <w:rsid w:val="40DC4C45"/>
    <w:rsid w:val="41922BF1"/>
    <w:rsid w:val="41A20AF6"/>
    <w:rsid w:val="4218487C"/>
    <w:rsid w:val="42486ADC"/>
    <w:rsid w:val="426E4241"/>
    <w:rsid w:val="42F1542D"/>
    <w:rsid w:val="43085A8E"/>
    <w:rsid w:val="43251536"/>
    <w:rsid w:val="43CF576B"/>
    <w:rsid w:val="43D766A6"/>
    <w:rsid w:val="445E5402"/>
    <w:rsid w:val="446C1C00"/>
    <w:rsid w:val="44774F25"/>
    <w:rsid w:val="45841D41"/>
    <w:rsid w:val="458D7872"/>
    <w:rsid w:val="45A80E29"/>
    <w:rsid w:val="46387E1F"/>
    <w:rsid w:val="465E0411"/>
    <w:rsid w:val="46633C2B"/>
    <w:rsid w:val="46CB1754"/>
    <w:rsid w:val="46E771D4"/>
    <w:rsid w:val="47B411D0"/>
    <w:rsid w:val="47C066CC"/>
    <w:rsid w:val="47D55B81"/>
    <w:rsid w:val="48B6365C"/>
    <w:rsid w:val="48C64ECB"/>
    <w:rsid w:val="48FB6A8F"/>
    <w:rsid w:val="493A6E76"/>
    <w:rsid w:val="497F6E31"/>
    <w:rsid w:val="499D3D96"/>
    <w:rsid w:val="49C778F0"/>
    <w:rsid w:val="49DF1C3F"/>
    <w:rsid w:val="4AA27F9B"/>
    <w:rsid w:val="4B32363B"/>
    <w:rsid w:val="4B667B2B"/>
    <w:rsid w:val="4B735DE7"/>
    <w:rsid w:val="4BC3729A"/>
    <w:rsid w:val="4BF23E4F"/>
    <w:rsid w:val="4C4607DA"/>
    <w:rsid w:val="4CFF6B43"/>
    <w:rsid w:val="4D6466CB"/>
    <w:rsid w:val="4E092FFA"/>
    <w:rsid w:val="4EF1621C"/>
    <w:rsid w:val="4F523FD7"/>
    <w:rsid w:val="4F7D08F7"/>
    <w:rsid w:val="50016AC2"/>
    <w:rsid w:val="50123898"/>
    <w:rsid w:val="50427E43"/>
    <w:rsid w:val="51AB68BB"/>
    <w:rsid w:val="51BE3532"/>
    <w:rsid w:val="52A73009"/>
    <w:rsid w:val="52D46729"/>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D85739"/>
    <w:rsid w:val="580F3D30"/>
    <w:rsid w:val="58221A49"/>
    <w:rsid w:val="58B42698"/>
    <w:rsid w:val="592D575A"/>
    <w:rsid w:val="596407D3"/>
    <w:rsid w:val="5A573610"/>
    <w:rsid w:val="5B6F6F42"/>
    <w:rsid w:val="5B825CAE"/>
    <w:rsid w:val="5BEF6CB4"/>
    <w:rsid w:val="5C476F4F"/>
    <w:rsid w:val="5C9748E3"/>
    <w:rsid w:val="5CBC6CD8"/>
    <w:rsid w:val="5CD740E4"/>
    <w:rsid w:val="5DB7078B"/>
    <w:rsid w:val="5E0B66F4"/>
    <w:rsid w:val="5E7D3DE6"/>
    <w:rsid w:val="5EE83FD6"/>
    <w:rsid w:val="5F093E9D"/>
    <w:rsid w:val="6045177F"/>
    <w:rsid w:val="60F308EF"/>
    <w:rsid w:val="6176717E"/>
    <w:rsid w:val="61A76DC0"/>
    <w:rsid w:val="62186AF3"/>
    <w:rsid w:val="62492AD7"/>
    <w:rsid w:val="62A10B56"/>
    <w:rsid w:val="62BB5C43"/>
    <w:rsid w:val="63653051"/>
    <w:rsid w:val="63737A74"/>
    <w:rsid w:val="637A6826"/>
    <w:rsid w:val="658028C9"/>
    <w:rsid w:val="66116ABA"/>
    <w:rsid w:val="665373D5"/>
    <w:rsid w:val="66924654"/>
    <w:rsid w:val="66C1218C"/>
    <w:rsid w:val="66DF3DF0"/>
    <w:rsid w:val="67FB3499"/>
    <w:rsid w:val="68467EA7"/>
    <w:rsid w:val="6A613793"/>
    <w:rsid w:val="6AAB298E"/>
    <w:rsid w:val="6B8D4C87"/>
    <w:rsid w:val="6D762C20"/>
    <w:rsid w:val="6E1950F6"/>
    <w:rsid w:val="6E310AD8"/>
    <w:rsid w:val="6E940B7A"/>
    <w:rsid w:val="703A272E"/>
    <w:rsid w:val="717C721C"/>
    <w:rsid w:val="72294B2F"/>
    <w:rsid w:val="74D06A77"/>
    <w:rsid w:val="75065DB7"/>
    <w:rsid w:val="770F35FE"/>
    <w:rsid w:val="777B5002"/>
    <w:rsid w:val="78477BB6"/>
    <w:rsid w:val="785A5B03"/>
    <w:rsid w:val="79C4024E"/>
    <w:rsid w:val="79FC265D"/>
    <w:rsid w:val="7ABE4CD1"/>
    <w:rsid w:val="7AFE606B"/>
    <w:rsid w:val="7B5254FB"/>
    <w:rsid w:val="7B5935FD"/>
    <w:rsid w:val="7BB27F43"/>
    <w:rsid w:val="7BB72EDA"/>
    <w:rsid w:val="7BDB6CDC"/>
    <w:rsid w:val="7C340505"/>
    <w:rsid w:val="7C471EE4"/>
    <w:rsid w:val="7D4635B2"/>
    <w:rsid w:val="7D64173C"/>
    <w:rsid w:val="7DFC1F91"/>
    <w:rsid w:val="7E0916DD"/>
    <w:rsid w:val="7E405882"/>
    <w:rsid w:val="7EA254FE"/>
    <w:rsid w:val="7EA875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0"/>
    <w:qFormat/>
    <w:uiPriority w:val="99"/>
    <w:pPr>
      <w:keepNext/>
      <w:keepLines/>
      <w:spacing w:before="260" w:after="260" w:line="416" w:lineRule="auto"/>
      <w:outlineLvl w:val="2"/>
    </w:pPr>
    <w:rPr>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semiHidden/>
    <w:qFormat/>
    <w:uiPriority w:val="99"/>
    <w:pPr>
      <w:jc w:val="left"/>
    </w:pPr>
    <w:rPr>
      <w:kern w:val="0"/>
      <w:sz w:val="20"/>
      <w:szCs w:val="21"/>
    </w:rPr>
  </w:style>
  <w:style w:type="paragraph" w:styleId="6">
    <w:name w:val="Date"/>
    <w:basedOn w:val="1"/>
    <w:next w:val="1"/>
    <w:link w:val="32"/>
    <w:semiHidden/>
    <w:qFormat/>
    <w:uiPriority w:val="99"/>
    <w:pPr>
      <w:ind w:left="100" w:leftChars="2500"/>
    </w:pPr>
  </w:style>
  <w:style w:type="paragraph" w:styleId="7">
    <w:name w:val="Balloon Text"/>
    <w:basedOn w:val="1"/>
    <w:link w:val="33"/>
    <w:semiHidden/>
    <w:qFormat/>
    <w:uiPriority w:val="99"/>
    <w:rPr>
      <w:kern w:val="0"/>
      <w:sz w:val="18"/>
      <w:szCs w:val="18"/>
    </w:rPr>
  </w:style>
  <w:style w:type="paragraph" w:styleId="8">
    <w:name w:val="footer"/>
    <w:basedOn w:val="1"/>
    <w:link w:val="34"/>
    <w:qFormat/>
    <w:uiPriority w:val="99"/>
    <w:pPr>
      <w:tabs>
        <w:tab w:val="center" w:pos="4153"/>
        <w:tab w:val="right" w:pos="8306"/>
      </w:tabs>
      <w:snapToGrid w:val="0"/>
      <w:jc w:val="left"/>
    </w:pPr>
    <w:rPr>
      <w:kern w:val="0"/>
      <w:sz w:val="18"/>
      <w:szCs w:val="18"/>
    </w:rPr>
  </w:style>
  <w:style w:type="paragraph" w:styleId="9">
    <w:name w:val="header"/>
    <w:basedOn w:val="1"/>
    <w:link w:val="35"/>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99"/>
    <w:pPr>
      <w:tabs>
        <w:tab w:val="right" w:leader="dot" w:pos="9241"/>
      </w:tabs>
      <w:spacing w:beforeLines="25" w:afterLines="25"/>
      <w:jc w:val="left"/>
    </w:pPr>
    <w:rPr>
      <w:rFonts w:ascii="宋体"/>
      <w:szCs w:val="21"/>
    </w:rPr>
  </w:style>
  <w:style w:type="paragraph" w:styleId="11">
    <w:name w:val="toc 2"/>
    <w:basedOn w:val="1"/>
    <w:next w:val="1"/>
    <w:qFormat/>
    <w:uiPriority w:val="99"/>
    <w:pPr>
      <w:tabs>
        <w:tab w:val="right" w:leader="dot" w:pos="9241"/>
      </w:tabs>
    </w:pPr>
    <w:rPr>
      <w:rFonts w:ascii="宋体"/>
      <w:szCs w:val="21"/>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5">
    <w:name w:val="Hyperlink"/>
    <w:semiHidden/>
    <w:qFormat/>
    <w:uiPriority w:val="99"/>
    <w:rPr>
      <w:rFonts w:cs="Times New Roman"/>
      <w:color w:val="0000CC"/>
      <w:u w:val="single"/>
    </w:rPr>
  </w:style>
  <w:style w:type="character" w:styleId="16">
    <w:name w:val="annotation reference"/>
    <w:semiHidden/>
    <w:qFormat/>
    <w:uiPriority w:val="99"/>
    <w:rPr>
      <w:rFonts w:cs="Times New Roman"/>
      <w:sz w:val="21"/>
    </w:rPr>
  </w:style>
  <w:style w:type="paragraph" w:customStyle="1" w:styleId="17">
    <w:name w:val="段"/>
    <w:link w:val="3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8">
    <w:name w:val="列出段落1"/>
    <w:basedOn w:val="1"/>
    <w:qFormat/>
    <w:uiPriority w:val="99"/>
    <w:pPr>
      <w:ind w:firstLine="420" w:firstLineChars="200"/>
    </w:pPr>
  </w:style>
  <w:style w:type="paragraph" w:customStyle="1" w:styleId="19">
    <w:name w:val="目次、标准名称标题"/>
    <w:basedOn w:val="1"/>
    <w:next w:val="17"/>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4">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5">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26">
    <w:name w:val="标准文件_二级条标题"/>
    <w:next w:val="2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27">
    <w:name w:val="标准文件_三级条标题"/>
    <w:next w:val="21"/>
    <w:qFormat/>
    <w:uiPriority w:val="0"/>
    <w:pPr>
      <w:outlineLvl w:val="3"/>
    </w:pPr>
    <w:rPr>
      <w:rFonts w:ascii="Times New Roman" w:hAnsi="Times New Roman" w:eastAsia="宋体" w:cs="Times New Roman"/>
      <w:lang w:val="en-US" w:eastAsia="zh-CN" w:bidi="ar-SA"/>
    </w:rPr>
  </w:style>
  <w:style w:type="character" w:customStyle="1" w:styleId="28">
    <w:name w:val="标题 1 字符"/>
    <w:link w:val="2"/>
    <w:qFormat/>
    <w:locked/>
    <w:uiPriority w:val="99"/>
    <w:rPr>
      <w:rFonts w:cs="Times New Roman"/>
      <w:b/>
      <w:kern w:val="44"/>
      <w:sz w:val="44"/>
    </w:rPr>
  </w:style>
  <w:style w:type="character" w:customStyle="1" w:styleId="29">
    <w:name w:val="标题 2 字符"/>
    <w:link w:val="3"/>
    <w:qFormat/>
    <w:locked/>
    <w:uiPriority w:val="99"/>
    <w:rPr>
      <w:rFonts w:ascii="Cambria" w:hAnsi="Cambria" w:eastAsia="宋体" w:cs="Times New Roman"/>
      <w:b/>
      <w:sz w:val="32"/>
    </w:rPr>
  </w:style>
  <w:style w:type="character" w:customStyle="1" w:styleId="30">
    <w:name w:val="标题 3 字符"/>
    <w:link w:val="4"/>
    <w:qFormat/>
    <w:locked/>
    <w:uiPriority w:val="99"/>
    <w:rPr>
      <w:rFonts w:cs="Times New Roman"/>
      <w:b/>
      <w:sz w:val="32"/>
    </w:rPr>
  </w:style>
  <w:style w:type="character" w:customStyle="1" w:styleId="31">
    <w:name w:val="批注文字 字符"/>
    <w:link w:val="5"/>
    <w:semiHidden/>
    <w:qFormat/>
    <w:locked/>
    <w:uiPriority w:val="99"/>
    <w:rPr>
      <w:rFonts w:ascii="Calibri" w:hAnsi="Calibri" w:eastAsia="宋体" w:cs="Times New Roman"/>
      <w:sz w:val="21"/>
    </w:rPr>
  </w:style>
  <w:style w:type="character" w:customStyle="1" w:styleId="32">
    <w:name w:val="日期 字符"/>
    <w:link w:val="6"/>
    <w:semiHidden/>
    <w:qFormat/>
    <w:locked/>
    <w:uiPriority w:val="99"/>
    <w:rPr>
      <w:rFonts w:cs="Times New Roman"/>
      <w:kern w:val="2"/>
      <w:sz w:val="22"/>
      <w:szCs w:val="22"/>
    </w:rPr>
  </w:style>
  <w:style w:type="character" w:customStyle="1" w:styleId="33">
    <w:name w:val="批注框文本 字符"/>
    <w:link w:val="7"/>
    <w:semiHidden/>
    <w:qFormat/>
    <w:locked/>
    <w:uiPriority w:val="99"/>
    <w:rPr>
      <w:rFonts w:cs="Times New Roman"/>
      <w:sz w:val="18"/>
    </w:rPr>
  </w:style>
  <w:style w:type="character" w:customStyle="1" w:styleId="34">
    <w:name w:val="页脚 字符"/>
    <w:link w:val="8"/>
    <w:qFormat/>
    <w:locked/>
    <w:uiPriority w:val="99"/>
    <w:rPr>
      <w:rFonts w:cs="Times New Roman"/>
      <w:sz w:val="18"/>
    </w:rPr>
  </w:style>
  <w:style w:type="character" w:customStyle="1" w:styleId="35">
    <w:name w:val="页眉 字符"/>
    <w:link w:val="9"/>
    <w:qFormat/>
    <w:locked/>
    <w:uiPriority w:val="99"/>
    <w:rPr>
      <w:rFonts w:cs="Times New Roman"/>
      <w:sz w:val="18"/>
    </w:rPr>
  </w:style>
  <w:style w:type="character" w:customStyle="1" w:styleId="36">
    <w:name w:val="段 Char"/>
    <w:link w:val="17"/>
    <w:qFormat/>
    <w:locked/>
    <w:uiPriority w:val="99"/>
    <w:rPr>
      <w:rFonts w:ascii="宋体" w:hAnsi="Times New Roman"/>
      <w:sz w:val="22"/>
    </w:rPr>
  </w:style>
  <w:style w:type="character" w:customStyle="1" w:styleId="37">
    <w:name w:val="占位符文本1"/>
    <w:semiHidden/>
    <w:qFormat/>
    <w:uiPriority w:val="99"/>
    <w:rPr>
      <w:rFonts w:cs="Times New Roman"/>
      <w:color w:val="808080"/>
    </w:rPr>
  </w:style>
  <w:style w:type="character" w:customStyle="1" w:styleId="38">
    <w:name w:val="fontstyle01"/>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4072</Characters>
  <Lines>33</Lines>
  <Paragraphs>9</Paragraphs>
  <TotalTime>6</TotalTime>
  <ScaleCrop>false</ScaleCrop>
  <LinksUpToDate>false</LinksUpToDate>
  <CharactersWithSpaces>4777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2020-05-07T02:34:00Z</dcterms:created>
  <dc:creator>liu</dc:creator>
  <cp:lastModifiedBy>不高兴</cp:lastModifiedBy>
  <cp:lastPrinted>2020-06-01T08:06:00Z</cp:lastPrinted>
  <dcterms:modified xsi:type="dcterms:W3CDTF">2022-01-07T07:59:02Z</dcterms:modified>
  <dc:title>中国仪器仪表行业协会团体标准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5DF18CDDB8F84E2D85DC94D776C7A292</vt:lpwstr>
  </property>
</Properties>
</file>