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D8C" w:rsidRDefault="00000000">
      <w:pPr>
        <w:spacing w:line="600" w:lineRule="exact"/>
        <w:ind w:firstLineChars="145" w:firstLine="254"/>
        <w:rPr>
          <w:rFonts w:ascii="黑体" w:eastAsia="黑体" w:hAnsi="黑体" w:cs="黑体"/>
          <w:w w:val="55"/>
          <w:sz w:val="32"/>
          <w:szCs w:val="32"/>
        </w:rPr>
      </w:pPr>
      <w:r>
        <w:rPr>
          <w:rFonts w:ascii="黑体" w:eastAsia="黑体" w:hAnsi="黑体" w:cs="黑体" w:hint="eastAsia"/>
          <w:w w:val="55"/>
          <w:sz w:val="32"/>
          <w:szCs w:val="32"/>
        </w:rPr>
        <w:t>HNPR-2022-05017</w:t>
      </w:r>
    </w:p>
    <w:p w:rsidR="00D03D8C" w:rsidRDefault="00D03D8C">
      <w:pPr>
        <w:spacing w:line="600" w:lineRule="exact"/>
        <w:ind w:firstLineChars="145" w:firstLine="254"/>
        <w:rPr>
          <w:rFonts w:ascii="黑体" w:eastAsia="黑体" w:hAnsi="黑体" w:cs="黑体"/>
          <w:w w:val="55"/>
          <w:sz w:val="32"/>
          <w:szCs w:val="32"/>
        </w:rPr>
      </w:pPr>
    </w:p>
    <w:p w:rsidR="00D03D8C" w:rsidRDefault="00D03D8C">
      <w:pPr>
        <w:spacing w:line="520" w:lineRule="exact"/>
        <w:ind w:firstLineChars="145" w:firstLine="717"/>
        <w:rPr>
          <w:rFonts w:ascii="方正小标宋简体" w:eastAsia="方正小标宋简体" w:hAnsi="Times New Roman" w:cs="Times New Roman"/>
          <w:w w:val="55"/>
          <w:sz w:val="90"/>
          <w:szCs w:val="90"/>
        </w:rPr>
      </w:pPr>
    </w:p>
    <w:p w:rsidR="00D03D8C" w:rsidRDefault="00000000">
      <w:pPr>
        <w:widowControl/>
        <w:adjustRightInd w:val="0"/>
        <w:snapToGrid w:val="0"/>
        <w:spacing w:line="600" w:lineRule="exact"/>
        <w:ind w:firstLineChars="100" w:firstLine="32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kern w:val="0"/>
          <w:sz w:val="32"/>
          <w:szCs w:val="32"/>
        </w:rPr>
        <w:t>湘工信</w:t>
      </w:r>
      <w:proofErr w:type="gramEnd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装备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〔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〕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292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号</w:t>
      </w:r>
    </w:p>
    <w:p w:rsidR="00D03D8C" w:rsidRDefault="00D03D8C">
      <w:pPr>
        <w:spacing w:line="520" w:lineRule="exact"/>
        <w:ind w:firstLineChars="145" w:firstLine="717"/>
        <w:rPr>
          <w:rFonts w:ascii="方正小标宋简体" w:eastAsia="方正小标宋简体" w:hAnsi="Times New Roman" w:cs="Times New Roman"/>
          <w:w w:val="55"/>
          <w:sz w:val="90"/>
          <w:szCs w:val="90"/>
        </w:rPr>
      </w:pPr>
    </w:p>
    <w:p w:rsidR="00D03D8C" w:rsidRDefault="00D03D8C">
      <w:pPr>
        <w:spacing w:line="520" w:lineRule="exact"/>
        <w:ind w:firstLineChars="145" w:firstLine="717"/>
        <w:rPr>
          <w:rFonts w:ascii="方正小标宋简体" w:eastAsia="方正小标宋简体" w:hAnsi="Times New Roman" w:cs="Times New Roman"/>
          <w:w w:val="55"/>
          <w:sz w:val="90"/>
          <w:szCs w:val="90"/>
        </w:rPr>
      </w:pPr>
    </w:p>
    <w:p w:rsidR="00D03D8C" w:rsidRDefault="00000000">
      <w:pPr>
        <w:adjustRightInd w:val="0"/>
        <w:snapToGrid w:val="0"/>
        <w:spacing w:line="600" w:lineRule="exact"/>
        <w:ind w:firstLineChars="530" w:firstLine="2332"/>
        <w:rPr>
          <w:rFonts w:ascii="Times New Roman" w:eastAsia="方正小标宋简体" w:hAnsi="Times New Roman" w:cs="Times New Roman"/>
          <w:kern w:val="21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湖南省工业和信息化厅</w:t>
      </w:r>
    </w:p>
    <w:p w:rsidR="00D03D8C" w:rsidRDefault="00000000">
      <w:pPr>
        <w:tabs>
          <w:tab w:val="left" w:pos="6720"/>
        </w:tabs>
        <w:adjustRightInd w:val="0"/>
        <w:snapToGrid w:val="0"/>
        <w:spacing w:line="600" w:lineRule="exact"/>
        <w:ind w:rightChars="1130" w:right="2373" w:firstLineChars="530" w:firstLine="2332"/>
        <w:jc w:val="distribute"/>
        <w:rPr>
          <w:rFonts w:ascii="Times New Roman" w:eastAsia="方正小标宋简体" w:hAnsi="Times New Roman" w:cs="Times New Roman"/>
          <w:kern w:val="21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湖南省科学技术厅</w:t>
      </w:r>
    </w:p>
    <w:p w:rsidR="00D03D8C" w:rsidRDefault="00000000">
      <w:pPr>
        <w:adjustRightInd w:val="0"/>
        <w:snapToGrid w:val="0"/>
        <w:spacing w:line="600" w:lineRule="exact"/>
        <w:ind w:rightChars="1130" w:right="2373" w:firstLineChars="530" w:firstLine="2332"/>
        <w:jc w:val="distribute"/>
        <w:rPr>
          <w:rFonts w:ascii="Times New Roman" w:eastAsia="方正小标宋简体" w:hAnsi="Times New Roman" w:cs="Times New Roman"/>
          <w:kern w:val="21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湖南省商务厅</w:t>
      </w:r>
    </w:p>
    <w:p w:rsidR="00D03D8C" w:rsidRDefault="00000000">
      <w:pPr>
        <w:adjustRightInd w:val="0"/>
        <w:snapToGrid w:val="0"/>
        <w:spacing w:line="600" w:lineRule="exact"/>
        <w:ind w:rightChars="1130" w:right="2373" w:firstLineChars="530" w:firstLine="2332"/>
        <w:jc w:val="distribute"/>
        <w:rPr>
          <w:rFonts w:ascii="Times New Roman" w:eastAsia="方正小标宋简体" w:hAnsi="Times New Roman" w:cs="Times New Roman"/>
          <w:kern w:val="21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湖南省财政厅</w:t>
      </w:r>
    </w:p>
    <w:p w:rsidR="00D03D8C" w:rsidRDefault="00000000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kern w:val="21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关于印发</w:t>
      </w:r>
      <w:proofErr w:type="gramStart"/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《</w:t>
      </w:r>
      <w:proofErr w:type="gramEnd"/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落实</w:t>
      </w:r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&lt;</w:t>
      </w:r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支持先进制造业供应链配套</w:t>
      </w:r>
    </w:p>
    <w:p w:rsidR="00D03D8C" w:rsidRDefault="00000000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kern w:val="21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发展的若干政策措施</w:t>
      </w:r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&gt;</w:t>
      </w:r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实施细则</w:t>
      </w:r>
      <w:proofErr w:type="gramStart"/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》</w:t>
      </w:r>
      <w:proofErr w:type="gramEnd"/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的通知</w:t>
      </w: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000000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各市州、财政省直管县（市）工信、科技、商务、财政部门：</w:t>
      </w:r>
    </w:p>
    <w:p w:rsidR="00D03D8C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现将《落实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&lt;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支持先进制造业供应链配套发展的若干政策措施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&gt;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实施细则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》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印发给你们，请遵照执行。</w:t>
      </w: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000000">
      <w:pPr>
        <w:adjustRightInd w:val="0"/>
        <w:snapToGrid w:val="0"/>
        <w:spacing w:line="600" w:lineRule="exact"/>
        <w:ind w:firstLineChars="100" w:firstLine="320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湖南省工业和信息化厅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            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湖南省科学技术厅</w:t>
      </w:r>
    </w:p>
    <w:p w:rsidR="00D03D8C" w:rsidRDefault="00D03D8C">
      <w:pPr>
        <w:adjustRightInd w:val="0"/>
        <w:snapToGrid w:val="0"/>
        <w:spacing w:line="600" w:lineRule="exact"/>
        <w:ind w:firstLineChars="100" w:firstLine="320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ind w:firstLineChars="100" w:firstLine="320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000000">
      <w:pPr>
        <w:adjustRightInd w:val="0"/>
        <w:snapToGrid w:val="0"/>
        <w:spacing w:line="600" w:lineRule="exact"/>
        <w:ind w:firstLineChars="100" w:firstLine="320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lastRenderedPageBreak/>
        <w:t>湖南省商务厅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                    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湖南省财政厅</w:t>
      </w:r>
    </w:p>
    <w:p w:rsidR="00D03D8C" w:rsidRDefault="00000000">
      <w:pPr>
        <w:adjustRightInd w:val="0"/>
        <w:snapToGrid w:val="0"/>
        <w:spacing w:line="600" w:lineRule="exact"/>
        <w:jc w:val="center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                            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2022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年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6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17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日</w:t>
      </w: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000000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br w:type="page"/>
      </w:r>
    </w:p>
    <w:p w:rsidR="00D03D8C" w:rsidRDefault="00000000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kern w:val="21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lastRenderedPageBreak/>
        <w:t>落实</w:t>
      </w:r>
      <w:proofErr w:type="gramStart"/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《</w:t>
      </w:r>
      <w:proofErr w:type="gramEnd"/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支持先进制造业供应链配套发展的</w:t>
      </w:r>
    </w:p>
    <w:p w:rsidR="00D03D8C" w:rsidRDefault="00000000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kern w:val="21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若干政策措施</w:t>
      </w:r>
      <w:proofErr w:type="gramStart"/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》</w:t>
      </w:r>
      <w:proofErr w:type="gramEnd"/>
      <w:r>
        <w:rPr>
          <w:rFonts w:ascii="Times New Roman" w:eastAsia="方正小标宋简体" w:hAnsi="Times New Roman" w:cs="Times New Roman"/>
          <w:kern w:val="21"/>
          <w:sz w:val="44"/>
          <w:szCs w:val="44"/>
        </w:rPr>
        <w:t>实施细则</w:t>
      </w: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eastAsia="黑体" w:hAnsi="Times New Roman" w:cs="Times New Roman"/>
          <w:kern w:val="21"/>
          <w:sz w:val="32"/>
          <w:szCs w:val="32"/>
        </w:rPr>
      </w:pPr>
      <w:r>
        <w:rPr>
          <w:rFonts w:ascii="Times New Roman" w:eastAsia="黑体" w:hAnsi="Times New Roman" w:cs="Times New Roman"/>
          <w:kern w:val="21"/>
          <w:sz w:val="32"/>
          <w:szCs w:val="32"/>
        </w:rPr>
        <w:t>第一章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>总则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第一条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为稳定先进制造业产业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链供应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链，发挥龙头企业的引领带动作用，促进先进制造业供应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链配套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发展，全力推进打造国家重要先进制造业高地，根据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《支持先进制造业供应链配套发展的若干政策措施》（湘政办发〔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2021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〕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49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号），结合实际，制定本细则。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第二条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本细则所称的先进制造业是指《支持先进制造业供应链配套发展的若干政策措施》支持的工程机械、汽车制造、电力装备、轨道交通、航空航天等五大重点产业。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第三条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本细则由省工信厅、省科技厅、省商务厅、省财政厅负责组织实施。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eastAsia="黑体" w:hAnsi="Times New Roman" w:cs="Times New Roman"/>
          <w:kern w:val="21"/>
          <w:sz w:val="32"/>
          <w:szCs w:val="32"/>
        </w:rPr>
      </w:pPr>
      <w:r>
        <w:rPr>
          <w:rFonts w:ascii="Times New Roman" w:eastAsia="黑体" w:hAnsi="Times New Roman" w:cs="Times New Roman"/>
          <w:kern w:val="21"/>
          <w:sz w:val="32"/>
          <w:szCs w:val="32"/>
        </w:rPr>
        <w:t>第二章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>实施清单管理制度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第四条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省工信厅、省财政厅共同制定《先进制造业龙头企业清单》、《先进制造业重点培育关键零部件配套生产企业清单》、《先进制造业重点配套产品补链清单》；省工信厅、省科技厅、省财政厅共同制定《先进制造业关键配套产品工程化攻关清单》。（以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下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简称</w:t>
      </w:r>
      <w:r>
        <w:rPr>
          <w:rFonts w:ascii="Times New Roman" w:eastAsia="仿宋" w:hAnsi="Times New Roman" w:cs="Times New Roman"/>
          <w:kern w:val="21"/>
          <w:sz w:val="32"/>
          <w:szCs w:val="32"/>
          <w:lang w:val="en"/>
        </w:rPr>
        <w:t>清单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）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第五条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  <w:lang w:val="en"/>
        </w:rPr>
        <w:t>清单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实施动态管理，清单制定部门可按程序将符合条件的企业、产品纳入清单，将不再符合条件的企业、产品调出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lastRenderedPageBreak/>
        <w:t>清单。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第六条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各市州、财政省直管县（市）工信部门、科技部门、商务部门、财政部门要加大</w:t>
      </w:r>
      <w:r>
        <w:rPr>
          <w:rFonts w:ascii="Times New Roman" w:eastAsia="仿宋" w:hAnsi="Times New Roman" w:cs="Times New Roman"/>
          <w:kern w:val="21"/>
          <w:sz w:val="32"/>
          <w:szCs w:val="32"/>
          <w:lang w:val="en"/>
        </w:rPr>
        <w:t>清单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内企业的公共服务和政策支持力度，促进相关企业进一步做大做强，要加大清单内的产品推介力度，促进相关产品进一步提高市场占有率。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eastAsia="黑体" w:hAnsi="Times New Roman" w:cs="Times New Roman"/>
          <w:kern w:val="21"/>
          <w:sz w:val="32"/>
          <w:szCs w:val="32"/>
        </w:rPr>
      </w:pPr>
      <w:r>
        <w:rPr>
          <w:rFonts w:ascii="Times New Roman" w:eastAsia="黑体" w:hAnsi="Times New Roman" w:cs="Times New Roman"/>
          <w:kern w:val="21"/>
          <w:sz w:val="32"/>
          <w:szCs w:val="32"/>
        </w:rPr>
        <w:t>第三章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>进入清单的条件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第七条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进入</w:t>
      </w:r>
      <w:r>
        <w:rPr>
          <w:rFonts w:ascii="Times New Roman" w:eastAsia="仿宋" w:hAnsi="Times New Roman" w:cs="Times New Roman"/>
          <w:kern w:val="21"/>
          <w:sz w:val="32"/>
          <w:szCs w:val="32"/>
          <w:lang w:val="en"/>
        </w:rPr>
        <w:t>清单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的企业应具备以下基本条件：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在湖南省内依法注册。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具有独立法人资格，有良好的信用，纳税信用等级在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M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级（含）以上，积极配合工信、科技、商务、财政等部门工作。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在湖南省内设有生产基地且主要产品在湖南省内生产。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第八条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列入《先进制造业龙头企业清单》的企业还应具备以下条件：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企业是工程机械、汽车制造、电力装备、轨道交通、航空航天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等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五大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重点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产业的主机企业或主网企业。其中主机企业指生产的产品技术含量高、集成范围广、零部件多，且该产品不再经由其它企业集成，即可成为终端产品的生产企业；主网企业指省内主要电网企业。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企业应具有一定的体量规模，年纳税额原则上应处于省内该产业前十位，且在该产业的细分领域处于前三位。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企业应在该产业内具备一定的生态主导能力，产业配套需求较广且有较强的带动先进制造业供应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链配套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发展的意愿和能力。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lastRenderedPageBreak/>
        <w:t>4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原则上参加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过行业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标准或省级以上标准制修订工作。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第九条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列入《先进制造业重点培育关键零部件配套生产企业清单》的企业还应具备以下条件：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企业主业是工程机械、汽车制造、电力装备、轨道交通、航空航天产业的配套产业。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企业已经具备一定规模，上一年度配套产业营业务收入不低于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2000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万元，近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年企业营业收入年均增长率不低于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15%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</w:t>
      </w:r>
      <w:r>
        <w:rPr>
          <w:rFonts w:ascii="Times New Roman" w:eastAsia="仿宋" w:hAnsi="Times New Roman" w:cs="Times New Roman" w:hint="eastAsia"/>
          <w:b/>
          <w:kern w:val="21"/>
          <w:sz w:val="32"/>
          <w:szCs w:val="32"/>
        </w:rPr>
        <w:t>十</w:t>
      </w: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列入《先进制造业重点配套产品补链清单》的产品应具备以下条件：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产品应属于先进制造业的关键环节。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产品通过引入重大项目、现有企业扩大生产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、技术改造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等手段，可以在较短时间内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补链强链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产品应具有较高的技术水平和附加值，属于重要零部件（元器件）或关键材料。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龙头企业对该产品需求量大。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第十</w:t>
      </w:r>
      <w:r>
        <w:rPr>
          <w:rFonts w:ascii="Times New Roman" w:eastAsia="仿宋" w:hAnsi="Times New Roman" w:cs="Times New Roman" w:hint="eastAsia"/>
          <w:b/>
          <w:kern w:val="21"/>
          <w:sz w:val="32"/>
          <w:szCs w:val="32"/>
        </w:rPr>
        <w:t>一</w:t>
      </w: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列入《先进制造业关键配套产品工程化攻关清单》的产品应该具备以下条件：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产品属于省内空白，主要依靠进口。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产品属于先进制造业龙头企业急需产品。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省内已有相关企业或科研院所对产品进行了一定的预研，拥有了一定的技术、人才、平台基础，具备开展工程化攻关的条件和基础。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eastAsia="黑体" w:hAnsi="Times New Roman" w:cs="Times New Roman"/>
          <w:kern w:val="21"/>
          <w:sz w:val="32"/>
          <w:szCs w:val="32"/>
        </w:rPr>
      </w:pPr>
      <w:r>
        <w:rPr>
          <w:rFonts w:ascii="Times New Roman" w:eastAsia="黑体" w:hAnsi="Times New Roman" w:cs="Times New Roman"/>
          <w:kern w:val="21"/>
          <w:sz w:val="32"/>
          <w:szCs w:val="32"/>
        </w:rPr>
        <w:lastRenderedPageBreak/>
        <w:t>第四章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>申报</w:t>
      </w:r>
      <w:r>
        <w:rPr>
          <w:rFonts w:ascii="Times New Roman" w:eastAsia="黑体" w:hAnsi="Times New Roman" w:cs="Times New Roman"/>
          <w:kern w:val="21"/>
          <w:sz w:val="32"/>
          <w:szCs w:val="32"/>
          <w:lang w:val="en"/>
        </w:rPr>
        <w:t>清单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>的程序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第十二条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申报《先进制造业龙头企业清单》、《先进制造业重点培育关键零部件配套生产企业清单》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、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《先进制造业重点配套产品补链清单》的程序：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省工信厅下发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申报通知。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各市州工信局对本市州的企业、产品进行摸底，初审后将符合条件的正式行文向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省工信厅进行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申报。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省工信厅、省财政厅组织专家进行评审。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对通过评审的企业、产品在省工信厅、省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财政厅官网公示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5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个工作日。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按程序发布。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第十三条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申报《先进制造业关键配套产品工程化攻关清单》的程序：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省工信厅会同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省科技厅下发申报通知。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各市州工信局、科技局对本市州的企业、产品进行摸底，初审后将符合条件的联合行文向省工信厅、省科技厅进行申报。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省工信厅、省科技厅、省财政厅组织专家进行评审。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对通过专家评审的产品在省工信厅、省科技厅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、省</w:t>
      </w:r>
      <w:proofErr w:type="gramStart"/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财政厅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官网公示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5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个工作日。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按程序发布。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eastAsia="黑体" w:hAnsi="Times New Roman" w:cs="Times New Roman"/>
          <w:kern w:val="21"/>
          <w:sz w:val="32"/>
          <w:szCs w:val="32"/>
        </w:rPr>
      </w:pPr>
      <w:r>
        <w:rPr>
          <w:rFonts w:ascii="Times New Roman" w:eastAsia="黑体" w:hAnsi="Times New Roman" w:cs="Times New Roman"/>
          <w:kern w:val="21"/>
          <w:sz w:val="32"/>
          <w:szCs w:val="32"/>
        </w:rPr>
        <w:t>第五章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 xml:space="preserve">  </w:t>
      </w:r>
      <w:proofErr w:type="gramStart"/>
      <w:r>
        <w:rPr>
          <w:rFonts w:ascii="Times New Roman" w:eastAsia="黑体" w:hAnsi="Times New Roman" w:cs="Times New Roman"/>
          <w:kern w:val="21"/>
          <w:sz w:val="32"/>
          <w:szCs w:val="32"/>
        </w:rPr>
        <w:t>奖补资金</w:t>
      </w:r>
      <w:proofErr w:type="gramEnd"/>
      <w:r>
        <w:rPr>
          <w:rFonts w:ascii="Times New Roman" w:eastAsia="黑体" w:hAnsi="Times New Roman" w:cs="Times New Roman"/>
          <w:kern w:val="21"/>
          <w:sz w:val="32"/>
          <w:szCs w:val="32"/>
        </w:rPr>
        <w:t>的类别、来源和用途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第十四条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奖补资金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的类别分为龙头企业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采购奖补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、重点培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lastRenderedPageBreak/>
        <w:t>育配套企业奖补、龙头企业标准制定奖补、工程化攻关奖补、企业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招引奖补等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第十五条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各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类别奖补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资金对应从现有有关专项资金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或奖补资金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中安排，不足部分由新增预算统筹保障。其中：龙头企业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采购奖补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、重点培育配套企业奖补、龙头企业标准制订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奖补从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制造强省专项安排，由省工信厅、省财政厅负责，用于鼓励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采购补链清单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内重点配套产品；工程化攻关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奖补从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企业研发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财政奖补资金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和创新型省份建设专项安排，由省科技厅、省财政厅负责，用于推进关键配套产品研发攻关；企业招引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奖补从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开放型经济与流通产业发展专项安排，由省商务厅、省财政厅负责，用于支持龙头企业招引配套企业和推进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补链延链重点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项目建设。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eastAsia="黑体" w:hAnsi="Times New Roman" w:cs="Times New Roman"/>
          <w:kern w:val="21"/>
          <w:sz w:val="32"/>
          <w:szCs w:val="32"/>
        </w:rPr>
      </w:pPr>
      <w:r>
        <w:rPr>
          <w:rFonts w:ascii="Times New Roman" w:eastAsia="黑体" w:hAnsi="Times New Roman" w:cs="Times New Roman"/>
          <w:kern w:val="21"/>
          <w:sz w:val="32"/>
          <w:szCs w:val="32"/>
        </w:rPr>
        <w:t>第六章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 xml:space="preserve">  </w:t>
      </w:r>
      <w:proofErr w:type="gramStart"/>
      <w:r>
        <w:rPr>
          <w:rFonts w:ascii="Times New Roman" w:eastAsia="黑体" w:hAnsi="Times New Roman" w:cs="Times New Roman"/>
          <w:kern w:val="21"/>
          <w:sz w:val="32"/>
          <w:szCs w:val="32"/>
        </w:rPr>
        <w:t>奖补资金</w:t>
      </w:r>
      <w:proofErr w:type="gramEnd"/>
      <w:r>
        <w:rPr>
          <w:rFonts w:ascii="Times New Roman" w:eastAsia="黑体" w:hAnsi="Times New Roman" w:cs="Times New Roman"/>
          <w:kern w:val="21"/>
          <w:sz w:val="32"/>
          <w:szCs w:val="32"/>
        </w:rPr>
        <w:t>的申请条件、程序、审核和使用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第十六条</w:t>
      </w: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龙头企业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采购奖补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、重点培育配套企业奖补、龙头企业标准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制定奖补的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申请条件、程序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和奖补标准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一、申请条件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（一）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申报龙头企业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采购奖补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的企业应满足以下条件：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进入《先进制造业龙头企业清单》。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申报年度采购省内企业生产的《先进制造业重点配套产品补链清单》内产品的采购总额比上一年增长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3000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万元以上。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（二）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申请重点培育配套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企业奖补的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企业应满足以下条件：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进入《先进制造业重点培育关键零部件配套生产企业清单》。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企业有明显的提档升级，或支持龙头企业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补链延链成效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显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lastRenderedPageBreak/>
        <w:t>著。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企业与《先进制造业龙头企业清单》内的龙头企业有良好的供应合作关系。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（三）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申报龙头企业标准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制订奖补的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企业应满足以下条件：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进入《先进制造业龙头企业清单》。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上一年度作为第一完成单位制订并发布了国际标准、国家标准。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二、申请程序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每年一季度省工信厅、省财政厅联合下发申报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上一年度奖补的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通知。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市州、财政省直管县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(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市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)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工信部门、财政部门对符合条件的企业进行初审，组织申报。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省工信厅、省财政厅组织专家评审。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省工信厅、省财政厅根据专家评审情况，结合年度资金安排情况，提出资金安排建议。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资金安排计划在省工信厅、省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财政厅官网进行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5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个工作日的公示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,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之后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按程序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下达。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三、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奖补标准</w:t>
      </w:r>
      <w:proofErr w:type="gramEnd"/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（一）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龙头企业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采购奖补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资金标准：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给予该企业新增省内企业生产的《先进制造业重点配套产品补链清单》内产品采购总额的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1%-2%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的奖励，单个企业最高不超过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500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万元。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lastRenderedPageBreak/>
        <w:t>（二）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重点培育配套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企业奖补资金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标准：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视提档升级、支持龙头企业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补链延链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等贡献情况给予不低于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30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万元，不超过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200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万元的定额奖补。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（三）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龙头企业标准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制订奖补资金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标准：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根据专家对龙头企业所制订标准的开创性评价结果，对国际标准、国家标准分别给予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50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万元至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100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万元、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20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万元至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50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万元奖励。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第十七条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工程化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攻关奖补的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申请条件、程序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和奖补标准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一、申请条件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企业开展了《先进制造业关键配套产品工程化攻关清单》内产品的研发。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企业符合研发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后奖补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政策相关要求。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二、申请程序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每年一季度省科技厅、省财政厅联合下发申报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上一年度奖补的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通知。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市州、财政省直管县（市）科技部门、财政部门对符合条件的企业进行初审，组织申报。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3.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省科技厅、省财政厅组织专家评审。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4.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省科技厅、省财政厅根据专家评审情况，将符合条件的企业纳入企业研发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后奖补重点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企业范围。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5.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资金安排计划在省科技厅、省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财政厅官网公示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5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个工作日，之后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按程序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下达。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lastRenderedPageBreak/>
        <w:t>三、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奖补标准</w:t>
      </w:r>
      <w:proofErr w:type="gramEnd"/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企业按上年度新增享受研发费用加计扣除部分的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12%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予以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后奖补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第十八条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企业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招引奖补的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申请条件、程序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和奖补标准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：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一、申请条件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《先进制造业龙头企业清单》内企业新引进的省外（含境外）配套企业。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省外（含境外）来湘投资企业，一个年度内实际到位资金达到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亿元或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3000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万美元以上（含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亿元或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3000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万美元）的工程机械、汽车制造、电力装备、轨道交通、航空航天产业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补链延链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项目。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二、申请程序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每年一季度省商务厅、省财政厅联合下发申报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上一年度奖补的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通知。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市州、财政省直管县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（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市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）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商务部门、财政部门对符合条件的企业和项目进行初审，组织申报。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省商务厅、省财政厅组织第三方机构评审。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省商务厅、省财政厅根据第三方机构评审结果，提出资金安排建议。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对符合政策支持的项目，在省商务厅、省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财政厅官网进行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5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个工作日的公示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,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之后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按程序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下达。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三、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奖补标准</w:t>
      </w:r>
      <w:proofErr w:type="gramEnd"/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lastRenderedPageBreak/>
        <w:t>1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龙头企业新引进的省外（含境外）配套企业投产第一年实缴税收省级分成部分的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10%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奖补给企业所在市州或财政省直管县（市）人民政府，最高不超过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1000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万元。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.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省外（含境外）来湘投资企业，一个年度内实际到位资金达到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亿元或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3000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万美元以上（含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亿元或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3000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万美元）的工程机械、汽车制造、电力装备、轨道交通、航空航天产业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补链延链项目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按其实际到位资金的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1%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给予奖励，最高不超过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1000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万元。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补链延链项目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应为制造业项目，且满足《湖南省统计局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湖南省工业和信息化厅关于印发〈湖南省先进制造业统计监测体系（试行）〉的通知》（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湘统〔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2021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〕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75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号）中折算系数高于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50%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的企业。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第十九条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资金的使用</w:t>
      </w:r>
      <w:r>
        <w:rPr>
          <w:rFonts w:ascii="Times New Roman" w:eastAsia="仿宋" w:hAnsi="Times New Roman" w:cs="Times New Roman" w:hint="eastAsia"/>
          <w:kern w:val="21"/>
          <w:sz w:val="32"/>
          <w:szCs w:val="32"/>
        </w:rPr>
        <w:t>。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龙头企业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采购奖补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、重点培育配套企业奖补、龙头企业标准制定奖补、工程化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攻关奖补等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奖励资金原则上用于企业的项目建设、产品开发、技术攻关、试验验证等生产活动，不得用于个人奖励、投资理财、捐助捐赠等；企业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招引奖补原则上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用于支持企业技术改造、研发创新和对企业</w:t>
      </w:r>
      <w:proofErr w:type="gramStart"/>
      <w:r>
        <w:rPr>
          <w:rFonts w:ascii="Times New Roman" w:eastAsia="仿宋" w:hAnsi="Times New Roman" w:cs="Times New Roman"/>
          <w:kern w:val="21"/>
          <w:sz w:val="32"/>
          <w:szCs w:val="32"/>
        </w:rPr>
        <w:t>作出</w:t>
      </w:r>
      <w:proofErr w:type="gramEnd"/>
      <w:r>
        <w:rPr>
          <w:rFonts w:ascii="Times New Roman" w:eastAsia="仿宋" w:hAnsi="Times New Roman" w:cs="Times New Roman"/>
          <w:kern w:val="21"/>
          <w:sz w:val="32"/>
          <w:szCs w:val="32"/>
        </w:rPr>
        <w:t>突出贡献的人员激励。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eastAsia="黑体" w:hAnsi="Times New Roman" w:cs="Times New Roman"/>
          <w:kern w:val="21"/>
          <w:sz w:val="32"/>
          <w:szCs w:val="32"/>
        </w:rPr>
      </w:pPr>
      <w:r>
        <w:rPr>
          <w:rFonts w:ascii="Times New Roman" w:eastAsia="黑体" w:hAnsi="Times New Roman" w:cs="Times New Roman"/>
          <w:kern w:val="21"/>
          <w:sz w:val="32"/>
          <w:szCs w:val="32"/>
        </w:rPr>
        <w:t>第七章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kern w:val="21"/>
          <w:sz w:val="32"/>
          <w:szCs w:val="32"/>
        </w:rPr>
        <w:t>附则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第二十条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申报单位对申报事项的真实性、合法性、完整性负直接责任。对违反国家和省专项资金管理等有关规定的，视情况责令限期整改、停止拨付资金、收回已拨付资金，并作为失信行为依法依规予以联合惩戒。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第二十一条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本政策与其它已有政策表述不一致的，以本政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lastRenderedPageBreak/>
        <w:t>策为准，支持标准不一致的，按照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“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从高、不重复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”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的原则支持。</w:t>
      </w:r>
    </w:p>
    <w:p w:rsidR="00D03D8C" w:rsidRDefault="00000000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21"/>
          <w:sz w:val="32"/>
          <w:szCs w:val="32"/>
        </w:rPr>
        <w:t>第二十二条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1"/>
          <w:sz w:val="32"/>
          <w:szCs w:val="32"/>
        </w:rPr>
        <w:t>本细则实施期与《支持先进制造业供应链配套发展的若干政策措施》一致，由省工信厅、省科技厅、省商务厅、省财政厅负责解释。</w:t>
      </w:r>
    </w:p>
    <w:p w:rsidR="00D03D8C" w:rsidRDefault="00D03D8C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kern w:val="21"/>
          <w:sz w:val="32"/>
          <w:szCs w:val="32"/>
        </w:rPr>
      </w:pPr>
    </w:p>
    <w:p w:rsidR="00D03D8C" w:rsidRDefault="00D03D8C"/>
    <w:p w:rsidR="00D03D8C" w:rsidRDefault="00D03D8C"/>
    <w:p w:rsidR="00D03D8C" w:rsidRDefault="00D03D8C"/>
    <w:sectPr w:rsidR="00D03D8C">
      <w:headerReference w:type="default" r:id="rId7"/>
      <w:footerReference w:type="default" r:id="rId8"/>
      <w:pgSz w:w="11906" w:h="16838"/>
      <w:pgMar w:top="2098" w:right="1247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4450" w:rsidRDefault="00564450">
      <w:r>
        <w:separator/>
      </w:r>
    </w:p>
  </w:endnote>
  <w:endnote w:type="continuationSeparator" w:id="0">
    <w:p w:rsidR="00564450" w:rsidRDefault="0056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D8C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3D8C" w:rsidRDefault="00000000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D03D8C" w:rsidRDefault="00000000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4450" w:rsidRDefault="00564450">
      <w:r>
        <w:separator/>
      </w:r>
    </w:p>
  </w:footnote>
  <w:footnote w:type="continuationSeparator" w:id="0">
    <w:p w:rsidR="00564450" w:rsidRDefault="0056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D8C" w:rsidRDefault="00D03D8C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B9"/>
    <w:rsid w:val="A6EFC5A7"/>
    <w:rsid w:val="B7DF43A9"/>
    <w:rsid w:val="BBADB175"/>
    <w:rsid w:val="BBDF42EC"/>
    <w:rsid w:val="C3032751"/>
    <w:rsid w:val="CBD461C1"/>
    <w:rsid w:val="D5FBF45A"/>
    <w:rsid w:val="DD7EE2EC"/>
    <w:rsid w:val="DF51EF66"/>
    <w:rsid w:val="DFEDF170"/>
    <w:rsid w:val="ED2F8C73"/>
    <w:rsid w:val="F7D6CB12"/>
    <w:rsid w:val="F9FF4CFF"/>
    <w:rsid w:val="FBDD4CDD"/>
    <w:rsid w:val="FC590C4C"/>
    <w:rsid w:val="FDFC5C08"/>
    <w:rsid w:val="FDFEB0DE"/>
    <w:rsid w:val="FE77CAB2"/>
    <w:rsid w:val="FFD941D9"/>
    <w:rsid w:val="FFF7560D"/>
    <w:rsid w:val="FFF9BD88"/>
    <w:rsid w:val="FFFF125F"/>
    <w:rsid w:val="000018EF"/>
    <w:rsid w:val="00012C76"/>
    <w:rsid w:val="00016E39"/>
    <w:rsid w:val="000209D7"/>
    <w:rsid w:val="0002463A"/>
    <w:rsid w:val="000249AA"/>
    <w:rsid w:val="00031509"/>
    <w:rsid w:val="00045EEB"/>
    <w:rsid w:val="000608FC"/>
    <w:rsid w:val="000646BA"/>
    <w:rsid w:val="00074609"/>
    <w:rsid w:val="00095365"/>
    <w:rsid w:val="00096027"/>
    <w:rsid w:val="000D206A"/>
    <w:rsid w:val="000D3A32"/>
    <w:rsid w:val="000F6419"/>
    <w:rsid w:val="00101B2A"/>
    <w:rsid w:val="00115B30"/>
    <w:rsid w:val="001176BF"/>
    <w:rsid w:val="00140142"/>
    <w:rsid w:val="0014292D"/>
    <w:rsid w:val="00163E98"/>
    <w:rsid w:val="001A16A6"/>
    <w:rsid w:val="001E0ED3"/>
    <w:rsid w:val="001E2295"/>
    <w:rsid w:val="001F24B3"/>
    <w:rsid w:val="00212CE3"/>
    <w:rsid w:val="00230694"/>
    <w:rsid w:val="00265125"/>
    <w:rsid w:val="00285EE8"/>
    <w:rsid w:val="002B06F8"/>
    <w:rsid w:val="002B3C0E"/>
    <w:rsid w:val="002B54A5"/>
    <w:rsid w:val="002C5B4A"/>
    <w:rsid w:val="002C774E"/>
    <w:rsid w:val="002D1107"/>
    <w:rsid w:val="002D6594"/>
    <w:rsid w:val="002E644F"/>
    <w:rsid w:val="00315F6A"/>
    <w:rsid w:val="00331378"/>
    <w:rsid w:val="0033152C"/>
    <w:rsid w:val="00332CBD"/>
    <w:rsid w:val="00382D8F"/>
    <w:rsid w:val="003D6EED"/>
    <w:rsid w:val="003F722D"/>
    <w:rsid w:val="00405228"/>
    <w:rsid w:val="00422692"/>
    <w:rsid w:val="004269B9"/>
    <w:rsid w:val="00426C6C"/>
    <w:rsid w:val="00432578"/>
    <w:rsid w:val="0044746F"/>
    <w:rsid w:val="004578CD"/>
    <w:rsid w:val="0046678C"/>
    <w:rsid w:val="004668A0"/>
    <w:rsid w:val="00471E59"/>
    <w:rsid w:val="0047542F"/>
    <w:rsid w:val="004D486F"/>
    <w:rsid w:val="004D62B9"/>
    <w:rsid w:val="004D7CF4"/>
    <w:rsid w:val="00512C82"/>
    <w:rsid w:val="005133F2"/>
    <w:rsid w:val="005229D0"/>
    <w:rsid w:val="0052667A"/>
    <w:rsid w:val="00536C9F"/>
    <w:rsid w:val="00540E44"/>
    <w:rsid w:val="00564450"/>
    <w:rsid w:val="005E55E2"/>
    <w:rsid w:val="0062428C"/>
    <w:rsid w:val="00670F32"/>
    <w:rsid w:val="00671747"/>
    <w:rsid w:val="00691EC5"/>
    <w:rsid w:val="006A0F34"/>
    <w:rsid w:val="006A14B8"/>
    <w:rsid w:val="006A1EBD"/>
    <w:rsid w:val="006C6BD0"/>
    <w:rsid w:val="006F6356"/>
    <w:rsid w:val="007156B6"/>
    <w:rsid w:val="0072695A"/>
    <w:rsid w:val="00742823"/>
    <w:rsid w:val="00761828"/>
    <w:rsid w:val="00771488"/>
    <w:rsid w:val="00781235"/>
    <w:rsid w:val="0078347C"/>
    <w:rsid w:val="007A0C9B"/>
    <w:rsid w:val="007A2AFF"/>
    <w:rsid w:val="007B19C1"/>
    <w:rsid w:val="007B79DF"/>
    <w:rsid w:val="007E77CE"/>
    <w:rsid w:val="008027B0"/>
    <w:rsid w:val="00812BB1"/>
    <w:rsid w:val="0082031D"/>
    <w:rsid w:val="00820B5B"/>
    <w:rsid w:val="00822800"/>
    <w:rsid w:val="00866DA6"/>
    <w:rsid w:val="00872B2F"/>
    <w:rsid w:val="008743D3"/>
    <w:rsid w:val="00891C4C"/>
    <w:rsid w:val="00892AC0"/>
    <w:rsid w:val="008D607D"/>
    <w:rsid w:val="008D69AD"/>
    <w:rsid w:val="00902EFE"/>
    <w:rsid w:val="009064E6"/>
    <w:rsid w:val="00910208"/>
    <w:rsid w:val="0093248E"/>
    <w:rsid w:val="00936D43"/>
    <w:rsid w:val="0095330D"/>
    <w:rsid w:val="00962800"/>
    <w:rsid w:val="0096472C"/>
    <w:rsid w:val="00996B9C"/>
    <w:rsid w:val="009C29D4"/>
    <w:rsid w:val="009C607A"/>
    <w:rsid w:val="009E6C83"/>
    <w:rsid w:val="009F3DB5"/>
    <w:rsid w:val="00A34550"/>
    <w:rsid w:val="00A4575C"/>
    <w:rsid w:val="00A86C68"/>
    <w:rsid w:val="00A93A95"/>
    <w:rsid w:val="00AB38F9"/>
    <w:rsid w:val="00AB6DBA"/>
    <w:rsid w:val="00AC285C"/>
    <w:rsid w:val="00AF0F1E"/>
    <w:rsid w:val="00AF557F"/>
    <w:rsid w:val="00B1666A"/>
    <w:rsid w:val="00B2624C"/>
    <w:rsid w:val="00B43174"/>
    <w:rsid w:val="00B52128"/>
    <w:rsid w:val="00B74644"/>
    <w:rsid w:val="00B94DFD"/>
    <w:rsid w:val="00B96931"/>
    <w:rsid w:val="00BA1399"/>
    <w:rsid w:val="00BA4225"/>
    <w:rsid w:val="00BB20F5"/>
    <w:rsid w:val="00C07F06"/>
    <w:rsid w:val="00C30F75"/>
    <w:rsid w:val="00C653AC"/>
    <w:rsid w:val="00C722BC"/>
    <w:rsid w:val="00C853E4"/>
    <w:rsid w:val="00CB6D0F"/>
    <w:rsid w:val="00CC3F3A"/>
    <w:rsid w:val="00CE1DB4"/>
    <w:rsid w:val="00D0396C"/>
    <w:rsid w:val="00D03D8C"/>
    <w:rsid w:val="00D15B15"/>
    <w:rsid w:val="00D337C9"/>
    <w:rsid w:val="00D5696B"/>
    <w:rsid w:val="00D62355"/>
    <w:rsid w:val="00D862DF"/>
    <w:rsid w:val="00DA7170"/>
    <w:rsid w:val="00DA7BB1"/>
    <w:rsid w:val="00DB2CE7"/>
    <w:rsid w:val="00DB6E80"/>
    <w:rsid w:val="00DC2F7D"/>
    <w:rsid w:val="00DC3935"/>
    <w:rsid w:val="00DC430C"/>
    <w:rsid w:val="00E057C1"/>
    <w:rsid w:val="00E14C01"/>
    <w:rsid w:val="00E63674"/>
    <w:rsid w:val="00E90172"/>
    <w:rsid w:val="00EB6A43"/>
    <w:rsid w:val="00ED5498"/>
    <w:rsid w:val="00EE4A76"/>
    <w:rsid w:val="00EF07D0"/>
    <w:rsid w:val="00F006A4"/>
    <w:rsid w:val="00F21DB1"/>
    <w:rsid w:val="00F9257A"/>
    <w:rsid w:val="00FC3FF0"/>
    <w:rsid w:val="00FC5B66"/>
    <w:rsid w:val="00FD4011"/>
    <w:rsid w:val="00FF4703"/>
    <w:rsid w:val="1F39DD13"/>
    <w:rsid w:val="56577965"/>
    <w:rsid w:val="57FF8BE9"/>
    <w:rsid w:val="59E937C5"/>
    <w:rsid w:val="5DEF19CB"/>
    <w:rsid w:val="69BF3DDC"/>
    <w:rsid w:val="7BFEA6FA"/>
    <w:rsid w:val="7CE7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CFF02-AE26-4C6A-9B96-6A7288F5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685</Words>
  <Characters>3908</Characters>
  <Application>Microsoft Office Word</Application>
  <DocSecurity>0</DocSecurity>
  <Lines>32</Lines>
  <Paragraphs>9</Paragraphs>
  <ScaleCrop>false</ScaleCrop>
  <Company>Microsoft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吴琦 null</dc:creator>
  <cp:lastModifiedBy>lj</cp:lastModifiedBy>
  <cp:revision>2</cp:revision>
  <cp:lastPrinted>2022-07-06T02:51:00Z</cp:lastPrinted>
  <dcterms:created xsi:type="dcterms:W3CDTF">2023-01-16T08:32:00Z</dcterms:created>
  <dcterms:modified xsi:type="dcterms:W3CDTF">2023-01-16T08:32:00Z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