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49"/>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pPr>
        <w:pStyle w:val="50"/>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pPr>
        <w:pStyle w:val="195"/>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lang w:eastAsia="zh-CN"/>
        </w:rPr>
        <w:t>C</w:t>
      </w:r>
      <w:r>
        <w:rPr>
          <w:rFonts w:hint="eastAsia"/>
          <w:lang w:val="en-US" w:eastAsia="zh-CN"/>
        </w:rPr>
        <w:t>IMA</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rPr>
          <w:rFonts w:hint="eastAsia"/>
          <w:lang w:eastAsia="zh-CN"/>
        </w:rPr>
        <w:t>0</w:t>
      </w:r>
      <w:r>
        <w:rPr>
          <w:rFonts w:hint="eastAsia"/>
          <w:lang w:val="en-US" w:eastAsia="zh-CN"/>
        </w:rPr>
        <w:t>094</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rPr>
          <w:lang w:eastAsia="zh-CN"/>
        </w:rPr>
        <w:t>     </w:t>
      </w:r>
      <w:r>
        <w:fldChar w:fldCharType="end"/>
      </w:r>
      <w:bookmarkEnd w:id="7"/>
    </w:p>
    <w:p>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静止式电能表动态误差同步测试方法</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Static electricity meters-Synchronous test method for dynamic error</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中国仪器仪表行业协会</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360"/>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"标准文件_一级条标题,2,标准文件_二级条标题,3,标准文件_三级条标题,4,标准文件_附录一级条标题,2,标准文件_附录二级条标题,3,标准文件_附录三级条标题,4," </w:instrText>
      </w:r>
      <w:r>
        <w:fldChar w:fldCharType="separate"/>
      </w:r>
      <w:r>
        <w:fldChar w:fldCharType="begin"/>
      </w:r>
      <w:r>
        <w:instrText xml:space="preserve"> HYPERLINK \l "_Toc136445045" </w:instrText>
      </w:r>
      <w:r>
        <w:fldChar w:fldCharType="separate"/>
      </w:r>
      <w:r>
        <w:rPr>
          <w:rStyle w:val="32"/>
          <w:rFonts w:hint="eastAsia"/>
        </w:rPr>
        <w:t>前言</w:t>
      </w:r>
      <w:r>
        <w:tab/>
      </w:r>
      <w:r>
        <w:fldChar w:fldCharType="begin"/>
      </w:r>
      <w:r>
        <w:instrText xml:space="preserve"> PAGEREF _Toc136445045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"_Toc136445046" </w:instrText>
      </w:r>
      <w:r>
        <w:fldChar w:fldCharType="separate"/>
      </w:r>
      <w:r>
        <w:rPr>
          <w:rStyle w:val="32"/>
        </w:rPr>
        <w:t xml:space="preserve">1 </w:t>
      </w:r>
      <w:r>
        <w:rPr>
          <w:rStyle w:val="32"/>
          <w:rFonts w:hint="eastAsia"/>
        </w:rPr>
        <w:t xml:space="preserve"> 范围</w:t>
      </w:r>
      <w:r>
        <w:tab/>
      </w:r>
      <w:r>
        <w:fldChar w:fldCharType="begin"/>
      </w:r>
      <w:r>
        <w:instrText xml:space="preserve"> PAGEREF _Toc136445046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"_Toc136445047" </w:instrText>
      </w:r>
      <w:r>
        <w:fldChar w:fldCharType="separate"/>
      </w:r>
      <w:r>
        <w:rPr>
          <w:rStyle w:val="32"/>
        </w:rPr>
        <w:t xml:space="preserve">2 </w:t>
      </w:r>
      <w:r>
        <w:rPr>
          <w:rStyle w:val="32"/>
          <w:rFonts w:hint="eastAsia"/>
        </w:rPr>
        <w:t xml:space="preserve"> 规范性引用文件</w:t>
      </w:r>
      <w:r>
        <w:tab/>
      </w:r>
      <w:r>
        <w:fldChar w:fldCharType="begin"/>
      </w:r>
      <w:r>
        <w:instrText xml:space="preserve"> PAGEREF _Toc136445047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"_Toc136445048" </w:instrText>
      </w:r>
      <w:r>
        <w:fldChar w:fldCharType="separate"/>
      </w:r>
      <w:r>
        <w:rPr>
          <w:rStyle w:val="32"/>
        </w:rPr>
        <w:t xml:space="preserve">3 </w:t>
      </w:r>
      <w:r>
        <w:rPr>
          <w:rStyle w:val="32"/>
          <w:rFonts w:hint="eastAsia"/>
        </w:rPr>
        <w:t xml:space="preserve"> 术语和定义</w:t>
      </w:r>
      <w:r>
        <w:tab/>
      </w:r>
      <w:r>
        <w:fldChar w:fldCharType="begin"/>
      </w:r>
      <w:r>
        <w:instrText xml:space="preserve"> PAGEREF _Toc136445048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"_Toc136445049" </w:instrText>
      </w:r>
      <w:r>
        <w:fldChar w:fldCharType="separate"/>
      </w:r>
      <w:r>
        <w:rPr>
          <w:rStyle w:val="32"/>
          <w:highlight w:val="none"/>
        </w:rPr>
        <w:t xml:space="preserve">4 </w:t>
      </w:r>
      <w:r>
        <w:rPr>
          <w:rStyle w:val="32"/>
          <w:rFonts w:hint="eastAsia"/>
          <w:highlight w:val="none"/>
        </w:rPr>
        <w:t xml:space="preserve"> 试验条件</w:t>
      </w:r>
      <w:r>
        <w:tab/>
      </w:r>
      <w:r>
        <w:fldChar w:fldCharType="begin"/>
      </w:r>
      <w:r>
        <w:instrText xml:space="preserve"> PAGEREF _Toc136445049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"_Toc136445050" </w:instrText>
      </w:r>
      <w:r>
        <w:fldChar w:fldCharType="separate"/>
      </w:r>
      <w:r>
        <w:rPr>
          <w:rStyle w:val="32"/>
        </w:rPr>
        <w:t xml:space="preserve">5 </w:t>
      </w:r>
      <w:r>
        <w:rPr>
          <w:rStyle w:val="32"/>
          <w:rFonts w:hint="eastAsia"/>
        </w:rPr>
        <w:t xml:space="preserve"> 动态测试电能参比信号模型</w:t>
      </w:r>
      <w:r>
        <w:tab/>
      </w:r>
      <w:r>
        <w:fldChar w:fldCharType="begin"/>
      </w:r>
      <w:r>
        <w:instrText xml:space="preserve"> PAGEREF _Toc136445050 \h </w:instrText>
      </w:r>
      <w:r>
        <w:fldChar w:fldCharType="separate"/>
      </w:r>
      <w:r>
        <w:t>4</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"_Toc136445051" </w:instrText>
      </w:r>
      <w:r>
        <w:fldChar w:fldCharType="separate"/>
      </w:r>
      <w:r>
        <w:rPr>
          <w:rStyle w:val="32"/>
          <w14:scene3d>
            <w14:lightRig w14:rig="threePt" w14:dir="t">
              <w14:rot w14:lat="0" w14:lon="0" w14:rev="0"/>
            </w14:lightRig>
          </w14:scene3d>
        </w:rPr>
        <w:t xml:space="preserve">5.1 </w:t>
      </w:r>
      <w:r>
        <w:rPr>
          <w:rStyle w:val="32"/>
          <w:rFonts w:hint="eastAsia"/>
        </w:rPr>
        <w:t xml:space="preserve"> 模型的特性</w:t>
      </w:r>
      <w:r>
        <w:tab/>
      </w:r>
      <w:r>
        <w:fldChar w:fldCharType="begin"/>
      </w:r>
      <w:r>
        <w:instrText xml:space="preserve"> PAGEREF _Toc136445051 \h </w:instrText>
      </w:r>
      <w:r>
        <w:fldChar w:fldCharType="separate"/>
      </w:r>
      <w:r>
        <w:t>4</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"_Toc136445052" </w:instrText>
      </w:r>
      <w:r>
        <w:fldChar w:fldCharType="separate"/>
      </w:r>
      <w:r>
        <w:rPr>
          <w:rStyle w:val="32"/>
          <w14:scene3d>
            <w14:lightRig w14:rig="threePt" w14:dir="t">
              <w14:rot w14:lat="0" w14:lon="0" w14:rev="0"/>
            </w14:lightRig>
          </w14:scene3d>
        </w:rPr>
        <w:t xml:space="preserve">5.2 </w:t>
      </w:r>
      <w:r>
        <w:rPr>
          <w:rStyle w:val="32"/>
          <w:rFonts w:hint="eastAsia"/>
        </w:rPr>
        <w:t xml:space="preserve"> 模型的要素与表达式</w:t>
      </w:r>
      <w:r>
        <w:tab/>
      </w:r>
      <w:r>
        <w:fldChar w:fldCharType="begin"/>
      </w:r>
      <w:r>
        <w:instrText xml:space="preserve"> PAGEREF _Toc136445052 \h </w:instrText>
      </w:r>
      <w:r>
        <w:fldChar w:fldCharType="separate"/>
      </w:r>
      <w:r>
        <w:t>5</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"_Toc136445053" </w:instrText>
      </w:r>
      <w:r>
        <w:fldChar w:fldCharType="separate"/>
      </w:r>
      <w:r>
        <w:rPr>
          <w:rStyle w:val="32"/>
        </w:rPr>
        <w:t xml:space="preserve">5.2.1 </w:t>
      </w:r>
      <w:r>
        <w:rPr>
          <w:rStyle w:val="32"/>
          <w:rFonts w:hint="eastAsia"/>
        </w:rPr>
        <w:t xml:space="preserve"> 动态测试电能参比信号模型的基本构成要求</w:t>
      </w:r>
      <w:r>
        <w:tab/>
      </w:r>
      <w:r>
        <w:fldChar w:fldCharType="begin"/>
      </w:r>
      <w:r>
        <w:instrText xml:space="preserve"> PAGEREF _Toc136445053 \h </w:instrText>
      </w:r>
      <w:r>
        <w:fldChar w:fldCharType="separate"/>
      </w:r>
      <w:r>
        <w:t>5</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"_Toc136445054" </w:instrText>
      </w:r>
      <w:r>
        <w:fldChar w:fldCharType="separate"/>
      </w:r>
      <w:r>
        <w:rPr>
          <w:rStyle w:val="32"/>
        </w:rPr>
        <w:t xml:space="preserve">5.2.2 </w:t>
      </w:r>
      <w:r>
        <w:rPr>
          <w:rStyle w:val="32"/>
          <w:rFonts w:hint="eastAsia"/>
        </w:rPr>
        <w:t xml:space="preserve"> 稳态电压、稳态电流与稳态功率信号模型</w:t>
      </w:r>
      <w:r>
        <w:tab/>
      </w:r>
      <w:r>
        <w:fldChar w:fldCharType="begin"/>
      </w:r>
      <w:r>
        <w:instrText xml:space="preserve"> PAGEREF _Toc136445054 \h </w:instrText>
      </w:r>
      <w:r>
        <w:fldChar w:fldCharType="separate"/>
      </w:r>
      <w:r>
        <w:t>5</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"_Toc136445055" </w:instrText>
      </w:r>
      <w:r>
        <w:fldChar w:fldCharType="separate"/>
      </w:r>
      <w:r>
        <w:rPr>
          <w:rStyle w:val="32"/>
        </w:rPr>
        <w:t xml:space="preserve">5.2.3 </w:t>
      </w:r>
      <w:r>
        <w:rPr>
          <w:rStyle w:val="32"/>
          <w:rFonts w:hint="eastAsia"/>
        </w:rPr>
        <w:t xml:space="preserve"> 动态电流与动态功率信号模型</w:t>
      </w:r>
      <w:r>
        <w:tab/>
      </w:r>
      <w:r>
        <w:fldChar w:fldCharType="begin"/>
      </w:r>
      <w:r>
        <w:instrText xml:space="preserve"> PAGEREF _Toc136445055 \h </w:instrText>
      </w:r>
      <w:r>
        <w:fldChar w:fldCharType="separate"/>
      </w:r>
      <w:r>
        <w:t>6</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"_Toc136445056" </w:instrText>
      </w:r>
      <w:r>
        <w:fldChar w:fldCharType="separate"/>
      </w:r>
      <w:r>
        <w:rPr>
          <w:rStyle w:val="32"/>
        </w:rPr>
        <w:t xml:space="preserve">5.2.4 </w:t>
      </w:r>
      <w:r>
        <w:rPr>
          <w:rStyle w:val="32"/>
          <w:rFonts w:hint="eastAsia"/>
        </w:rPr>
        <w:t xml:space="preserve"> 动态测试电能参比信号模型</w:t>
      </w:r>
      <w:r>
        <w:tab/>
      </w:r>
      <w:r>
        <w:fldChar w:fldCharType="begin"/>
      </w:r>
      <w:r>
        <w:instrText xml:space="preserve"> PAGEREF _Toc136445056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"_Toc136445057" </w:instrText>
      </w:r>
      <w:r>
        <w:fldChar w:fldCharType="separate"/>
      </w:r>
      <w:r>
        <w:rPr>
          <w:rStyle w:val="32"/>
        </w:rPr>
        <w:t xml:space="preserve">6 </w:t>
      </w:r>
      <w:r>
        <w:rPr>
          <w:rStyle w:val="32"/>
          <w:rFonts w:hint="eastAsia"/>
        </w:rPr>
        <w:t xml:space="preserve"> 动态测试电能参比信号同步要求</w:t>
      </w:r>
      <w:r>
        <w:tab/>
      </w:r>
      <w:r>
        <w:fldChar w:fldCharType="begin"/>
      </w:r>
      <w:r>
        <w:instrText xml:space="preserve"> PAGEREF _Toc136445057 \h </w:instrText>
      </w:r>
      <w:r>
        <w:fldChar w:fldCharType="separate"/>
      </w:r>
      <w:r>
        <w:t>7</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"_Toc136445058" </w:instrText>
      </w:r>
      <w:r>
        <w:fldChar w:fldCharType="separate"/>
      </w:r>
      <w:r>
        <w:rPr>
          <w:rStyle w:val="32"/>
          <w14:scene3d>
            <w14:lightRig w14:rig="threePt" w14:dir="t">
              <w14:rot w14:lat="0" w14:lon="0" w14:rev="0"/>
            </w14:lightRig>
          </w14:scene3d>
        </w:rPr>
        <w:t xml:space="preserve">6.1 </w:t>
      </w:r>
      <w:r>
        <w:rPr>
          <w:rStyle w:val="32"/>
          <w:rFonts w:hint="eastAsia"/>
        </w:rPr>
        <w:t xml:space="preserve"> 通断周期的同步要求</w:t>
      </w:r>
      <w:r>
        <w:tab/>
      </w:r>
      <w:r>
        <w:fldChar w:fldCharType="begin"/>
      </w:r>
      <w:r>
        <w:instrText xml:space="preserve"> PAGEREF _Toc136445058 \h </w:instrText>
      </w:r>
      <w:r>
        <w:fldChar w:fldCharType="separate"/>
      </w:r>
      <w:r>
        <w:t>7</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"_Toc136445059" </w:instrText>
      </w:r>
      <w:r>
        <w:fldChar w:fldCharType="separate"/>
      </w:r>
      <w:r>
        <w:rPr>
          <w:rStyle w:val="32"/>
          <w14:scene3d>
            <w14:lightRig w14:rig="threePt" w14:dir="t">
              <w14:rot w14:lat="0" w14:lon="0" w14:rev="0"/>
            </w14:lightRig>
          </w14:scene3d>
        </w:rPr>
        <w:t xml:space="preserve">6.2 </w:t>
      </w:r>
      <w:r>
        <w:rPr>
          <w:rStyle w:val="32"/>
          <w:rFonts w:hint="eastAsia"/>
        </w:rPr>
        <w:t xml:space="preserve"> 循环周期的同步要求</w:t>
      </w:r>
      <w:r>
        <w:tab/>
      </w:r>
      <w:r>
        <w:fldChar w:fldCharType="begin"/>
      </w:r>
      <w:r>
        <w:instrText xml:space="preserve"> PAGEREF _Toc136445059 \h </w:instrText>
      </w:r>
      <w:r>
        <w:fldChar w:fldCharType="separate"/>
      </w:r>
      <w:r>
        <w:t>7</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"_Toc136445060" </w:instrText>
      </w:r>
      <w:r>
        <w:fldChar w:fldCharType="separate"/>
      </w:r>
      <w:r>
        <w:rPr>
          <w:rStyle w:val="32"/>
          <w:highlight w:val="none"/>
          <w14:scene3d>
            <w14:lightRig w14:rig="threePt" w14:dir="t">
              <w14:rot w14:lat="0" w14:lon="0" w14:rev="0"/>
            </w14:lightRig>
          </w14:scene3d>
        </w:rPr>
        <w:t xml:space="preserve">6.3 </w:t>
      </w:r>
      <w:r>
        <w:rPr>
          <w:rStyle w:val="32"/>
          <w:rFonts w:hint="eastAsia"/>
          <w:highlight w:val="none"/>
        </w:rPr>
        <w:t xml:space="preserve"> 循环重复的同步要求</w:t>
      </w:r>
      <w:r>
        <w:tab/>
      </w:r>
      <w:r>
        <w:fldChar w:fldCharType="begin"/>
      </w:r>
      <w:r>
        <w:instrText xml:space="preserve"> PAGEREF _Toc136445060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"_Toc136445061" </w:instrText>
      </w:r>
      <w:r>
        <w:fldChar w:fldCharType="separate"/>
      </w:r>
      <w:r>
        <w:rPr>
          <w:rStyle w:val="32"/>
        </w:rPr>
        <w:t xml:space="preserve">7 </w:t>
      </w:r>
      <w:r>
        <w:rPr>
          <w:rStyle w:val="32"/>
          <w:rFonts w:hint="eastAsia"/>
        </w:rPr>
        <w:t xml:space="preserve"> 电能表动态误差同步测试方法</w:t>
      </w:r>
      <w:r>
        <w:tab/>
      </w:r>
      <w:r>
        <w:fldChar w:fldCharType="begin"/>
      </w:r>
      <w:r>
        <w:instrText xml:space="preserve"> PAGEREF _Toc136445061 \h </w:instrText>
      </w:r>
      <w:r>
        <w:fldChar w:fldCharType="separate"/>
      </w:r>
      <w:r>
        <w:t>8</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"_Toc136445062" </w:instrText>
      </w:r>
      <w:r>
        <w:fldChar w:fldCharType="separate"/>
      </w:r>
      <w:r>
        <w:rPr>
          <w:rStyle w:val="32"/>
          <w14:scene3d>
            <w14:lightRig w14:rig="threePt" w14:dir="t">
              <w14:rot w14:lat="0" w14:lon="0" w14:rev="0"/>
            </w14:lightRig>
          </w14:scene3d>
        </w:rPr>
        <w:t xml:space="preserve">7.1 </w:t>
      </w:r>
      <w:r>
        <w:rPr>
          <w:rStyle w:val="32"/>
          <w:rFonts w:hint="eastAsia"/>
        </w:rPr>
        <w:t xml:space="preserve"> 电能表动态误差测试系统描述</w:t>
      </w:r>
      <w:r>
        <w:tab/>
      </w:r>
      <w:r>
        <w:fldChar w:fldCharType="begin"/>
      </w:r>
      <w:r>
        <w:instrText xml:space="preserve"> PAGEREF _Toc136445062 \h </w:instrText>
      </w:r>
      <w:r>
        <w:fldChar w:fldCharType="separate"/>
      </w:r>
      <w:r>
        <w:t>8</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"_Toc136445063" </w:instrText>
      </w:r>
      <w:r>
        <w:fldChar w:fldCharType="separate"/>
      </w:r>
      <w:r>
        <w:rPr>
          <w:rStyle w:val="32"/>
        </w:rPr>
        <w:t xml:space="preserve">7.1.1 </w:t>
      </w:r>
      <w:r>
        <w:rPr>
          <w:rStyle w:val="32"/>
          <w:rFonts w:hint="eastAsia"/>
        </w:rPr>
        <w:t xml:space="preserve"> 双电流回路电能表动态误差测试系统</w:t>
      </w:r>
      <w:r>
        <w:tab/>
      </w:r>
      <w:r>
        <w:fldChar w:fldCharType="begin"/>
      </w:r>
      <w:r>
        <w:instrText xml:space="preserve"> PAGEREF _Toc136445063 \h </w:instrText>
      </w:r>
      <w:r>
        <w:fldChar w:fldCharType="separate"/>
      </w:r>
      <w:r>
        <w:t>8</w:t>
      </w:r>
      <w:r>
        <w:fldChar w:fldCharType="end"/>
      </w:r>
      <w:r>
        <w:fldChar w:fldCharType="end"/>
      </w:r>
    </w:p>
    <w:p>
      <w:pPr>
        <w:pStyle w:val="15"/>
        <w:tabs>
          <w:tab w:val="right" w:leader="dot" w:pos="9344"/>
        </w:tabs>
        <w:rPr>
          <w:rFonts w:asciiTheme="minorHAnsi" w:hAnsiTheme="minorHAnsi" w:eastAsiaTheme="minorEastAsia" w:cstheme="minorBidi"/>
          <w:szCs w:val="22"/>
        </w:rPr>
      </w:pPr>
      <w:r>
        <w:fldChar w:fldCharType="begin"/>
      </w:r>
      <w:r>
        <w:instrText xml:space="preserve"> HYPERLINK \l "_Toc136445064" </w:instrText>
      </w:r>
      <w:r>
        <w:fldChar w:fldCharType="separate"/>
      </w:r>
      <w:r>
        <w:rPr>
          <w:rStyle w:val="32"/>
        </w:rPr>
        <w:t xml:space="preserve">7.1.2 </w:t>
      </w:r>
      <w:r>
        <w:rPr>
          <w:rStyle w:val="32"/>
          <w:rFonts w:hint="eastAsia"/>
        </w:rPr>
        <w:t xml:space="preserve"> 单电流回路电能表动态误差测试系统</w:t>
      </w:r>
      <w:r>
        <w:tab/>
      </w:r>
      <w:r>
        <w:fldChar w:fldCharType="begin"/>
      </w:r>
      <w:r>
        <w:instrText xml:space="preserve"> PAGEREF _Toc136445064 \h </w:instrText>
      </w:r>
      <w:r>
        <w:fldChar w:fldCharType="separate"/>
      </w:r>
      <w:r>
        <w:t>9</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"_Toc136445065" </w:instrText>
      </w:r>
      <w:r>
        <w:fldChar w:fldCharType="separate"/>
      </w:r>
      <w:r>
        <w:rPr>
          <w:rStyle w:val="32"/>
          <w14:scene3d>
            <w14:lightRig w14:rig="threePt" w14:dir="t">
              <w14:rot w14:lat="0" w14:lon="0" w14:rev="0"/>
            </w14:lightRig>
          </w14:scene3d>
        </w:rPr>
        <w:t xml:space="preserve">7.2 </w:t>
      </w:r>
      <w:r>
        <w:rPr>
          <w:rStyle w:val="32"/>
          <w:rFonts w:hint="eastAsia"/>
        </w:rPr>
        <w:t xml:space="preserve"> 动态测试电能参比信号电能量值的测试步骤</w:t>
      </w:r>
      <w:r>
        <w:tab/>
      </w:r>
      <w:r>
        <w:fldChar w:fldCharType="begin"/>
      </w:r>
      <w:r>
        <w:instrText xml:space="preserve"> PAGEREF _Toc136445065 \h </w:instrText>
      </w:r>
      <w:r>
        <w:fldChar w:fldCharType="separate"/>
      </w:r>
      <w:r>
        <w:t>9</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"_Toc136445066" </w:instrText>
      </w:r>
      <w:r>
        <w:fldChar w:fldCharType="separate"/>
      </w:r>
      <w:r>
        <w:rPr>
          <w:rStyle w:val="32"/>
          <w14:scene3d>
            <w14:lightRig w14:rig="threePt" w14:dir="t">
              <w14:rot w14:lat="0" w14:lon="0" w14:rev="0"/>
            </w14:lightRig>
          </w14:scene3d>
        </w:rPr>
        <w:t xml:space="preserve">7.3 </w:t>
      </w:r>
      <w:r>
        <w:rPr>
          <w:rStyle w:val="32"/>
          <w:rFonts w:hint="eastAsia"/>
        </w:rPr>
        <w:t xml:space="preserve"> 动态测试电能参比信号电能量值与被测电能表的动态误差的计算</w:t>
      </w:r>
      <w:r>
        <w:tab/>
      </w:r>
      <w:r>
        <w:fldChar w:fldCharType="begin"/>
      </w:r>
      <w:r>
        <w:instrText xml:space="preserve"> PAGEREF _Toc136445066 \h </w:instrText>
      </w:r>
      <w:r>
        <w:fldChar w:fldCharType="separate"/>
      </w:r>
      <w:r>
        <w:t>10</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"_Toc136445067" </w:instrText>
      </w:r>
      <w:r>
        <w:fldChar w:fldCharType="separate"/>
      </w:r>
      <w:r>
        <w:rPr>
          <w:rStyle w:val="32"/>
          <w14:scene3d>
            <w14:lightRig w14:rig="threePt" w14:dir="t">
              <w14:rot w14:lat="0" w14:lon="0" w14:rev="0"/>
            </w14:lightRig>
          </w14:scene3d>
        </w:rPr>
        <w:t xml:space="preserve">7.4 </w:t>
      </w:r>
      <w:r>
        <w:rPr>
          <w:rStyle w:val="32"/>
          <w:rFonts w:hint="eastAsia"/>
        </w:rPr>
        <w:t xml:space="preserve"> 动态测试电能参比信号电能量值溯源的比例系数计算</w:t>
      </w:r>
      <w:r>
        <w:tab/>
      </w:r>
      <w:r>
        <w:fldChar w:fldCharType="begin"/>
      </w:r>
      <w:r>
        <w:instrText xml:space="preserve"> PAGEREF _Toc136445067 \h </w:instrText>
      </w:r>
      <w:r>
        <w:fldChar w:fldCharType="separate"/>
      </w:r>
      <w:r>
        <w:t>10</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"_Toc136445068" </w:instrText>
      </w:r>
      <w:r>
        <w:fldChar w:fldCharType="separate"/>
      </w:r>
      <w:r>
        <w:rPr>
          <w:rStyle w:val="32"/>
        </w:rPr>
        <w:t xml:space="preserve">8 </w:t>
      </w:r>
      <w:r>
        <w:rPr>
          <w:rStyle w:val="32"/>
          <w:rFonts w:hint="eastAsia"/>
        </w:rPr>
        <w:t xml:space="preserve"> 动态误差测试的试验点</w:t>
      </w:r>
      <w:r>
        <w:tab/>
      </w:r>
      <w:r>
        <w:fldChar w:fldCharType="begin"/>
      </w:r>
      <w:r>
        <w:instrText xml:space="preserve"> PAGEREF _Toc136445068 \h </w:instrText>
      </w:r>
      <w:r>
        <w:fldChar w:fldCharType="separate"/>
      </w:r>
      <w:r>
        <w:t>11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"_Toc136445069" </w:instrText>
      </w:r>
      <w:r>
        <w:fldChar w:fldCharType="separate"/>
      </w:r>
      <w:r>
        <w:rPr>
          <w:rStyle w:val="32"/>
        </w:rPr>
        <w:t xml:space="preserve">9 </w:t>
      </w:r>
      <w:r>
        <w:rPr>
          <w:rStyle w:val="32"/>
          <w:rFonts w:hint="eastAsia"/>
        </w:rPr>
        <w:t xml:space="preserve"> 动态误差测试流程</w:t>
      </w:r>
      <w:r>
        <w:tab/>
      </w:r>
      <w:r>
        <w:fldChar w:fldCharType="begin"/>
      </w:r>
      <w:r>
        <w:instrText xml:space="preserve"> PAGEREF _Toc136445069 \h </w:instrText>
      </w:r>
      <w:r>
        <w:fldChar w:fldCharType="separate"/>
      </w:r>
      <w:r>
        <w:t>12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"_Toc136445070" </w:instrText>
      </w:r>
      <w:r>
        <w:fldChar w:fldCharType="separate"/>
      </w:r>
      <w:r>
        <w:rPr>
          <w:rStyle w:val="32"/>
          <w:rFonts w:hint="eastAsia"/>
        </w:rPr>
        <w:t>附录A（资料性）</w:t>
      </w:r>
      <w:r>
        <w:rPr>
          <w:rStyle w:val="32"/>
        </w:rPr>
        <w:t xml:space="preserve">  </w:t>
      </w:r>
      <w:r>
        <w:rPr>
          <w:rStyle w:val="32"/>
          <w:rFonts w:hint="eastAsia"/>
        </w:rPr>
        <w:t>电流幅度游程的示例</w:t>
      </w:r>
      <w:r>
        <w:tab/>
      </w:r>
      <w:r>
        <w:fldChar w:fldCharType="begin"/>
      </w:r>
      <w:r>
        <w:instrText xml:space="preserve"> PAGEREF _Toc136445070 \h </w:instrText>
      </w:r>
      <w:r>
        <w:fldChar w:fldCharType="separate"/>
      </w:r>
      <w:r>
        <w:t>13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"_Toc136445071" </w:instrText>
      </w:r>
      <w:r>
        <w:fldChar w:fldCharType="separate"/>
      </w:r>
      <w:r>
        <w:rPr>
          <w:rStyle w:val="32"/>
          <w:rFonts w:hint="eastAsia"/>
        </w:rPr>
        <w:t>附录B（资料性）</w:t>
      </w:r>
      <w:r>
        <w:rPr>
          <w:rStyle w:val="32"/>
        </w:rPr>
        <w:t xml:space="preserve">  </w:t>
      </w:r>
      <w:r>
        <w:rPr>
          <w:rStyle w:val="32"/>
          <w:rFonts w:hint="eastAsia"/>
        </w:rPr>
        <w:t>典型电力动态负荷场景下电能表性能测试表格规范</w:t>
      </w:r>
      <w:r>
        <w:tab/>
      </w:r>
      <w:r>
        <w:fldChar w:fldCharType="begin"/>
      </w:r>
      <w:r>
        <w:instrText xml:space="preserve"> PAGEREF _Toc136445071 \h </w:instrText>
      </w:r>
      <w:r>
        <w:fldChar w:fldCharType="separate"/>
      </w:r>
      <w:r>
        <w:t>14</w:t>
      </w:r>
      <w:r>
        <w:fldChar w:fldCharType="end"/>
      </w:r>
      <w:r>
        <w:fldChar w:fldCharType="end"/>
      </w:r>
    </w:p>
    <w:p>
      <w:pPr>
        <w:pStyle w:val="91"/>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pPr>
        <w:pStyle w:val="89"/>
        <w:spacing w:after="360"/>
      </w:pPr>
      <w:bookmarkStart w:id="22" w:name="_Toc136445045"/>
      <w:bookmarkStart w:id="23" w:name="BookMark2"/>
      <w:r>
        <w:rPr>
          <w:spacing w:val="320"/>
        </w:rPr>
        <w:t>前</w:t>
      </w:r>
      <w:r>
        <w:t>言</w:t>
      </w:r>
      <w:bookmarkEnd w:id="22"/>
    </w:p>
    <w:p>
      <w:pPr>
        <w:pStyle w:val="56"/>
        <w:ind w:firstLine="420"/>
      </w:pPr>
      <w:r>
        <w:rPr>
          <w:rFonts w:hint="eastAsia"/>
        </w:rPr>
        <w:t>本文件按照GB/T 1.1—2020《标准化工作导则  第1部分：标准化文件的结构和起草规则》的规定起草。</w:t>
      </w:r>
    </w:p>
    <w:p>
      <w:pPr>
        <w:pStyle w:val="56"/>
        <w:ind w:firstLine="420"/>
      </w:pPr>
    </w:p>
    <w:p>
      <w:pPr>
        <w:pStyle w:val="56"/>
        <w:ind w:firstLine="420"/>
      </w:pPr>
    </w:p>
    <w:p>
      <w:pPr>
        <w:pStyle w:val="56"/>
        <w:ind w:firstLine="420"/>
      </w:pPr>
      <w:r>
        <w:rPr>
          <w:rFonts w:hint="eastAsia"/>
        </w:rPr>
        <w:t>请注意本文件的某些内容可能涉及专利。本文件的发布机构不承担识别这些专利的责任。</w:t>
      </w:r>
    </w:p>
    <w:p>
      <w:pPr>
        <w:pStyle w:val="56"/>
        <w:ind w:firstLine="420"/>
      </w:pPr>
      <w:r>
        <w:rPr>
          <w:rFonts w:hint="eastAsia"/>
        </w:rPr>
        <w:t>本文件由中国仪器仪表行业协会电工仪器仪表分会提出。</w:t>
      </w:r>
    </w:p>
    <w:p>
      <w:pPr>
        <w:pStyle w:val="56"/>
        <w:ind w:firstLine="420"/>
      </w:pPr>
      <w:r>
        <w:rPr>
          <w:rFonts w:hint="eastAsia"/>
        </w:rPr>
        <w:t>本文件由中国仪器仪表行业协会归口。</w:t>
      </w:r>
    </w:p>
    <w:p>
      <w:pPr>
        <w:pStyle w:val="56"/>
        <w:ind w:firstLine="420"/>
      </w:pPr>
      <w:r>
        <w:rPr>
          <w:rFonts w:hint="eastAsia"/>
        </w:rPr>
        <w:t>本文件起草单位：国网冀北电力有限公司、北京化工大学、网江西省电力有限公司。</w:t>
      </w:r>
    </w:p>
    <w:p>
      <w:pPr>
        <w:pStyle w:val="56"/>
        <w:ind w:firstLine="420"/>
      </w:pPr>
      <w:r>
        <w:rPr>
          <w:rFonts w:hint="eastAsia"/>
        </w:rPr>
        <w:t>本文件主要起草人：*</w:t>
      </w:r>
      <w:r>
        <w:t>**、</w:t>
      </w:r>
      <w:r>
        <w:rPr>
          <w:rFonts w:hint="eastAsia"/>
        </w:rPr>
        <w:t>*</w:t>
      </w:r>
      <w:r>
        <w:t>**、</w:t>
      </w:r>
      <w:r>
        <w:rPr>
          <w:rFonts w:hint="eastAsia"/>
        </w:rPr>
        <w:t>*</w:t>
      </w:r>
      <w:r>
        <w:t>**</w:t>
      </w:r>
    </w:p>
    <w:p>
      <w:pPr>
        <w:pStyle w:val="56"/>
        <w:ind w:firstLine="420"/>
      </w:pPr>
    </w:p>
    <w:p>
      <w:pPr>
        <w:pStyle w:val="56"/>
        <w:ind w:firstLine="420"/>
        <w:sectPr>
          <w:pgSz w:w="11906" w:h="16838"/>
          <w:pgMar w:top="1928" w:right="1134" w:bottom="1134" w:left="1134" w:header="1418" w:footer="1134" w:gutter="284"/>
          <w:pgNumType w:fmt="upperRoman"/>
          <w:cols w:space="425" w:num="1"/>
          <w:formProt w:val="0"/>
          <w:docGrid w:linePitch="312" w:charSpace="0"/>
        </w:sectPr>
      </w:pP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6305C22D60814B719D25B71C34B6BEF0"/>
        </w:placeholder>
      </w:sdtPr>
      <w:sdtContent>
        <w:p>
          <w:pPr>
            <w:pStyle w:val="177"/>
            <w:spacing w:before="2" w:beforeLines="1" w:after="528" w:afterLines="220"/>
          </w:pPr>
          <w:bookmarkStart w:id="25" w:name="NEW_STAND_NAME"/>
          <w:r>
            <w:rPr>
              <w:rFonts w:hint="eastAsia"/>
            </w:rPr>
            <w:t>静止式电能表</w:t>
          </w:r>
          <w:r>
            <w:t xml:space="preserve"> 动态误差同步测试方法</w:t>
          </w:r>
        </w:p>
      </w:sdtContent>
    </w:sdt>
    <w:bookmarkEnd w:id="25"/>
    <w:p>
      <w:pPr>
        <w:pStyle w:val="104"/>
        <w:spacing w:before="240" w:after="240"/>
      </w:pPr>
      <w:bookmarkStart w:id="26" w:name="_Toc24884218"/>
      <w:bookmarkStart w:id="27" w:name="_Toc26718930"/>
      <w:bookmarkStart w:id="28" w:name="_Toc136445046"/>
      <w:bookmarkStart w:id="29" w:name="_Toc26986771"/>
      <w:bookmarkStart w:id="30" w:name="_Toc17233325"/>
      <w:bookmarkStart w:id="31" w:name="_Toc97192964"/>
      <w:bookmarkStart w:id="32" w:name="_Toc24884211"/>
      <w:bookmarkStart w:id="33" w:name="_Toc26648465"/>
      <w:bookmarkStart w:id="34" w:name="_Toc17233333"/>
      <w:bookmarkStart w:id="35" w:name="_Toc26986530"/>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pPr>
      <w:bookmarkStart w:id="36" w:name="_Toc17233334"/>
      <w:bookmarkStart w:id="37" w:name="_Toc26648466"/>
      <w:bookmarkStart w:id="38" w:name="_Toc24884219"/>
      <w:bookmarkStart w:id="39" w:name="_Toc17233326"/>
      <w:bookmarkStart w:id="40" w:name="_Toc24884212"/>
      <w:r>
        <w:rPr>
          <w:rFonts w:hint="eastAsia"/>
        </w:rPr>
        <w:t>本文件规定了动态负荷条件下，单相、三相静止式电能表动态误差测试的试验条件、动态测试电能参比信号模型、动态测试电能参比信号同步要求、电能表动态误差同步测试方法、动态误差测试的试验点和动态误差测试流程。</w:t>
      </w:r>
    </w:p>
    <w:p>
      <w:pPr>
        <w:pStyle w:val="56"/>
        <w:ind w:firstLine="420"/>
      </w:pPr>
      <w:r>
        <w:rPr>
          <w:rFonts w:hint="eastAsia"/>
        </w:rPr>
        <w:t>本文件适用于在动态负荷条件下单相、三相静止式电能表的电能计量误差测试，新制造静止式电能表的设计、制造和验收。对单相、三相标准电能表的动态误差测试，可参考使用。</w:t>
      </w:r>
    </w:p>
    <w:p>
      <w:pPr>
        <w:pStyle w:val="104"/>
        <w:spacing w:before="240" w:after="240"/>
      </w:pPr>
      <w:bookmarkStart w:id="41" w:name="_Toc136445047"/>
      <w:bookmarkStart w:id="42" w:name="_Toc26718931"/>
      <w:bookmarkStart w:id="43" w:name="_Toc97192965"/>
      <w:bookmarkStart w:id="44" w:name="_Toc26986531"/>
      <w:bookmarkStart w:id="45" w:name="_Toc26986772"/>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573E4A590A5C4E8AA95040AB6325A60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rPr>
          <w:rFonts w:ascii="Times New Roman"/>
        </w:rPr>
      </w:pPr>
      <w:r>
        <w:rPr>
          <w:rFonts w:ascii="Times New Roman"/>
        </w:rPr>
        <w:t xml:space="preserve">GB/T 8170-2008 数值修约规则与极限数值的表示和判定 </w:t>
      </w:r>
    </w:p>
    <w:p>
      <w:pPr>
        <w:pStyle w:val="56"/>
        <w:ind w:firstLine="420"/>
        <w:rPr>
          <w:rFonts w:ascii="Times New Roman"/>
        </w:rPr>
      </w:pPr>
      <w:r>
        <w:rPr>
          <w:rFonts w:ascii="Times New Roman"/>
        </w:rPr>
        <w:t>GB/T 17215.211-2021 电测量设备(交流) 通用要求、试验和试验条件 第11部分：测量设备</w:t>
      </w:r>
    </w:p>
    <w:p>
      <w:pPr>
        <w:pStyle w:val="56"/>
        <w:ind w:firstLine="420"/>
        <w:rPr>
          <w:rFonts w:ascii="Times New Roman"/>
        </w:rPr>
      </w:pPr>
      <w:r>
        <w:rPr>
          <w:rFonts w:ascii="Times New Roman"/>
        </w:rPr>
        <w:t>GB/T 17215.321-2021 电测量设备(交流) 特殊要求 第21部分：静止式有功电能表（A级、B级、C级、D级和E级）</w:t>
      </w:r>
    </w:p>
    <w:p>
      <w:pPr>
        <w:pStyle w:val="56"/>
        <w:ind w:firstLine="420"/>
        <w:rPr>
          <w:rFonts w:ascii="Times New Roman"/>
        </w:rPr>
      </w:pPr>
      <w:r>
        <w:rPr>
          <w:rFonts w:ascii="Times New Roman"/>
        </w:rPr>
        <w:t>GB/T 17215.831-2017 交流电测量设备　验收检验　第31部分：静止式有功电能表的特殊要求(0.2S级、0.5S级、1级和2级)</w:t>
      </w:r>
    </w:p>
    <w:p>
      <w:pPr>
        <w:pStyle w:val="104"/>
        <w:spacing w:before="240" w:after="240"/>
      </w:pPr>
      <w:bookmarkStart w:id="46" w:name="_Toc136445048"/>
      <w:bookmarkStart w:id="47" w:name="_Toc97192966"/>
      <w:r>
        <w:rPr>
          <w:rFonts w:hint="eastAsia"/>
          <w:szCs w:val="21"/>
        </w:rPr>
        <w:t>术语和定义</w:t>
      </w:r>
      <w:bookmarkEnd w:id="46"/>
      <w:bookmarkEnd w:id="47"/>
    </w:p>
    <w:sdt>
      <w:sdtPr>
        <w:rPr>
          <w:rFonts w:ascii="Times New Roman"/>
        </w:rPr>
        <w:id w:val="-1909835108"/>
        <w:placeholder>
          <w:docPart w:val="64D6DBB132E848E098B24D6F94DF398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pPr>
            <w:pStyle w:val="56"/>
            <w:ind w:firstLine="420"/>
          </w:pPr>
          <w:bookmarkStart w:id="48" w:name="_Toc26986532"/>
          <w:bookmarkEnd w:id="48"/>
          <w:r>
            <w:rPr>
              <w:rFonts w:ascii="Times New Roman"/>
            </w:rPr>
            <w:t>GB/T 17215.211和GB/T 17215.321界定的以及下列术语和定义适用于本文件。</w:t>
          </w:r>
        </w:p>
      </w:sdtContent>
    </w:sdt>
    <w:p>
      <w:pPr>
        <w:pStyle w:val="223"/>
        <w:ind w:left="420" w:hanging="420" w:hangingChars="200"/>
        <w:rPr>
          <w:rFonts w:ascii="黑体" w:hAnsi="黑体" w:eastAsia="黑体"/>
        </w:rPr>
      </w:pPr>
    </w:p>
    <w:p>
      <w:pPr>
        <w:widowControl/>
        <w:adjustRightInd/>
        <w:spacing w:before="120" w:beforeLines="50" w:after="120" w:afterLines="50" w:line="240" w:lineRule="auto"/>
        <w:ind w:firstLine="420" w:firstLineChars="200"/>
        <w:rPr>
          <w:rFonts w:eastAsia="黑体"/>
          <w:kern w:val="0"/>
          <w:szCs w:val="20"/>
        </w:rPr>
      </w:pPr>
      <w:bookmarkStart w:id="49" w:name="_Ref119416143"/>
      <w:r>
        <w:rPr>
          <w:rFonts w:eastAsia="黑体"/>
          <w:kern w:val="0"/>
          <w:szCs w:val="20"/>
        </w:rPr>
        <w:t>电流幅度游程　current amplitude run</w:t>
      </w:r>
      <w:bookmarkEnd w:id="49"/>
    </w:p>
    <w:p>
      <w:pPr>
        <w:widowControl/>
        <w:autoSpaceDE w:val="0"/>
        <w:autoSpaceDN w:val="0"/>
        <w:spacing w:before="156" w:after="156"/>
        <w:ind w:firstLine="420" w:firstLineChars="200"/>
        <w:rPr>
          <w:kern w:val="0"/>
          <w:szCs w:val="20"/>
        </w:rPr>
      </w:pPr>
      <w:r>
        <w:rPr>
          <w:rFonts w:hint="eastAsia"/>
          <w:kern w:val="0"/>
          <w:szCs w:val="20"/>
        </w:rPr>
        <w:t>以动态负荷电流幅度缓慢波动的准稳态项作为参考截取电流波形曲线，电流幅度序列中幅度值大于参考截取线的所有离散时间点上的连续电流幅值集合为一个上升游程，电流幅度序列中幅度值小于参考截取线的所有离散时间点上的连续电流幅值集合为一个下降游程，电流幅度时间序列中幅度值具有某一相同特性的连续时间序列集合，电流幅度游程包括上升游程或下降游程，游程持续的时间为游程长度。</w:t>
      </w:r>
    </w:p>
    <w:p>
      <w:pPr>
        <w:pStyle w:val="179"/>
      </w:pPr>
      <w:r>
        <w:rPr>
          <w:rFonts w:hint="eastAsia"/>
        </w:rPr>
        <w:t>见附录图</w:t>
      </w:r>
      <w:r>
        <w:rPr>
          <w:rFonts w:ascii="Times New Roman"/>
        </w:rPr>
        <w:t>A.1</w:t>
      </w:r>
      <w:r>
        <w:rPr>
          <w:rFonts w:hint="eastAsia"/>
        </w:rPr>
        <w:t>。</w:t>
      </w:r>
    </w:p>
    <w:p>
      <w:pPr>
        <w:pStyle w:val="223"/>
        <w:ind w:left="420" w:hanging="420" w:hangingChars="200"/>
        <w:rPr>
          <w:rFonts w:ascii="黑体" w:hAnsi="黑体" w:eastAsia="黑体"/>
        </w:rPr>
      </w:pPr>
      <w:bookmarkStart w:id="50" w:name="_Ref119400571"/>
    </w:p>
    <w:p>
      <w:pPr>
        <w:pStyle w:val="223"/>
        <w:numPr>
          <w:ilvl w:val="0"/>
          <w:numId w:val="0"/>
        </w:numPr>
        <w:ind w:left="420"/>
        <w:rPr>
          <w:rFonts w:ascii="黑体" w:hAnsi="黑体" w:eastAsia="黑体"/>
        </w:rPr>
      </w:pPr>
      <w:r>
        <w:rPr>
          <w:rFonts w:hint="eastAsia" w:ascii="黑体" w:hAnsi="黑体" w:eastAsia="黑体"/>
        </w:rPr>
        <w:t>截取线</w:t>
      </w:r>
      <w:bookmarkEnd w:id="50"/>
      <w:r>
        <w:rPr>
          <w:rFonts w:ascii="黑体" w:hAnsi="黑体" w:eastAsia="黑体"/>
        </w:rPr>
        <w:t>　intercept curve</w:t>
      </w:r>
    </w:p>
    <w:p>
      <w:pPr>
        <w:widowControl/>
        <w:autoSpaceDE w:val="0"/>
        <w:autoSpaceDN w:val="0"/>
        <w:adjustRightInd/>
        <w:spacing w:before="156" w:after="156" w:line="240" w:lineRule="auto"/>
        <w:ind w:firstLine="420" w:firstLineChars="200"/>
        <w:rPr>
          <w:rFonts w:ascii="Times New Roman" w:hAnsi="Times New Roman"/>
          <w:kern w:val="0"/>
          <w:szCs w:val="24"/>
        </w:rPr>
      </w:pPr>
      <w:r>
        <w:rPr>
          <w:rFonts w:ascii="Times New Roman" w:hAnsi="Times New Roman"/>
          <w:kern w:val="0"/>
          <w:szCs w:val="24"/>
        </w:rPr>
        <w:t>动态负荷（3.3）电流幅度中包含的缓慢波动项</w:t>
      </w:r>
      <w:r>
        <w:rPr>
          <w:rFonts w:hint="eastAsia" w:ascii="Times New Roman" w:hAnsi="Times New Roman"/>
          <w:kern w:val="0"/>
          <w:szCs w:val="24"/>
        </w:rPr>
        <w:t>的曲线</w:t>
      </w:r>
      <w:r>
        <w:rPr>
          <w:rFonts w:ascii="Times New Roman" w:hAnsi="Times New Roman"/>
          <w:kern w:val="0"/>
          <w:szCs w:val="24"/>
        </w:rPr>
        <w:t>。</w:t>
      </w:r>
    </w:p>
    <w:p>
      <w:pPr>
        <w:pStyle w:val="179"/>
      </w:pPr>
      <w:r>
        <w:rPr>
          <w:rFonts w:hint="eastAsia"/>
        </w:rPr>
        <w:t>见附录</w:t>
      </w:r>
      <w:r>
        <w:rPr>
          <w:rFonts w:ascii="Times New Roman"/>
        </w:rPr>
        <w:t>图A.1</w:t>
      </w:r>
      <w:r>
        <w:rPr>
          <w:rFonts w:hint="eastAsia"/>
        </w:rPr>
        <w:t>。</w:t>
      </w:r>
      <w:bookmarkStart w:id="51" w:name="_Ref119414227"/>
      <w:bookmarkStart w:id="52" w:name="_Ref119417622"/>
    </w:p>
    <w:p>
      <w:pPr>
        <w:pStyle w:val="223"/>
        <w:ind w:left="420" w:hanging="420" w:hangingChars="200"/>
        <w:rPr>
          <w:rFonts w:ascii="黑体" w:hAnsi="黑体" w:eastAsia="黑体"/>
        </w:rPr>
      </w:pPr>
      <w:r>
        <w:rPr>
          <w:rFonts w:ascii="黑体" w:hAnsi="黑体" w:eastAsia="黑体"/>
        </w:rPr>
        <w:br w:type="textWrapping"/>
      </w:r>
      <w:r>
        <w:rPr>
          <w:rFonts w:ascii="黑体" w:hAnsi="黑体" w:eastAsia="黑体"/>
        </w:rPr>
        <w:t>动态负荷</w:t>
      </w:r>
      <w:r>
        <w:rPr>
          <w:rFonts w:hint="eastAsia" w:ascii="黑体" w:hAnsi="黑体" w:eastAsia="黑体"/>
        </w:rPr>
        <w:t>　</w:t>
      </w:r>
      <w:r>
        <w:rPr>
          <w:rFonts w:ascii="黑体" w:hAnsi="黑体" w:eastAsia="黑体"/>
        </w:rPr>
        <w:t>dynamic load</w:t>
      </w:r>
      <w:bookmarkEnd w:id="51"/>
      <w:bookmarkEnd w:id="52"/>
    </w:p>
    <w:p>
      <w:pPr>
        <w:widowControl/>
        <w:autoSpaceDE w:val="0"/>
        <w:autoSpaceDN w:val="0"/>
        <w:spacing w:before="156" w:after="156"/>
        <w:ind w:firstLine="420" w:firstLineChars="200"/>
      </w:pPr>
      <w:r>
        <w:rPr>
          <w:rFonts w:hint="eastAsia"/>
        </w:rPr>
        <w:t>生产（或运行）过程中从供电网中取用快速变动功率的用电负荷，或者光伏风力等新能源发电输出端功率快速变化的供电负荷。</w:t>
      </w:r>
    </w:p>
    <w:p>
      <w:pPr>
        <w:pStyle w:val="56"/>
        <w:ind w:firstLine="420"/>
      </w:pPr>
      <w:r>
        <w:rPr>
          <w:rFonts w:hint="eastAsia"/>
        </w:rPr>
        <w:t>[来源：</w:t>
      </w:r>
      <w:r>
        <w:rPr>
          <w:rFonts w:hint="eastAsia" w:ascii="Times New Roman"/>
          <w:kern w:val="2"/>
          <w:szCs w:val="24"/>
        </w:rPr>
        <w:t>GB/T12326-2000(2008)《电能质量 电压波动和闪变》</w:t>
      </w:r>
      <w:r>
        <w:rPr>
          <w:rFonts w:hint="eastAsia"/>
        </w:rPr>
        <w:t>]</w:t>
      </w:r>
    </w:p>
    <w:p>
      <w:pPr>
        <w:pStyle w:val="180"/>
      </w:pPr>
      <w:r>
        <w:rPr>
          <w:rFonts w:hint="eastAsia"/>
        </w:rPr>
        <w:t>在运行或生产中，负荷的拓扑结构、性能参数或工作状态等发生变化，导致从电网中周期性或无规律随机性取用功率的用电负荷，例如：炼钢电弧炉、轧机、电弧焊机等。</w:t>
      </w:r>
    </w:p>
    <w:p>
      <w:pPr>
        <w:pStyle w:val="180"/>
      </w:pPr>
      <w:r>
        <w:rPr>
          <w:rFonts w:hint="eastAsia"/>
        </w:rPr>
        <w:t>在环境影响下，动态负荷还包括新能源发电厂输出功率端快速变化的供电负荷，例如：光伏或风力等新能源。</w:t>
      </w:r>
    </w:p>
    <w:p>
      <w:pPr>
        <w:pStyle w:val="223"/>
        <w:ind w:left="420" w:hanging="420" w:hangingChars="200"/>
        <w:rPr>
          <w:rFonts w:ascii="黑体" w:hAnsi="黑体" w:eastAsia="黑体"/>
        </w:rPr>
      </w:pPr>
    </w:p>
    <w:p>
      <w:pPr>
        <w:pStyle w:val="56"/>
        <w:ind w:firstLine="420"/>
        <w:rPr>
          <w:rFonts w:ascii="黑体" w:hAnsi="黑体" w:eastAsia="黑体"/>
        </w:rPr>
      </w:pPr>
      <w:r>
        <w:rPr>
          <w:rFonts w:hint="eastAsia" w:ascii="黑体" w:hAnsi="黑体" w:eastAsia="黑体"/>
        </w:rPr>
        <w:t>冲击负荷　impact load</w:t>
      </w:r>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Times New Roman" w:hAnsi="Times New Roman"/>
          <w:kern w:val="0"/>
          <w:szCs w:val="20"/>
        </w:rPr>
        <w:t>在</w:t>
      </w:r>
      <w:r>
        <w:rPr>
          <w:rFonts w:hint="eastAsia" w:ascii="Times New Roman" w:hAnsi="Times New Roman"/>
        </w:rPr>
        <w:t>小于6</w:t>
      </w:r>
      <w:r>
        <w:rPr>
          <w:rFonts w:ascii="Times New Roman" w:hAnsi="Times New Roman"/>
        </w:rPr>
        <w:t>0</w:t>
      </w:r>
      <w:r>
        <w:rPr>
          <w:rFonts w:hint="eastAsia" w:ascii="Times New Roman" w:hAnsi="Times New Roman"/>
        </w:rPr>
        <w:t>s持续时间内，从电网中</w:t>
      </w:r>
      <w:r>
        <w:rPr>
          <w:rFonts w:hint="eastAsia" w:ascii="Times New Roman" w:hAnsi="Times New Roman"/>
          <w:kern w:val="0"/>
          <w:szCs w:val="20"/>
        </w:rPr>
        <w:t>取用功率快速增大的动态负荷，取用功率峰值或电流峰值是冲击时间前功率平均值或电流幅度平均值的十倍甚至数十倍，</w:t>
      </w:r>
      <w:r>
        <w:rPr>
          <w:rFonts w:hint="eastAsia" w:ascii="Times New Roman" w:hAnsi="Times New Roman"/>
        </w:rPr>
        <w:t>从电网中</w:t>
      </w:r>
      <w:r>
        <w:rPr>
          <w:rFonts w:hint="eastAsia" w:ascii="Times New Roman" w:hAnsi="Times New Roman"/>
          <w:kern w:val="0"/>
          <w:szCs w:val="20"/>
        </w:rPr>
        <w:t>取用功率快速增大的持续时间称为冲击时间。</w:t>
      </w:r>
    </w:p>
    <w:p>
      <w:pPr>
        <w:pStyle w:val="179"/>
      </w:pPr>
      <w:r>
        <w:rPr>
          <w:rFonts w:hint="eastAsia"/>
        </w:rPr>
        <w:t>冲击负荷是大动态负荷的一种，根据冲击时间，冲击负荷分为暂时冲击负荷、短时冲击负荷和长时冲击负荷三种类型。</w:t>
      </w:r>
    </w:p>
    <w:p>
      <w:pPr>
        <w:pStyle w:val="223"/>
        <w:ind w:left="420" w:hanging="420" w:hangingChars="200"/>
        <w:rPr>
          <w:rFonts w:ascii="黑体" w:hAnsi="黑体" w:eastAsia="黑体"/>
        </w:rPr>
      </w:pPr>
    </w:p>
    <w:p>
      <w:pPr>
        <w:pStyle w:val="56"/>
        <w:ind w:firstLine="420"/>
        <w:rPr>
          <w:rFonts w:ascii="黑体" w:hAnsi="黑体" w:eastAsia="黑体"/>
        </w:rPr>
      </w:pPr>
      <w:r>
        <w:rPr>
          <w:rFonts w:hint="eastAsia" w:ascii="黑体" w:hAnsi="黑体" w:eastAsia="黑体"/>
        </w:rPr>
        <w:t>大动态负荷 large dynamic load</w:t>
      </w:r>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Times New Roman" w:hAnsi="Times New Roman"/>
          <w:kern w:val="0"/>
          <w:szCs w:val="20"/>
        </w:rPr>
        <w:t>动态负荷（3.3）电流幅度的游程波动范围达到幅度平均值50%以上，电流幅度游程（3.1）快速变化时间（游程长度）小于60s的动态负荷，是一种对电能计量造成影响的动态负荷（3.3）形式。</w:t>
      </w:r>
    </w:p>
    <w:p>
      <w:pPr>
        <w:pStyle w:val="223"/>
        <w:ind w:left="420" w:hanging="420" w:hangingChars="200"/>
        <w:rPr>
          <w:rFonts w:ascii="黑体" w:hAnsi="黑体" w:eastAsia="黑体"/>
        </w:rPr>
      </w:pPr>
    </w:p>
    <w:p>
      <w:pPr>
        <w:pStyle w:val="223"/>
        <w:numPr>
          <w:ilvl w:val="0"/>
          <w:numId w:val="0"/>
        </w:numPr>
        <w:ind w:firstLine="420" w:firstLineChars="200"/>
        <w:rPr>
          <w:rFonts w:ascii="黑体" w:hAnsi="黑体" w:eastAsia="黑体"/>
        </w:rPr>
      </w:pPr>
      <w:r>
        <w:rPr>
          <w:rFonts w:hint="eastAsia" w:ascii="黑体" w:hAnsi="黑体" w:eastAsia="黑体"/>
        </w:rPr>
        <w:t>循环周期性动态负荷　</w:t>
      </w:r>
      <w:r>
        <w:rPr>
          <w:rFonts w:ascii="黑体" w:hAnsi="黑体" w:eastAsia="黑体"/>
        </w:rPr>
        <w:t>cyclic dynamic load</w:t>
      </w:r>
    </w:p>
    <w:p>
      <w:pPr>
        <w:widowControl/>
        <w:autoSpaceDE w:val="0"/>
        <w:autoSpaceDN w:val="0"/>
        <w:adjustRightInd/>
        <w:spacing w:before="156" w:after="156" w:line="240" w:lineRule="auto"/>
        <w:ind w:firstLine="420" w:firstLineChars="200"/>
        <w:rPr>
          <w:rFonts w:ascii="Times New Roman" w:hAnsi="Times New Roman"/>
        </w:rPr>
      </w:pPr>
      <w:r>
        <w:rPr>
          <w:rFonts w:hint="eastAsia" w:ascii="Times New Roman" w:hAnsi="Times New Roman"/>
        </w:rPr>
        <w:t>电流幅度和有功</w:t>
      </w:r>
      <w:r>
        <w:rPr>
          <w:rFonts w:ascii="Times New Roman" w:hAnsi="Times New Roman"/>
        </w:rPr>
        <w:t>功率</w:t>
      </w:r>
      <w:r>
        <w:rPr>
          <w:rFonts w:hint="eastAsia" w:ascii="Times New Roman" w:hAnsi="Times New Roman"/>
        </w:rPr>
        <w:t>变化范围达到幅度平均值的15%以上，电流幅度游程（3</w:t>
      </w:r>
      <w:r>
        <w:rPr>
          <w:rFonts w:ascii="Times New Roman" w:hAnsi="Times New Roman"/>
        </w:rPr>
        <w:t>.1</w:t>
      </w:r>
      <w:r>
        <w:rPr>
          <w:rFonts w:hint="eastAsia" w:ascii="Times New Roman" w:hAnsi="Times New Roman"/>
        </w:rPr>
        <w:t>）的快速变化时间（游程长度）小于6</w:t>
      </w:r>
      <w:r>
        <w:rPr>
          <w:rFonts w:ascii="Times New Roman" w:hAnsi="Times New Roman"/>
        </w:rPr>
        <w:t>0</w:t>
      </w:r>
      <w:r>
        <w:rPr>
          <w:rFonts w:hint="eastAsia" w:ascii="Times New Roman" w:hAnsi="Times New Roman"/>
        </w:rPr>
        <w:t>s，电流幅度与</w:t>
      </w:r>
      <w:r>
        <w:rPr>
          <w:rFonts w:hint="eastAsia" w:ascii="宋体" w:hAnsi="Times New Roman"/>
        </w:rPr>
        <w:t>游程长度呈现</w:t>
      </w:r>
      <w:r>
        <w:rPr>
          <w:rFonts w:ascii="Times New Roman" w:hAnsi="Times New Roman"/>
        </w:rPr>
        <w:t>循环周期</w:t>
      </w:r>
      <w:r>
        <w:rPr>
          <w:rFonts w:hint="eastAsia" w:ascii="Times New Roman" w:hAnsi="Times New Roman"/>
        </w:rPr>
        <w:t>弱随机变化的</w:t>
      </w:r>
      <w:r>
        <w:rPr>
          <w:rFonts w:ascii="Times New Roman" w:hAnsi="Times New Roman"/>
        </w:rPr>
        <w:t>动态负荷</w:t>
      </w:r>
      <w:r>
        <w:rPr>
          <w:rFonts w:hint="eastAsia" w:ascii="Times New Roman" w:hAnsi="Times New Roman"/>
        </w:rPr>
        <w:t>（3</w:t>
      </w:r>
      <w:r>
        <w:rPr>
          <w:rFonts w:ascii="Times New Roman" w:hAnsi="Times New Roman"/>
        </w:rPr>
        <w:t>.3</w:t>
      </w:r>
      <w:r>
        <w:rPr>
          <w:rFonts w:hint="eastAsia" w:ascii="Times New Roman" w:hAnsi="Times New Roman"/>
        </w:rPr>
        <w:t>）</w:t>
      </w:r>
      <w:r>
        <w:rPr>
          <w:rFonts w:ascii="Times New Roman" w:hAnsi="Times New Roman"/>
        </w:rPr>
        <w:t>。</w:t>
      </w:r>
    </w:p>
    <w:p>
      <w:pPr>
        <w:pStyle w:val="223"/>
        <w:ind w:left="420" w:hanging="420" w:hangingChars="200"/>
        <w:rPr>
          <w:rFonts w:ascii="黑体" w:hAnsi="黑体" w:eastAsia="黑体"/>
        </w:rPr>
      </w:pPr>
    </w:p>
    <w:p>
      <w:pPr>
        <w:widowControl/>
        <w:adjustRightInd/>
        <w:spacing w:before="120" w:beforeLines="50" w:after="120" w:afterLines="50" w:line="240" w:lineRule="auto"/>
        <w:ind w:left="420"/>
        <w:rPr>
          <w:rFonts w:ascii="黑体" w:hAnsi="黑体" w:eastAsia="黑体"/>
          <w:kern w:val="0"/>
          <w:szCs w:val="20"/>
        </w:rPr>
      </w:pPr>
      <w:bookmarkStart w:id="53" w:name="_Ref129676466"/>
      <w:r>
        <w:rPr>
          <w:rFonts w:hint="eastAsia" w:ascii="黑体" w:hAnsi="黑体" w:eastAsia="黑体"/>
          <w:kern w:val="0"/>
          <w:szCs w:val="20"/>
        </w:rPr>
        <w:t>随机性动态负荷　</w:t>
      </w:r>
      <w:r>
        <w:rPr>
          <w:rFonts w:ascii="黑体" w:hAnsi="黑体" w:eastAsia="黑体"/>
          <w:kern w:val="0"/>
          <w:szCs w:val="20"/>
        </w:rPr>
        <w:t>random dynamic load</w:t>
      </w:r>
      <w:bookmarkEnd w:id="53"/>
    </w:p>
    <w:p>
      <w:pPr>
        <w:widowControl/>
        <w:autoSpaceDE w:val="0"/>
        <w:autoSpaceDN w:val="0"/>
        <w:spacing w:before="156" w:after="156"/>
        <w:ind w:firstLine="420" w:firstLineChars="200"/>
        <w:rPr>
          <w:rFonts w:ascii="Times New Roman" w:hAnsi="Times New Roman"/>
        </w:rPr>
      </w:pPr>
      <w:r>
        <w:rPr>
          <w:rFonts w:ascii="Times New Roman" w:hAnsi="Times New Roman"/>
        </w:rPr>
        <w:t>电流幅度和有功功率的游程变化范围达到幅度平均值的15%以上，电流幅度游程（3.1）的快速变化时间（游程长度）小于60s，电流幅度与游程长度呈现强随机变化特性的动态负荷（3.3）。</w:t>
      </w:r>
    </w:p>
    <w:p>
      <w:pPr>
        <w:pStyle w:val="223"/>
        <w:ind w:left="420" w:hanging="420" w:hangingChars="200"/>
        <w:rPr>
          <w:rFonts w:ascii="黑体" w:hAnsi="黑体" w:eastAsia="黑体"/>
          <w:szCs w:val="21"/>
        </w:rPr>
      </w:pPr>
      <w:r>
        <w:rPr>
          <w:rFonts w:ascii="黑体" w:hAnsi="黑体" w:eastAsia="黑体"/>
        </w:rPr>
        <w:br w:type="textWrapping"/>
      </w:r>
      <w:bookmarkStart w:id="54" w:name="_Ref119414508"/>
      <w:r>
        <w:rPr>
          <w:rFonts w:ascii="黑体" w:hAnsi="黑体" w:eastAsia="黑体"/>
        </w:rPr>
        <w:t>复杂动态负荷</w:t>
      </w:r>
      <w:r>
        <w:rPr>
          <w:rFonts w:hint="eastAsia" w:ascii="黑体" w:hAnsi="黑体" w:eastAsia="黑体"/>
        </w:rPr>
        <w:t>　</w:t>
      </w:r>
      <w:r>
        <w:rPr>
          <w:rFonts w:ascii="黑体" w:hAnsi="黑体" w:eastAsia="黑体"/>
          <w:szCs w:val="21"/>
        </w:rPr>
        <w:t xml:space="preserve">complex </w:t>
      </w:r>
      <w:r>
        <w:rPr>
          <w:rFonts w:ascii="黑体" w:hAnsi="黑体" w:eastAsia="黑体"/>
        </w:rPr>
        <w:t>dynamic</w:t>
      </w:r>
      <w:r>
        <w:rPr>
          <w:rFonts w:ascii="黑体" w:hAnsi="黑体" w:eastAsia="黑体"/>
          <w:szCs w:val="21"/>
        </w:rPr>
        <w:t xml:space="preserve"> load</w:t>
      </w:r>
      <w:bookmarkEnd w:id="54"/>
    </w:p>
    <w:p>
      <w:pPr>
        <w:widowControl/>
        <w:autoSpaceDE w:val="0"/>
        <w:autoSpaceDN w:val="0"/>
        <w:spacing w:before="156" w:after="156"/>
        <w:ind w:firstLine="420" w:firstLineChars="200"/>
        <w:rPr>
          <w:rFonts w:ascii="Times New Roman" w:hAnsi="Times New Roman"/>
        </w:rPr>
      </w:pPr>
      <w:r>
        <w:rPr>
          <w:rFonts w:hint="eastAsia" w:ascii="Times New Roman" w:hAnsi="Times New Roman"/>
        </w:rPr>
        <w:t>负荷电流</w:t>
      </w:r>
      <w:r>
        <w:rPr>
          <w:rFonts w:ascii="Times New Roman" w:hAnsi="Times New Roman"/>
        </w:rPr>
        <w:t>呈现非平稳</w:t>
      </w:r>
      <w:r>
        <w:rPr>
          <w:rFonts w:hint="eastAsia" w:ascii="Times New Roman" w:hAnsi="Times New Roman"/>
        </w:rPr>
        <w:t>、</w:t>
      </w:r>
      <w:r>
        <w:rPr>
          <w:rFonts w:ascii="Times New Roman" w:hAnsi="Times New Roman"/>
        </w:rPr>
        <w:t>强随机</w:t>
      </w:r>
      <w:r>
        <w:rPr>
          <w:rFonts w:hint="eastAsia" w:ascii="Times New Roman" w:hAnsi="Times New Roman"/>
        </w:rPr>
        <w:t>变化特性的大动态负荷（3</w:t>
      </w:r>
      <w:r>
        <w:rPr>
          <w:rFonts w:ascii="Times New Roman" w:hAnsi="Times New Roman"/>
        </w:rPr>
        <w:t>.5</w:t>
      </w:r>
      <w:r>
        <w:rPr>
          <w:rFonts w:hint="eastAsia" w:ascii="Times New Roman" w:hAnsi="Times New Roman"/>
        </w:rPr>
        <w:t>）</w:t>
      </w:r>
      <w:r>
        <w:rPr>
          <w:rFonts w:ascii="Times New Roman" w:hAnsi="Times New Roman"/>
        </w:rPr>
        <w:t>，电流幅度呈现暂时变化模态、短时变化模态</w:t>
      </w:r>
      <w:r>
        <w:rPr>
          <w:rFonts w:hint="eastAsia" w:ascii="Times New Roman" w:hAnsi="Times New Roman"/>
        </w:rPr>
        <w:t>或</w:t>
      </w:r>
      <w:r>
        <w:rPr>
          <w:rFonts w:ascii="Times New Roman" w:hAnsi="Times New Roman"/>
        </w:rPr>
        <w:t>长时波动</w:t>
      </w:r>
      <w:r>
        <w:rPr>
          <w:rFonts w:hint="eastAsia" w:ascii="Times New Roman" w:hAnsi="Times New Roman"/>
        </w:rPr>
        <w:t>多</w:t>
      </w:r>
      <w:r>
        <w:rPr>
          <w:rFonts w:ascii="Times New Roman" w:hAnsi="Times New Roman"/>
        </w:rPr>
        <w:t>种游程模态快</w:t>
      </w:r>
      <w:r>
        <w:rPr>
          <w:rFonts w:hint="eastAsia" w:ascii="Times New Roman" w:hAnsi="Times New Roman"/>
        </w:rPr>
        <w:t>速</w:t>
      </w:r>
      <w:r>
        <w:rPr>
          <w:rFonts w:ascii="Times New Roman" w:hAnsi="Times New Roman"/>
        </w:rPr>
        <w:t>时变特性。</w:t>
      </w:r>
    </w:p>
    <w:p>
      <w:pPr>
        <w:pStyle w:val="223"/>
        <w:spacing w:before="120" w:beforeLines="50" w:after="120" w:afterLines="50"/>
        <w:ind w:left="420" w:hanging="420" w:hangingChars="200"/>
        <w:rPr>
          <w:rFonts w:ascii="黑体" w:hAnsi="黑体" w:eastAsia="黑体"/>
        </w:rPr>
      </w:pPr>
      <w:bookmarkStart w:id="55" w:name="_Ref119415163"/>
      <w:r>
        <w:rPr>
          <w:rFonts w:ascii="黑体" w:hAnsi="黑体" w:eastAsia="黑体"/>
        </w:rPr>
        <w:br w:type="textWrapping"/>
      </w:r>
      <w:r>
        <w:rPr>
          <w:rFonts w:ascii="黑体" w:hAnsi="黑体" w:eastAsia="黑体"/>
        </w:rPr>
        <w:t>动态误差</w:t>
      </w:r>
      <w:r>
        <w:rPr>
          <w:rFonts w:hint="eastAsia" w:ascii="黑体" w:hAnsi="黑体" w:eastAsia="黑体"/>
        </w:rPr>
        <w:t>　</w:t>
      </w:r>
      <w:r>
        <w:rPr>
          <w:rFonts w:ascii="黑体" w:hAnsi="黑体" w:eastAsia="黑体"/>
        </w:rPr>
        <w:t>dynamic error</w:t>
      </w:r>
      <w:bookmarkEnd w:id="55"/>
    </w:p>
    <w:p>
      <w:pPr>
        <w:widowControl/>
        <w:autoSpaceDE w:val="0"/>
        <w:autoSpaceDN w:val="0"/>
        <w:adjustRightInd/>
        <w:spacing w:before="156" w:after="156" w:line="240" w:lineRule="auto"/>
        <w:ind w:firstLine="420" w:firstLineChars="200"/>
        <w:rPr>
          <w:rFonts w:ascii="Times New Roman"/>
        </w:rPr>
      </w:pPr>
      <w:r>
        <w:rPr>
          <w:rFonts w:hint="eastAsia" w:ascii="Times New Roman"/>
        </w:rPr>
        <w:t>电能表在动态负荷条件下的</w:t>
      </w:r>
      <w:r>
        <w:rPr>
          <w:rFonts w:ascii="Times New Roman"/>
        </w:rPr>
        <w:t>电能</w:t>
      </w:r>
      <w:r>
        <w:rPr>
          <w:rFonts w:hint="eastAsia" w:ascii="Times New Roman"/>
        </w:rPr>
        <w:t>测量</w:t>
      </w:r>
      <w:r>
        <w:rPr>
          <w:rFonts w:ascii="Times New Roman"/>
        </w:rPr>
        <w:t>误差。</w:t>
      </w:r>
    </w:p>
    <w:p>
      <w:pPr>
        <w:pStyle w:val="179"/>
      </w:pPr>
      <w:r>
        <w:rPr>
          <w:rFonts w:hint="eastAsia"/>
        </w:rPr>
        <w:t>动态负荷（3.3）条件下，影响电能表误差的特性包括：动态电流幅度域、波形域、时频域和游程域的特性</w:t>
      </w:r>
    </w:p>
    <w:p>
      <w:pPr>
        <w:pStyle w:val="56"/>
        <w:ind w:firstLine="420"/>
        <w:rPr>
          <w:rFonts w:ascii="Times New Roman"/>
        </w:rPr>
      </w:pPr>
      <w:r>
        <w:rPr>
          <w:rFonts w:ascii="Times New Roman"/>
        </w:rPr>
        <w:t>[来源：T/CSEE 0113-2019 定义3.3]</w:t>
      </w:r>
    </w:p>
    <w:p>
      <w:pPr>
        <w:pStyle w:val="223"/>
        <w:ind w:left="420" w:hanging="420" w:hangingChars="200"/>
        <w:rPr>
          <w:rFonts w:ascii="黑体" w:hAnsi="黑体" w:eastAsia="黑体"/>
        </w:rPr>
      </w:pPr>
      <w:bookmarkStart w:id="56" w:name="_Ref133218809"/>
      <w:r>
        <w:rPr>
          <w:rFonts w:ascii="黑体" w:hAnsi="黑体" w:eastAsia="黑体"/>
        </w:rPr>
        <w:br w:type="textWrapping"/>
      </w:r>
      <w:r>
        <w:rPr>
          <w:rFonts w:ascii="黑体" w:hAnsi="黑体" w:eastAsia="黑体"/>
        </w:rPr>
        <w:t>OOK开关键控</w:t>
      </w:r>
      <w:r>
        <w:rPr>
          <w:rFonts w:hint="eastAsia" w:ascii="黑体" w:hAnsi="黑体" w:eastAsia="黑体"/>
        </w:rPr>
        <w:t>调制</w:t>
      </w:r>
      <w:bookmarkStart w:id="57" w:name="_Ref119414598"/>
      <w:r>
        <w:rPr>
          <w:rFonts w:hint="eastAsia" w:ascii="黑体" w:hAnsi="黑体" w:eastAsia="黑体"/>
        </w:rPr>
        <w:t>　O</w:t>
      </w:r>
      <w:r>
        <w:rPr>
          <w:rFonts w:ascii="黑体" w:hAnsi="黑体" w:eastAsia="黑体"/>
        </w:rPr>
        <w:t>n-Off Keying</w:t>
      </w:r>
      <w:bookmarkEnd w:id="57"/>
      <w:r>
        <w:rPr>
          <w:rFonts w:ascii="黑体" w:hAnsi="黑体" w:eastAsia="黑体"/>
        </w:rPr>
        <w:t xml:space="preserve"> </w:t>
      </w:r>
      <w:r>
        <w:rPr>
          <w:rFonts w:hint="eastAsia" w:ascii="黑体" w:hAnsi="黑体" w:eastAsia="黑体"/>
        </w:rPr>
        <w:t>modulation</w:t>
      </w:r>
      <w:bookmarkEnd w:id="56"/>
    </w:p>
    <w:p>
      <w:pPr>
        <w:widowControl/>
        <w:autoSpaceDE w:val="0"/>
        <w:autoSpaceDN w:val="0"/>
        <w:adjustRightInd/>
        <w:spacing w:before="156" w:after="156" w:line="240" w:lineRule="auto"/>
        <w:ind w:firstLine="420" w:firstLineChars="200"/>
        <w:rPr>
          <w:rFonts w:ascii="宋体" w:hAnsi="Times New Roman"/>
          <w:kern w:val="0"/>
          <w:szCs w:val="20"/>
        </w:rPr>
      </w:pPr>
      <w:r>
        <w:rPr>
          <w:rFonts w:hint="eastAsia" w:ascii="宋体" w:hAnsi="Times New Roman"/>
          <w:kern w:val="0"/>
          <w:szCs w:val="20"/>
        </w:rPr>
        <w:t>用二进制游程“1” 控制稳态电流的导通、以二进制游程“0”控制稳态电流的关断，进而实现控制电流测试信号的幅度在设定有效值与零值之间动态变化的调制方法。</w:t>
      </w:r>
    </w:p>
    <w:p>
      <w:pPr>
        <w:pStyle w:val="56"/>
        <w:ind w:firstLine="420"/>
      </w:pPr>
      <w:r>
        <w:rPr>
          <w:rFonts w:hint="eastAsia"/>
        </w:rPr>
        <w:t>[来源：</w:t>
      </w:r>
      <w:r>
        <w:rPr>
          <w:rFonts w:ascii="Times New Roman"/>
          <w:szCs w:val="24"/>
        </w:rPr>
        <w:t>T/CSEE 0113-2019</w:t>
      </w:r>
      <w:r>
        <w:rPr>
          <w:rFonts w:hint="eastAsia" w:ascii="Times New Roman"/>
          <w:szCs w:val="24"/>
        </w:rPr>
        <w:t>，定义</w:t>
      </w:r>
      <w:r>
        <w:rPr>
          <w:rFonts w:ascii="Times New Roman"/>
          <w:szCs w:val="24"/>
        </w:rPr>
        <w:t>3.5</w:t>
      </w:r>
      <w:r>
        <w:rPr>
          <w:rFonts w:hint="eastAsia"/>
        </w:rPr>
        <w:t>]</w:t>
      </w:r>
    </w:p>
    <w:p>
      <w:pPr>
        <w:pStyle w:val="223"/>
        <w:ind w:left="420" w:hanging="420" w:hangingChars="200"/>
        <w:rPr>
          <w:rFonts w:ascii="黑体" w:hAnsi="黑体" w:eastAsia="黑体"/>
          <w:vertAlign w:val="subscript"/>
        </w:rPr>
      </w:pPr>
      <w:bookmarkStart w:id="58" w:name="_Toc13129128"/>
      <w:r>
        <w:rPr>
          <w:rFonts w:ascii="黑体" w:hAnsi="黑体" w:eastAsia="黑体"/>
        </w:rPr>
        <w:br w:type="textWrapping"/>
      </w:r>
      <w:r>
        <w:rPr>
          <w:rFonts w:hint="eastAsia" w:ascii="黑体" w:hAnsi="黑体" w:eastAsia="黑体"/>
        </w:rPr>
        <w:t>通</w:t>
      </w:r>
      <w:r>
        <w:rPr>
          <w:rFonts w:ascii="黑体" w:hAnsi="黑体" w:eastAsia="黑体"/>
        </w:rPr>
        <w:t>电流时间</w:t>
      </w:r>
      <w:r>
        <w:rPr>
          <w:rFonts w:hint="eastAsia" w:ascii="黑体" w:hAnsi="黑体" w:eastAsia="黑体"/>
        </w:rPr>
        <w:t>　</w:t>
      </w:r>
      <w:r>
        <w:rPr>
          <w:rFonts w:ascii="黑体" w:hAnsi="黑体" w:eastAsia="黑体"/>
        </w:rPr>
        <w:t>current on time</w:t>
      </w:r>
      <w:bookmarkEnd w:id="58"/>
    </w:p>
    <w:p>
      <w:pPr>
        <w:widowControl/>
        <w:adjustRightInd/>
        <w:spacing w:before="120" w:beforeLines="50" w:after="120" w:afterLines="50" w:line="240" w:lineRule="auto"/>
        <w:ind w:left="420"/>
        <w:rPr>
          <w:rFonts w:ascii="黑体" w:hAnsi="黑体" w:eastAsia="黑体"/>
          <w:kern w:val="0"/>
        </w:rPr>
      </w:pPr>
      <w:r>
        <w:rPr>
          <w:rFonts w:ascii="黑体" w:hAnsi="黑体" w:eastAsia="黑体"/>
          <w:kern w:val="0"/>
        </w:rPr>
        <w:t>t</w:t>
      </w:r>
      <w:r>
        <w:rPr>
          <w:rFonts w:ascii="黑体" w:hAnsi="黑体" w:eastAsia="黑体"/>
          <w:kern w:val="0"/>
          <w:vertAlign w:val="subscript"/>
        </w:rPr>
        <w:t>on</w:t>
      </w:r>
    </w:p>
    <w:p>
      <w:pPr>
        <w:widowControl/>
        <w:autoSpaceDE w:val="0"/>
        <w:autoSpaceDN w:val="0"/>
        <w:adjustRightInd/>
        <w:spacing w:before="156" w:after="156" w:line="240" w:lineRule="auto"/>
        <w:ind w:firstLine="420" w:firstLineChars="200"/>
        <w:rPr>
          <w:rFonts w:ascii="Times New Roman" w:hAnsi="Times New Roman"/>
          <w:kern w:val="0"/>
          <w:sz w:val="18"/>
          <w:szCs w:val="18"/>
        </w:rPr>
      </w:pPr>
      <w:r>
        <w:rPr>
          <w:rFonts w:hint="eastAsia" w:ascii="宋体" w:hAnsi="Times New Roman"/>
          <w:kern w:val="0"/>
          <w:szCs w:val="20"/>
        </w:rPr>
        <w:t>动态</w:t>
      </w:r>
      <w:r>
        <w:rPr>
          <w:rFonts w:ascii="Times New Roman" w:hAnsi="Times New Roman"/>
          <w:kern w:val="0"/>
          <w:szCs w:val="20"/>
        </w:rPr>
        <w:t>电流</w:t>
      </w:r>
      <w:r>
        <w:rPr>
          <w:rFonts w:hint="eastAsia" w:ascii="宋体" w:hAnsi="Times New Roman"/>
          <w:kern w:val="0"/>
          <w:szCs w:val="20"/>
        </w:rPr>
        <w:t>测试信号</w:t>
      </w:r>
      <w:r>
        <w:rPr>
          <w:rFonts w:ascii="Times New Roman" w:hAnsi="Times New Roman"/>
          <w:kern w:val="0"/>
          <w:szCs w:val="20"/>
        </w:rPr>
        <w:t>处于导通的时间</w:t>
      </w:r>
      <w:r>
        <w:rPr>
          <w:rFonts w:hint="eastAsia" w:ascii="Times New Roman" w:hAnsi="Times New Roman"/>
          <w:kern w:val="0"/>
          <w:szCs w:val="20"/>
        </w:rPr>
        <w:t>，</w:t>
      </w:r>
      <w:r>
        <w:rPr>
          <w:rFonts w:ascii="Times New Roman" w:hAnsi="Times New Roman"/>
          <w:kern w:val="0"/>
        </w:rPr>
        <w:t>用ms或工频周期个数表示。</w:t>
      </w:r>
    </w:p>
    <w:p>
      <w:pPr>
        <w:pStyle w:val="223"/>
        <w:ind w:left="420" w:hanging="420" w:hangingChars="200"/>
        <w:rPr>
          <w:rFonts w:ascii="黑体" w:hAnsi="黑体" w:eastAsia="黑体"/>
          <w:vertAlign w:val="subscript"/>
        </w:rPr>
      </w:pPr>
      <w:r>
        <w:rPr>
          <w:rFonts w:ascii="黑体" w:hAnsi="黑体" w:eastAsia="黑体"/>
        </w:rPr>
        <w:br w:type="textWrapping"/>
      </w:r>
      <w:bookmarkStart w:id="59" w:name="_Toc13129130"/>
      <w:r>
        <w:rPr>
          <w:rFonts w:hint="eastAsia" w:ascii="黑体" w:hAnsi="黑体" w:eastAsia="黑体"/>
        </w:rPr>
        <w:t>断电流</w:t>
      </w:r>
      <w:r>
        <w:rPr>
          <w:rFonts w:ascii="黑体" w:hAnsi="黑体" w:eastAsia="黑体"/>
        </w:rPr>
        <w:t>时间</w:t>
      </w:r>
      <w:r>
        <w:rPr>
          <w:rFonts w:hint="eastAsia" w:ascii="黑体" w:hAnsi="黑体" w:eastAsia="黑体"/>
        </w:rPr>
        <w:t>　</w:t>
      </w:r>
      <w:r>
        <w:rPr>
          <w:rFonts w:ascii="黑体" w:hAnsi="黑体" w:eastAsia="黑体"/>
        </w:rPr>
        <w:t>current off time</w:t>
      </w:r>
      <w:bookmarkEnd w:id="59"/>
    </w:p>
    <w:p>
      <w:pPr>
        <w:widowControl/>
        <w:adjustRightInd/>
        <w:spacing w:before="120" w:beforeLines="50" w:after="120" w:afterLines="50" w:line="240" w:lineRule="auto"/>
        <w:ind w:left="420"/>
        <w:rPr>
          <w:rFonts w:ascii="黑体" w:hAnsi="黑体" w:eastAsia="黑体"/>
          <w:kern w:val="0"/>
        </w:rPr>
      </w:pPr>
      <w:r>
        <w:rPr>
          <w:rFonts w:ascii="黑体" w:hAnsi="黑体" w:eastAsia="黑体"/>
          <w:kern w:val="0"/>
        </w:rPr>
        <w:t>t</w:t>
      </w:r>
      <w:r>
        <w:rPr>
          <w:rFonts w:ascii="黑体" w:hAnsi="黑体" w:eastAsia="黑体"/>
          <w:kern w:val="0"/>
          <w:vertAlign w:val="subscript"/>
        </w:rPr>
        <w:t>off</w:t>
      </w:r>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宋体" w:hAnsi="Times New Roman"/>
          <w:kern w:val="0"/>
          <w:szCs w:val="20"/>
        </w:rPr>
        <w:t>动态</w:t>
      </w:r>
      <w:r>
        <w:rPr>
          <w:rFonts w:ascii="Times New Roman" w:hAnsi="Times New Roman"/>
          <w:kern w:val="0"/>
          <w:szCs w:val="20"/>
        </w:rPr>
        <w:t>电流</w:t>
      </w:r>
      <w:r>
        <w:rPr>
          <w:rFonts w:hint="eastAsia" w:ascii="宋体" w:hAnsi="Times New Roman"/>
          <w:kern w:val="0"/>
          <w:szCs w:val="20"/>
        </w:rPr>
        <w:t>测试信号</w:t>
      </w:r>
      <w:r>
        <w:rPr>
          <w:rFonts w:ascii="Times New Roman" w:hAnsi="Times New Roman"/>
          <w:kern w:val="0"/>
          <w:szCs w:val="20"/>
        </w:rPr>
        <w:t>处于关断的时间</w:t>
      </w:r>
      <w:r>
        <w:rPr>
          <w:rFonts w:hint="eastAsia" w:ascii="Times New Roman" w:hAnsi="Times New Roman"/>
          <w:kern w:val="0"/>
          <w:szCs w:val="20"/>
        </w:rPr>
        <w:t>，</w:t>
      </w:r>
      <w:r>
        <w:rPr>
          <w:rFonts w:ascii="Times New Roman" w:hAnsi="Times New Roman"/>
          <w:kern w:val="0"/>
        </w:rPr>
        <w:t>用ms或工频周期个数表示。</w:t>
      </w:r>
    </w:p>
    <w:p>
      <w:pPr>
        <w:pStyle w:val="223"/>
        <w:ind w:left="420" w:hanging="420" w:hangingChars="200"/>
        <w:rPr>
          <w:rFonts w:ascii="黑体" w:hAnsi="黑体" w:eastAsia="黑体"/>
        </w:rPr>
      </w:pPr>
      <w:bookmarkStart w:id="60" w:name="_Ref129676565"/>
      <w:r>
        <w:rPr>
          <w:rFonts w:ascii="黑体" w:hAnsi="黑体" w:eastAsia="黑体"/>
        </w:rPr>
        <w:br w:type="textWrapping"/>
      </w:r>
      <w:bookmarkEnd w:id="60"/>
      <w:bookmarkStart w:id="61" w:name="_Ref133243628"/>
      <w:r>
        <w:rPr>
          <w:rFonts w:ascii="黑体" w:hAnsi="黑体" w:eastAsia="黑体"/>
        </w:rPr>
        <w:t>正弦</w:t>
      </w:r>
      <w:r>
        <w:rPr>
          <w:rFonts w:hint="eastAsia" w:ascii="黑体" w:hAnsi="黑体" w:eastAsia="黑体"/>
        </w:rPr>
        <w:t>波幅度</w:t>
      </w:r>
      <w:r>
        <w:rPr>
          <w:rFonts w:ascii="黑体" w:hAnsi="黑体" w:eastAsia="黑体"/>
        </w:rPr>
        <w:t>调</w:t>
      </w:r>
      <w:r>
        <w:rPr>
          <w:rFonts w:hint="eastAsia" w:ascii="黑体" w:hAnsi="黑体" w:eastAsia="黑体"/>
        </w:rPr>
        <w:t>制　sine wave modulation</w:t>
      </w:r>
      <w:bookmarkEnd w:id="61"/>
    </w:p>
    <w:p>
      <w:pPr>
        <w:widowControl/>
        <w:autoSpaceDE w:val="0"/>
        <w:autoSpaceDN w:val="0"/>
        <w:adjustRightInd/>
        <w:spacing w:before="156" w:after="156" w:line="240" w:lineRule="auto"/>
        <w:ind w:firstLine="420" w:firstLineChars="200"/>
        <w:rPr>
          <w:rFonts w:ascii="黑体" w:hAnsi="黑体" w:eastAsia="黑体"/>
          <w:kern w:val="0"/>
          <w:szCs w:val="20"/>
        </w:rPr>
      </w:pPr>
      <w:r>
        <w:rPr>
          <w:rFonts w:hint="eastAsia" w:ascii="宋体" w:hAnsi="Times New Roman"/>
          <w:kern w:val="0"/>
          <w:szCs w:val="20"/>
        </w:rPr>
        <w:t>电流幅度按照正弦波规律变化，幅度周期是基波周期整数倍，实现动态电流信号的调制方法。</w:t>
      </w:r>
    </w:p>
    <w:p>
      <w:pPr>
        <w:pStyle w:val="223"/>
        <w:ind w:left="420" w:hanging="420" w:hangingChars="200"/>
        <w:rPr>
          <w:rFonts w:ascii="黑体" w:hAnsi="黑体" w:eastAsia="黑体"/>
        </w:rPr>
      </w:pPr>
      <w:r>
        <w:rPr>
          <w:rFonts w:ascii="黑体" w:hAnsi="黑体" w:eastAsia="黑体"/>
        </w:rPr>
        <w:br w:type="textWrapping"/>
      </w:r>
      <w:bookmarkStart w:id="62" w:name="_Toc13129129"/>
      <w:bookmarkEnd w:id="62"/>
      <w:bookmarkStart w:id="63" w:name="_Ref119414656"/>
      <w:r>
        <w:rPr>
          <w:rFonts w:ascii="黑体" w:hAnsi="黑体" w:eastAsia="黑体"/>
        </w:rPr>
        <w:t>m序列</w:t>
      </w:r>
      <w:r>
        <w:rPr>
          <w:rFonts w:hint="eastAsia" w:ascii="黑体" w:hAnsi="黑体" w:eastAsia="黑体"/>
        </w:rPr>
        <w:t>　</w:t>
      </w:r>
      <w:r>
        <w:rPr>
          <w:rFonts w:ascii="黑体" w:hAnsi="黑体" w:eastAsia="黑体"/>
        </w:rPr>
        <w:t>m-sequence</w:t>
      </w:r>
      <w:bookmarkEnd w:id="63"/>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Times New Roman" w:hAnsi="Times New Roman"/>
          <w:kern w:val="0"/>
          <w:szCs w:val="20"/>
        </w:rPr>
        <w:t>由带线性反馈的移位寄存器产生的周期最长的伪随机序列。</w:t>
      </w:r>
    </w:p>
    <w:p>
      <w:pPr>
        <w:pStyle w:val="179"/>
        <w:rPr>
          <w:rFonts w:ascii="Times New Roman"/>
        </w:rPr>
      </w:pPr>
      <w:r>
        <w:rPr>
          <w:rFonts w:ascii="Times New Roman"/>
        </w:rPr>
        <w:t>m序列具有循环周期性，在一个循环周期tm内具有随机性，可用于调制产生游程具有伪随机变化特性、近似高斯分布的测试信号，反映具有高斯分布的动态负荷（3.3）信号特性。</w:t>
      </w:r>
    </w:p>
    <w:p>
      <w:pPr>
        <w:pStyle w:val="56"/>
        <w:ind w:firstLine="420"/>
        <w:rPr>
          <w:rFonts w:ascii="Times New Roman"/>
        </w:rPr>
      </w:pPr>
      <w:r>
        <w:rPr>
          <w:rFonts w:ascii="Times New Roman"/>
        </w:rPr>
        <w:t>[来源：</w:t>
      </w:r>
      <w:r>
        <w:rPr>
          <w:rFonts w:ascii="Times New Roman"/>
          <w:szCs w:val="24"/>
        </w:rPr>
        <w:t>T/CSEE 0113-2019，定义3.6</w:t>
      </w:r>
      <w:r>
        <w:rPr>
          <w:rFonts w:ascii="Times New Roman"/>
        </w:rPr>
        <w:t>]</w:t>
      </w:r>
    </w:p>
    <w:p>
      <w:pPr>
        <w:pStyle w:val="223"/>
        <w:ind w:left="361" w:hanging="361" w:hangingChars="200"/>
        <w:rPr>
          <w:rFonts w:ascii="黑体" w:hAnsi="黑体" w:eastAsia="黑体"/>
        </w:rPr>
      </w:pPr>
      <w:r>
        <w:rPr>
          <w:rFonts w:ascii="黑体" w:hAnsi="黑体" w:eastAsia="黑体"/>
          <w:b/>
          <w:bCs/>
          <w:sz w:val="18"/>
          <w:szCs w:val="18"/>
        </w:rPr>
        <w:br w:type="textWrapping"/>
      </w:r>
      <w:bookmarkStart w:id="64" w:name="_Ref119414664"/>
      <w:r>
        <w:rPr>
          <w:rFonts w:ascii="黑体" w:hAnsi="黑体" w:eastAsia="黑体"/>
        </w:rPr>
        <w:t>CS伪随机序列</w:t>
      </w:r>
      <w:r>
        <w:rPr>
          <w:rFonts w:hint="eastAsia" w:ascii="黑体" w:hAnsi="黑体" w:eastAsia="黑体"/>
        </w:rPr>
        <w:t>　CS pseudorandom sequence</w:t>
      </w:r>
      <w:bookmarkEnd w:id="64"/>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Times New Roman" w:hAnsi="Times New Roman"/>
          <w:kern w:val="0"/>
          <w:szCs w:val="20"/>
        </w:rPr>
        <w:t>基于压缩感知方法产生，</w:t>
      </w:r>
      <w:r>
        <w:rPr>
          <w:rFonts w:ascii="Times New Roman" w:hAnsi="Times New Roman"/>
          <w:kern w:val="0"/>
        </w:rPr>
        <w:t>在循环周期</w:t>
      </w:r>
      <w:r>
        <w:rPr>
          <w:rFonts w:hint="eastAsia" w:ascii="Times New Roman" w:hAnsi="Times New Roman"/>
          <w:kern w:val="0"/>
        </w:rPr>
        <w:t>t</w:t>
      </w:r>
      <w:r>
        <w:rPr>
          <w:rFonts w:hint="eastAsia" w:ascii="Times New Roman" w:hAnsi="Times New Roman"/>
          <w:kern w:val="0"/>
          <w:vertAlign w:val="subscript"/>
        </w:rPr>
        <w:t>cs</w:t>
      </w:r>
      <w:r>
        <w:rPr>
          <w:rFonts w:ascii="Times New Roman" w:hAnsi="Times New Roman"/>
          <w:kern w:val="0"/>
        </w:rPr>
        <w:t>内</w:t>
      </w:r>
      <w:r>
        <w:rPr>
          <w:rFonts w:hint="eastAsia" w:ascii="Times New Roman" w:hAnsi="Times New Roman"/>
          <w:kern w:val="0"/>
        </w:rPr>
        <w:t>，</w:t>
      </w:r>
      <w:r>
        <w:rPr>
          <w:rFonts w:hint="eastAsia" w:ascii="Times New Roman" w:hAnsi="Times New Roman"/>
          <w:kern w:val="0"/>
          <w:szCs w:val="20"/>
        </w:rPr>
        <w:t>能够反映实际动态负荷（</w:t>
      </w:r>
      <w:r>
        <w:rPr>
          <w:rFonts w:ascii="Times New Roman" w:hAnsi="Times New Roman"/>
          <w:kern w:val="0"/>
          <w:szCs w:val="20"/>
        </w:rPr>
        <w:fldChar w:fldCharType="begin"/>
      </w:r>
      <w:r>
        <w:rPr>
          <w:rFonts w:ascii="Times New Roman" w:hAnsi="Times New Roman"/>
          <w:kern w:val="0"/>
          <w:szCs w:val="20"/>
        </w:rPr>
        <w:instrText xml:space="preserve"> </w:instrText>
      </w:r>
      <w:r>
        <w:rPr>
          <w:rFonts w:hint="eastAsia" w:ascii="Times New Roman" w:hAnsi="Times New Roman"/>
          <w:kern w:val="0"/>
          <w:szCs w:val="20"/>
        </w:rPr>
        <w:instrText xml:space="preserve">REF _Ref119414227 \r \h</w:instrText>
      </w:r>
      <w:r>
        <w:rPr>
          <w:rFonts w:ascii="Times New Roman" w:hAnsi="Times New Roman"/>
          <w:kern w:val="0"/>
          <w:szCs w:val="20"/>
        </w:rPr>
        <w:instrText xml:space="preserve">  \* MERGEFORMAT </w:instrText>
      </w:r>
      <w:r>
        <w:rPr>
          <w:rFonts w:ascii="Times New Roman" w:hAnsi="Times New Roman"/>
          <w:kern w:val="0"/>
          <w:szCs w:val="20"/>
        </w:rPr>
        <w:fldChar w:fldCharType="separate"/>
      </w:r>
      <w:r>
        <w:rPr>
          <w:rFonts w:ascii="Times New Roman" w:hAnsi="Times New Roman"/>
          <w:kern w:val="0"/>
          <w:szCs w:val="20"/>
        </w:rPr>
        <w:t>3.3</w:t>
      </w:r>
      <w:r>
        <w:rPr>
          <w:rFonts w:ascii="Times New Roman" w:hAnsi="Times New Roman"/>
          <w:kern w:val="0"/>
          <w:szCs w:val="20"/>
        </w:rPr>
        <w:fldChar w:fldCharType="end"/>
      </w:r>
      <w:r>
        <w:rPr>
          <w:rFonts w:hint="eastAsia" w:ascii="Times New Roman" w:hAnsi="Times New Roman"/>
          <w:kern w:val="0"/>
          <w:szCs w:val="20"/>
        </w:rPr>
        <w:t>）信号特性的伪随机序列。</w:t>
      </w:r>
    </w:p>
    <w:p>
      <w:pPr>
        <w:pStyle w:val="179"/>
        <w:rPr>
          <w:rFonts w:ascii="Times New Roman"/>
        </w:rPr>
      </w:pPr>
      <w:r>
        <w:rPr>
          <w:rFonts w:ascii="Times New Roman"/>
        </w:rPr>
        <w:t>CS伪随机序列特性包含：循环周期特性、多游程模态特性、对称游程分布特性、信号能量数字化特性和参比测试信号可溯源特性；可实现电能表动态误差（3.9）的高效与高准确度测试。</w:t>
      </w:r>
    </w:p>
    <w:p>
      <w:pPr>
        <w:pStyle w:val="223"/>
        <w:ind w:left="361" w:hanging="361" w:hangingChars="200"/>
        <w:rPr>
          <w:rFonts w:ascii="黑体" w:hAnsi="黑体" w:eastAsia="黑体"/>
        </w:rPr>
      </w:pPr>
      <w:r>
        <w:rPr>
          <w:rFonts w:ascii="黑体" w:hAnsi="黑体" w:eastAsia="黑体"/>
          <w:b/>
          <w:bCs/>
          <w:sz w:val="18"/>
          <w:szCs w:val="18"/>
        </w:rPr>
        <w:br w:type="textWrapping"/>
      </w:r>
      <w:bookmarkStart w:id="65" w:name="_Ref119415060"/>
      <w:r>
        <w:rPr>
          <w:rFonts w:hint="eastAsia" w:ascii="黑体" w:hAnsi="黑体" w:eastAsia="黑体"/>
        </w:rPr>
        <w:t>动态测试电能参比信号　</w:t>
      </w:r>
      <w:r>
        <w:rPr>
          <w:rFonts w:ascii="黑体" w:hAnsi="黑体" w:eastAsia="黑体"/>
        </w:rPr>
        <w:t>dynamic testing electric energy reference signals</w:t>
      </w:r>
      <w:bookmarkEnd w:id="65"/>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hint="eastAsia" w:ascii="Times New Roman" w:hAnsi="Times New Roman"/>
          <w:kern w:val="0"/>
          <w:szCs w:val="20"/>
        </w:rPr>
        <w:t>用于静止式交流电能表动态误差（</w:t>
      </w:r>
      <w:r>
        <w:rPr>
          <w:rFonts w:ascii="Times New Roman" w:hAnsi="Times New Roman"/>
          <w:kern w:val="0"/>
          <w:szCs w:val="20"/>
        </w:rPr>
        <w:t>3.9</w:t>
      </w:r>
      <w:r>
        <w:rPr>
          <w:rFonts w:hint="eastAsia" w:ascii="Times New Roman" w:hAnsi="Times New Roman"/>
          <w:kern w:val="0"/>
          <w:szCs w:val="20"/>
        </w:rPr>
        <w:t>）测试的，方便实现准确电能溯源的电压、电流和功率信号。</w:t>
      </w:r>
    </w:p>
    <w:p>
      <w:pPr>
        <w:pStyle w:val="179"/>
        <w:rPr>
          <w:rFonts w:ascii="Times New Roman"/>
        </w:rPr>
      </w:pPr>
      <w:r>
        <w:rPr>
          <w:rFonts w:ascii="Times New Roman"/>
        </w:rPr>
        <w:t>动态测试电能参比信号是通过对参比条件下的稳态正弦（或畸变）电流信号进行正弦包络调幅（3.13）、OOK（3.10）矩形包络调幅、m序列（3.14）、CS伪随机序列（3.15）调幅等方式产生，并可给出理论电能量值溯源表达式关系。</w:t>
      </w:r>
    </w:p>
    <w:p>
      <w:pPr>
        <w:pStyle w:val="223"/>
        <w:ind w:left="361" w:hanging="361" w:hangingChars="200"/>
        <w:rPr>
          <w:rFonts w:ascii="黑体" w:hAnsi="黑体" w:eastAsia="黑体"/>
        </w:rPr>
      </w:pPr>
      <w:r>
        <w:rPr>
          <w:rFonts w:ascii="黑体" w:hAnsi="黑体" w:eastAsia="黑体"/>
          <w:b/>
          <w:bCs/>
          <w:sz w:val="18"/>
          <w:szCs w:val="18"/>
        </w:rPr>
        <w:br w:type="textWrapping"/>
      </w:r>
      <w:bookmarkStart w:id="66" w:name="_Ref119414769"/>
      <w:r>
        <w:rPr>
          <w:rFonts w:hint="eastAsia" w:ascii="黑体" w:hAnsi="黑体" w:eastAsia="黑体"/>
        </w:rPr>
        <w:t>动态测试电能参比信号循环周期　</w:t>
      </w:r>
      <w:r>
        <w:rPr>
          <w:rFonts w:ascii="黑体" w:hAnsi="黑体" w:eastAsia="黑体"/>
        </w:rPr>
        <w:t>cyclical period of dynamic testing electric energy reference signals</w:t>
      </w:r>
      <w:bookmarkEnd w:id="66"/>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ascii="Times New Roman" w:hAnsi="Times New Roman"/>
          <w:kern w:val="0"/>
          <w:szCs w:val="20"/>
        </w:rPr>
        <w:t>正弦</w:t>
      </w:r>
      <w:r>
        <w:rPr>
          <w:rFonts w:hint="eastAsia" w:ascii="Times New Roman" w:hAnsi="Times New Roman"/>
          <w:kern w:val="0"/>
          <w:szCs w:val="20"/>
        </w:rPr>
        <w:t>包络（</w:t>
      </w:r>
      <w:r>
        <w:rPr>
          <w:rFonts w:ascii="Times New Roman" w:hAnsi="Times New Roman"/>
          <w:kern w:val="0"/>
          <w:szCs w:val="20"/>
        </w:rPr>
        <w:t>3.13</w:t>
      </w:r>
      <w:r>
        <w:rPr>
          <w:rFonts w:hint="eastAsia" w:ascii="Times New Roman" w:hAnsi="Times New Roman"/>
          <w:kern w:val="0"/>
          <w:szCs w:val="20"/>
        </w:rPr>
        <w:t>）</w:t>
      </w:r>
      <w:r>
        <w:rPr>
          <w:rFonts w:ascii="Times New Roman" w:hAnsi="Times New Roman"/>
          <w:kern w:val="0"/>
          <w:szCs w:val="20"/>
        </w:rPr>
        <w:t>、梯形和OOK包络（3.10）动态测试电能参比信号（3.16）的重复周期，和m序列（3.14）、CS伪随机序列（3.15）的重复周期的总称。</w:t>
      </w:r>
    </w:p>
    <w:p>
      <w:pPr>
        <w:pStyle w:val="223"/>
        <w:ind w:left="420" w:hanging="420" w:hangingChars="200"/>
        <w:rPr>
          <w:rFonts w:ascii="黑体" w:hAnsi="黑体" w:eastAsia="黑体"/>
        </w:rPr>
      </w:pPr>
      <w:r>
        <w:rPr>
          <w:rFonts w:ascii="黑体" w:hAnsi="黑体" w:eastAsia="黑体"/>
        </w:rPr>
        <w:br w:type="textWrapping"/>
      </w:r>
      <w:bookmarkStart w:id="67" w:name="_Toc13129127"/>
      <w:bookmarkEnd w:id="67"/>
      <w:bookmarkStart w:id="68" w:name="_Toc13129131"/>
      <w:bookmarkEnd w:id="68"/>
      <w:bookmarkStart w:id="69" w:name="_Toc13129125"/>
      <w:bookmarkEnd w:id="69"/>
      <w:bookmarkStart w:id="70" w:name="_Toc13129133"/>
      <w:bookmarkEnd w:id="70"/>
      <w:bookmarkStart w:id="71" w:name="_Ref119414832"/>
      <w:r>
        <w:rPr>
          <w:rFonts w:hint="eastAsia" w:ascii="黑体" w:hAnsi="黑体" w:eastAsia="黑体"/>
        </w:rPr>
        <w:t>动态鉴别阈值　</w:t>
      </w:r>
      <w:r>
        <w:rPr>
          <w:rFonts w:ascii="黑体" w:hAnsi="黑体" w:eastAsia="黑体"/>
        </w:rPr>
        <w:t>dynamic discrimination threshold</w:t>
      </w:r>
      <w:bookmarkEnd w:id="71"/>
    </w:p>
    <w:p>
      <w:pPr>
        <w:widowControl/>
        <w:autoSpaceDE w:val="0"/>
        <w:autoSpaceDN w:val="0"/>
        <w:adjustRightInd/>
        <w:spacing w:before="156" w:after="156" w:line="240" w:lineRule="auto"/>
        <w:ind w:firstLine="420" w:firstLineChars="200"/>
        <w:rPr>
          <w:rFonts w:ascii="Times New Roman" w:hAnsi="Times New Roman"/>
          <w:kern w:val="0"/>
          <w:szCs w:val="20"/>
        </w:rPr>
      </w:pPr>
      <w:r>
        <w:rPr>
          <w:rFonts w:ascii="Times New Roman" w:hAnsi="Times New Roman"/>
          <w:kern w:val="0"/>
          <w:szCs w:val="20"/>
        </w:rPr>
        <w:t>在给定的OOK（3.10）或方波调制的动态测试电流参比信号循环周期（3.17）中，设定的某一电流导通的工频周期个数与循环周期中的工频周期个数的比值。</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动态起动特性　</w:t>
      </w:r>
      <w:r>
        <w:rPr>
          <w:rFonts w:ascii="黑体" w:hAnsi="黑体" w:eastAsia="黑体"/>
        </w:rPr>
        <w:t>Dynamic startup characteristics</w:t>
      </w:r>
    </w:p>
    <w:p>
      <w:pPr>
        <w:widowControl/>
        <w:autoSpaceDE w:val="0"/>
        <w:autoSpaceDN w:val="0"/>
        <w:adjustRightInd/>
        <w:spacing w:before="156" w:after="156" w:line="240" w:lineRule="auto"/>
        <w:ind w:firstLine="420" w:firstLineChars="200"/>
        <w:rPr>
          <w:rFonts w:ascii="宋体" w:hAnsi="Times New Roman"/>
          <w:kern w:val="0"/>
          <w:szCs w:val="20"/>
        </w:rPr>
      </w:pPr>
      <w:r>
        <w:rPr>
          <w:rFonts w:hint="eastAsia" w:ascii="宋体" w:hAnsi="Times New Roman"/>
          <w:kern w:val="0"/>
          <w:szCs w:val="20"/>
        </w:rPr>
        <w:t>在标称频率、标称电压、</w:t>
      </w:r>
      <w:r>
        <w:rPr>
          <w:rFonts w:ascii="宋体" w:hAnsi="Times New Roman"/>
          <w:kern w:val="0"/>
          <w:szCs w:val="20"/>
        </w:rPr>
        <w:t>cosφ=1</w:t>
      </w:r>
      <w:r>
        <w:rPr>
          <w:rFonts w:hint="eastAsia" w:ascii="宋体" w:hAnsi="Times New Roman"/>
          <w:kern w:val="0"/>
          <w:szCs w:val="20"/>
        </w:rPr>
        <w:t>和</w:t>
      </w:r>
      <w:r>
        <w:rPr>
          <w:rFonts w:ascii="Times New Roman" w:hAnsi="Times New Roman"/>
          <w:kern w:val="0"/>
          <w:szCs w:val="20"/>
        </w:rPr>
        <w:t>T/CSEE 0113-2019</w:t>
      </w:r>
      <w:r>
        <w:rPr>
          <w:rFonts w:hint="eastAsia" w:ascii="宋体" w:hAnsi="Times New Roman"/>
          <w:kern w:val="0"/>
          <w:szCs w:val="20"/>
        </w:rPr>
        <w:t>规定起动电流的条件下，电能表在给定的动态鉴别阈值（</w:t>
      </w:r>
      <w:r>
        <w:rPr>
          <w:rFonts w:ascii="Times New Roman" w:hAnsi="Times New Roman"/>
          <w:kern w:val="0"/>
          <w:szCs w:val="20"/>
        </w:rPr>
        <w:t>3.18</w:t>
      </w:r>
      <w:r>
        <w:rPr>
          <w:rFonts w:hint="eastAsia" w:ascii="宋体" w:hAnsi="Times New Roman"/>
          <w:kern w:val="0"/>
          <w:szCs w:val="20"/>
        </w:rPr>
        <w:t>）与规定时间内起动连续记录电能的能力。</w:t>
      </w:r>
    </w:p>
    <w:p>
      <w:pPr>
        <w:pStyle w:val="104"/>
        <w:spacing w:before="240" w:after="240"/>
      </w:pPr>
      <w:bookmarkStart w:id="72" w:name="_Toc136445049"/>
      <w:r>
        <w:rPr>
          <w:rFonts w:hint="eastAsia"/>
        </w:rPr>
        <w:t>试验条件</w:t>
      </w:r>
      <w:bookmarkEnd w:id="72"/>
    </w:p>
    <w:p>
      <w:pPr>
        <w:pStyle w:val="56"/>
        <w:ind w:firstLine="420"/>
        <w:rPr>
          <w:rFonts w:ascii="Times New Roman"/>
        </w:rPr>
      </w:pPr>
      <w:r>
        <w:rPr>
          <w:rFonts w:hint="eastAsia" w:ascii="Times New Roman"/>
        </w:rPr>
        <w:t>按GB/T 17215.831规定，</w:t>
      </w:r>
      <w:r>
        <w:rPr>
          <w:rFonts w:ascii="Times New Roman"/>
        </w:rPr>
        <w:t>试验应在表1的参比条件下进行。</w:t>
      </w:r>
    </w:p>
    <w:p>
      <w:pPr>
        <w:pStyle w:val="112"/>
        <w:spacing w:before="120" w:after="120"/>
      </w:pPr>
      <w:r>
        <w:rPr>
          <w:rFonts w:hint="eastAsia"/>
        </w:rPr>
        <w:t>试验条件</w:t>
      </w:r>
    </w:p>
    <w:tbl>
      <w:tblPr>
        <w:tblStyle w:val="26"/>
        <w:tblW w:w="49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651"/>
        <w:gridCol w:w="3650"/>
        <w:gridCol w:w="1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tcBorders>
              <w:top w:val="single" w:color="auto" w:sz="8" w:space="0"/>
              <w:bottom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影响量</w:t>
            </w:r>
          </w:p>
        </w:tc>
        <w:tc>
          <w:tcPr>
            <w:tcW w:w="1969" w:type="pct"/>
            <w:tcBorders>
              <w:top w:val="single" w:color="auto" w:sz="8" w:space="0"/>
              <w:bottom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参比值</w:t>
            </w:r>
          </w:p>
        </w:tc>
        <w:tc>
          <w:tcPr>
            <w:tcW w:w="1062" w:type="pct"/>
            <w:tcBorders>
              <w:top w:val="single" w:color="auto" w:sz="8" w:space="0"/>
              <w:bottom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tcBorders>
              <w:top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环境温度</w:t>
            </w:r>
          </w:p>
        </w:tc>
        <w:tc>
          <w:tcPr>
            <w:tcW w:w="1969" w:type="pct"/>
            <w:tcBorders>
              <w:top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温度为23℃</w:t>
            </w:r>
            <w:r>
              <w:rPr>
                <w:rFonts w:ascii="Times New Roman" w:hAnsi="Times New Roman"/>
                <w:color w:val="000000"/>
                <w:kern w:val="0"/>
                <w:sz w:val="18"/>
                <w:szCs w:val="18"/>
                <w:vertAlign w:val="superscript"/>
              </w:rPr>
              <w:t>a</w:t>
            </w:r>
          </w:p>
        </w:tc>
        <w:tc>
          <w:tcPr>
            <w:tcW w:w="1062" w:type="pct"/>
            <w:tcBorders>
              <w:top w:val="single" w:color="auto" w:sz="8"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环境相对湿度</w:t>
            </w:r>
            <w:r>
              <w:rPr>
                <w:rFonts w:ascii="Times New Roman" w:hAnsi="Times New Roman"/>
                <w:color w:val="000000"/>
                <w:kern w:val="0"/>
                <w:sz w:val="18"/>
                <w:szCs w:val="18"/>
                <w:vertAlign w:val="superscript"/>
              </w:rPr>
              <w:t>d</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45%</w:t>
            </w:r>
            <w:r>
              <w:rPr>
                <w:rFonts w:ascii="Times New Roman" w:hAnsi="Times New Roman"/>
                <w:kern w:val="0"/>
                <w:sz w:val="18"/>
                <w:szCs w:val="18"/>
              </w:rPr>
              <w:t>～</w:t>
            </w:r>
            <w:r>
              <w:rPr>
                <w:rFonts w:ascii="Times New Roman" w:hAnsi="Times New Roman"/>
                <w:color w:val="000000"/>
                <w:kern w:val="0"/>
                <w:sz w:val="18"/>
                <w:szCs w:val="18"/>
              </w:rPr>
              <w:t>75%</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大气压</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kern w:val="0"/>
                <w:sz w:val="18"/>
                <w:szCs w:val="18"/>
              </w:rPr>
              <w:t>63</w:t>
            </w:r>
            <w:r>
              <w:rPr>
                <w:rFonts w:ascii="Times New Roman" w:hAnsi="Times New Roman"/>
                <w:color w:val="FF0000"/>
                <w:kern w:val="0"/>
                <w:sz w:val="18"/>
                <w:szCs w:val="18"/>
              </w:rPr>
              <w:t xml:space="preserve"> </w:t>
            </w:r>
            <w:r>
              <w:rPr>
                <w:rFonts w:ascii="Times New Roman" w:hAnsi="Times New Roman"/>
                <w:color w:val="000000"/>
                <w:kern w:val="0"/>
                <w:sz w:val="18"/>
                <w:szCs w:val="18"/>
              </w:rPr>
              <w:t>kPa</w:t>
            </w:r>
            <w:r>
              <w:rPr>
                <w:rFonts w:ascii="Times New Roman" w:hAnsi="Times New Roman"/>
                <w:kern w:val="0"/>
                <w:sz w:val="18"/>
                <w:szCs w:val="18"/>
              </w:rPr>
              <w:t>～</w:t>
            </w:r>
            <w:r>
              <w:rPr>
                <w:rFonts w:ascii="Times New Roman" w:hAnsi="Times New Roman"/>
                <w:color w:val="000000"/>
                <w:kern w:val="0"/>
                <w:sz w:val="18"/>
                <w:szCs w:val="18"/>
              </w:rPr>
              <w:t>106 kPa</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电压</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标称电压</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频率</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标称频率</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相序，仅对多相仪表</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L1-L2-L3</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信号</w:t>
            </w:r>
            <w:r>
              <w:rPr>
                <w:rFonts w:ascii="Times New Roman" w:hAnsi="Times New Roman"/>
                <w:color w:val="000000"/>
                <w:kern w:val="0"/>
                <w:sz w:val="18"/>
                <w:szCs w:val="18"/>
              </w:rPr>
              <w:t>波形</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正弦</w:t>
            </w:r>
            <w:r>
              <w:rPr>
                <w:rFonts w:hint="eastAsia" w:ascii="Times New Roman" w:hAnsi="Times New Roman"/>
                <w:color w:val="000000"/>
                <w:kern w:val="0"/>
                <w:sz w:val="18"/>
                <w:szCs w:val="18"/>
              </w:rPr>
              <w:t>（或畸变）</w:t>
            </w:r>
            <w:r>
              <w:rPr>
                <w:rFonts w:ascii="Times New Roman" w:hAnsi="Times New Roman"/>
                <w:color w:val="000000"/>
                <w:kern w:val="0"/>
                <w:sz w:val="18"/>
                <w:szCs w:val="18"/>
              </w:rPr>
              <w:t>电压和电流</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畸变因数(</w:t>
            </w:r>
            <w:r>
              <w:rPr>
                <w:rFonts w:ascii="Times New Roman" w:hAnsi="Times New Roman"/>
                <w:i/>
                <w:color w:val="000000"/>
                <w:kern w:val="0"/>
                <w:sz w:val="18"/>
                <w:szCs w:val="18"/>
              </w:rPr>
              <w:t xml:space="preserve">d </w:t>
            </w:r>
            <w:r>
              <w:rPr>
                <w:rFonts w:ascii="Times New Roman" w:hAnsi="Times New Roman"/>
                <w:color w:val="000000"/>
                <w:kern w:val="0"/>
                <w:sz w:val="18"/>
                <w:szCs w:val="18"/>
              </w:rPr>
              <w:t>)</w:t>
            </w:r>
            <w:r>
              <w:rPr>
                <w:rFonts w:hint="eastAsia" w:ascii="Times New Roman" w:hAnsi="Times New Roman"/>
                <w:color w:val="000000"/>
                <w:kern w:val="0"/>
                <w:sz w:val="18"/>
                <w:szCs w:val="18"/>
              </w:rPr>
              <w:t>&lt;</w:t>
            </w:r>
            <w:r>
              <w:rPr>
                <w:rFonts w:ascii="Times New Roman" w:hAnsi="Times New Roman"/>
                <w:color w:val="000000"/>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外部恒定磁感应</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标称频率的外部磁感应</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引起误差偏移不大于+0.1%的磁感应值，但在任何情况下宜小于0.05 mT</w:t>
            </w:r>
            <w:r>
              <w:rPr>
                <w:rFonts w:ascii="Times New Roman" w:hAnsi="Times New Roman"/>
                <w:color w:val="000000"/>
                <w:kern w:val="0"/>
                <w:sz w:val="18"/>
                <w:szCs w:val="18"/>
                <w:vertAlign w:val="superscript"/>
              </w:rPr>
              <w:t>f</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射频电磁场，30 kHz</w:t>
            </w:r>
            <w:r>
              <w:rPr>
                <w:rFonts w:ascii="Times New Roman" w:hAnsi="Times New Roman"/>
                <w:kern w:val="0"/>
                <w:sz w:val="18"/>
                <w:szCs w:val="18"/>
              </w:rPr>
              <w:t>～</w:t>
            </w:r>
            <w:r>
              <w:rPr>
                <w:rFonts w:ascii="Times New Roman" w:hAnsi="Times New Roman"/>
                <w:color w:val="000000"/>
                <w:kern w:val="0"/>
                <w:sz w:val="18"/>
                <w:szCs w:val="18"/>
              </w:rPr>
              <w:t>6 GHz</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&lt;1 V/m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辅助装置工作</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辅助装置不工作</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对位置敏感的仪表的工作位置</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按仪表的相关规定安装</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射频场感应的传导干扰，150 kHz</w:t>
            </w:r>
            <w:r>
              <w:rPr>
                <w:rFonts w:ascii="Times New Roman" w:hAnsi="Times New Roman"/>
                <w:kern w:val="0"/>
                <w:sz w:val="18"/>
                <w:szCs w:val="18"/>
              </w:rPr>
              <w:t>～</w:t>
            </w:r>
            <w:r>
              <w:rPr>
                <w:rFonts w:ascii="Times New Roman" w:hAnsi="Times New Roman"/>
                <w:color w:val="000000"/>
                <w:kern w:val="0"/>
                <w:sz w:val="18"/>
                <w:szCs w:val="18"/>
              </w:rPr>
              <w:t>80 MHz</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&lt;1 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 kHz</w:t>
            </w:r>
            <w:r>
              <w:rPr>
                <w:rFonts w:ascii="Times New Roman" w:hAnsi="Times New Roman"/>
                <w:kern w:val="0"/>
                <w:sz w:val="18"/>
                <w:szCs w:val="18"/>
              </w:rPr>
              <w:t>～</w:t>
            </w:r>
            <w:r>
              <w:rPr>
                <w:rFonts w:ascii="Times New Roman" w:hAnsi="Times New Roman"/>
                <w:color w:val="000000"/>
                <w:kern w:val="0"/>
                <w:sz w:val="18"/>
                <w:szCs w:val="18"/>
              </w:rPr>
              <w:t>150 kHz频率范围内的传导差模电流</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&lt;0.1 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直流电压纹波</w:t>
            </w:r>
          </w:p>
        </w:tc>
        <w:tc>
          <w:tcPr>
            <w:tcW w:w="1969"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062"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37" w:hRule="atLeast"/>
          <w:jc w:val="center"/>
        </w:trPr>
        <w:tc>
          <w:tcPr>
            <w:tcW w:w="5000" w:type="pct"/>
            <w:gridSpan w:val="3"/>
            <w:tcBorders>
              <w:top w:val="single" w:color="auto" w:sz="8" w:space="0"/>
              <w:bottom w:val="single" w:color="auto" w:sz="8" w:space="0"/>
            </w:tcBorders>
            <w:shd w:val="clear" w:color="auto" w:fill="auto"/>
            <w:vAlign w:val="center"/>
          </w:tcPr>
          <w:p>
            <w:pPr>
              <w:pStyle w:val="101"/>
            </w:pPr>
            <w:r>
              <w:rPr>
                <w:rFonts w:hint="eastAsia"/>
              </w:rPr>
              <w:t>试验在非参比温度的某一温度（包括允许偏差）下进行时，应通过采用相应的仪表温度系数来校正试验结果。</w:t>
            </w:r>
          </w:p>
          <w:p>
            <w:pPr>
              <w:pStyle w:val="101"/>
            </w:pPr>
            <w:r>
              <w:t>应没有霜、露、冷凝水、雨等存在。</w:t>
            </w:r>
          </w:p>
          <w:p>
            <w:pPr>
              <w:pStyle w:val="101"/>
            </w:pPr>
            <w:r>
              <w:t>试验包括：在</w:t>
            </w:r>
            <w:r>
              <w:rPr>
                <w:i/>
              </w:rPr>
              <w:t>Itr</w:t>
            </w:r>
            <w:r>
              <w:t>、功率因素（或sin</w:t>
            </w:r>
            <w:r>
              <w:rPr>
                <w:i/>
              </w:rPr>
              <w:t>φ</w:t>
            </w:r>
            <w:r>
              <w:t>）为1的条件下进行三次误差测量；每次测量后，在相序不改变时，电流电路和电压电路的连接全部改变120°，测定每一误差之间（连接改变前与连接改变后）的最大差值，它们的平均值就是误差偏移的值。</w:t>
            </w:r>
          </w:p>
        </w:tc>
      </w:tr>
    </w:tbl>
    <w:p>
      <w:pPr>
        <w:pStyle w:val="104"/>
        <w:spacing w:before="240" w:after="240"/>
      </w:pPr>
      <w:bookmarkStart w:id="73" w:name="_Toc136445050"/>
      <w:r>
        <w:rPr>
          <w:rFonts w:hint="eastAsia"/>
        </w:rPr>
        <w:t>动态测试电能参比信号模型</w:t>
      </w:r>
      <w:bookmarkEnd w:id="73"/>
    </w:p>
    <w:p>
      <w:pPr>
        <w:pStyle w:val="105"/>
        <w:spacing w:before="120" w:after="120"/>
      </w:pPr>
      <w:bookmarkStart w:id="74" w:name="_Toc136445051"/>
      <w:r>
        <w:rPr>
          <w:rFonts w:hint="eastAsia"/>
        </w:rPr>
        <w:t>模型的特性</w:t>
      </w:r>
      <w:bookmarkEnd w:id="74"/>
    </w:p>
    <w:p>
      <w:pPr>
        <w:pStyle w:val="56"/>
        <w:ind w:firstLine="420"/>
      </w:pPr>
      <w:r>
        <w:rPr>
          <w:rFonts w:hint="eastAsia"/>
        </w:rPr>
        <w:t>动态测试电能参比信号模型应满足真实性、代表性、实用性、循环遍历性、可溯源性的要求，较全面地反映动态负荷的重要特征，具体要求如下。</w:t>
      </w:r>
    </w:p>
    <w:p>
      <w:pPr>
        <w:pStyle w:val="174"/>
      </w:pPr>
      <w:r>
        <w:rPr>
          <w:rFonts w:hint="eastAsia"/>
        </w:rPr>
        <w:t>信号模型应能反映实际动态负荷的重要特征与敏感波形模态，包括：</w:t>
      </w:r>
    </w:p>
    <w:p>
      <w:pPr>
        <w:pStyle w:val="109"/>
      </w:pPr>
      <w:r>
        <w:rPr>
          <w:rFonts w:hint="eastAsia"/>
        </w:rPr>
        <w:t>动态负荷信号的幅度统计特性、波动速度、幅度游程长度、幅度波形模态等；</w:t>
      </w:r>
    </w:p>
    <w:p>
      <w:pPr>
        <w:pStyle w:val="109"/>
      </w:pPr>
      <w:r>
        <w:rPr>
          <w:rFonts w:hint="eastAsia"/>
        </w:rPr>
        <w:t>信号瞬态波形上升或下降时间、信号瞬态波形上升或下降速率、波峰因数等；</w:t>
      </w:r>
    </w:p>
    <w:p>
      <w:pPr>
        <w:pStyle w:val="109"/>
      </w:pPr>
      <w:r>
        <w:rPr>
          <w:rFonts w:hint="eastAsia"/>
        </w:rPr>
        <w:t>信号基波或谐波（含间谐波）幅度的时频分布、瞬时相位时频分布、瞬时频率波动等。</w:t>
      </w:r>
    </w:p>
    <w:p>
      <w:pPr>
        <w:pStyle w:val="179"/>
      </w:pPr>
      <w:r>
        <w:rPr>
          <w:rFonts w:hint="eastAsia"/>
        </w:rPr>
        <w:t>统计特性包括动态电流幅度信号的随机波动特性、周期循环特性、近似高斯分布特性等。</w:t>
      </w:r>
    </w:p>
    <w:p>
      <w:pPr>
        <w:pStyle w:val="174"/>
      </w:pPr>
      <w:r>
        <w:rPr>
          <w:rFonts w:hint="eastAsia"/>
        </w:rPr>
        <w:t>信号模型应是参数模型，模型特征参量应具有明确物理意义，应能够表征实际动态负荷重要特征与敏感波形模态对电能表误差的影响。</w:t>
      </w:r>
    </w:p>
    <w:p>
      <w:pPr>
        <w:pStyle w:val="174"/>
      </w:pPr>
      <w:r>
        <w:rPr>
          <w:rFonts w:hint="eastAsia"/>
        </w:rPr>
        <w:t>基于动态测试电能参比信号模型应便于通过测试装置产生，保证测试信号的准确性。</w:t>
      </w:r>
    </w:p>
    <w:p>
      <w:pPr>
        <w:pStyle w:val="174"/>
      </w:pPr>
      <w:r>
        <w:rPr>
          <w:rFonts w:hint="eastAsia"/>
        </w:rPr>
        <w:t>动态测试电能参比信号模型应能具有循环周期性与各态遍历性，应满足如下要求：</w:t>
      </w:r>
    </w:p>
    <w:p>
      <w:pPr>
        <w:pStyle w:val="109"/>
      </w:pPr>
      <w:r>
        <w:rPr>
          <w:rFonts w:hint="eastAsia"/>
        </w:rPr>
        <w:t>信号模型应具有循环周期，反映循环周期性动态负荷、随机性动态负荷、及复杂动态负荷的循环周期变化，循环周期应满足电能表动态误差的重复测试和比对需要；</w:t>
      </w:r>
    </w:p>
    <w:p>
      <w:pPr>
        <w:pStyle w:val="109"/>
      </w:pPr>
      <w:r>
        <w:rPr>
          <w:rFonts w:hint="eastAsia"/>
        </w:rPr>
        <w:t>信号模型应能反映确定性的信号，即确定性动态测试电能参比信号，在循环周期中信号模型可表征不同波动速度的确定性测试信号，如OOK动态测试电能参比信号、正弦幅度调制动态测试电能参比信号等，当大于循环周期的时间，确定性动态测试电能参比信号循环周期重复变化；</w:t>
      </w:r>
    </w:p>
    <w:p>
      <w:pPr>
        <w:pStyle w:val="109"/>
      </w:pPr>
      <w:r>
        <w:rPr>
          <w:rFonts w:hint="eastAsia"/>
        </w:rPr>
        <w:t>信号模型应能反映随机性的信号，即伪随机动态测试电能参比信号，在循环周期中应能遍历到动态负荷的敏感幅度波形模态，当大于循环周期的时间，伪随机动态测试电能参比信号按照循环周期重复变化。</w:t>
      </w:r>
    </w:p>
    <w:p>
      <w:pPr>
        <w:pStyle w:val="174"/>
      </w:pPr>
      <w:r>
        <w:rPr>
          <w:rFonts w:hint="eastAsia"/>
        </w:rPr>
        <w:t>动态测试电能参比信号模型，应给出动态条件下电能量值准确溯源方法，利用已建立的电能量值溯源体系实现动态电能量值的溯源。</w:t>
      </w:r>
    </w:p>
    <w:p>
      <w:pPr>
        <w:pStyle w:val="105"/>
        <w:spacing w:before="120" w:after="120"/>
      </w:pPr>
      <w:bookmarkStart w:id="75" w:name="_Toc136445052"/>
      <w:r>
        <w:rPr>
          <w:rFonts w:hint="eastAsia"/>
        </w:rPr>
        <w:t>模型的要素与表达式</w:t>
      </w:r>
      <w:bookmarkEnd w:id="75"/>
    </w:p>
    <w:p>
      <w:pPr>
        <w:pStyle w:val="65"/>
        <w:spacing w:before="120" w:after="120"/>
      </w:pPr>
      <w:bookmarkStart w:id="76" w:name="_Toc136445053"/>
      <w:r>
        <w:rPr>
          <w:rFonts w:hint="eastAsia"/>
        </w:rPr>
        <w:t>动态测试电能参比信号模型的基本构成要求</w:t>
      </w:r>
      <w:bookmarkEnd w:id="76"/>
    </w:p>
    <w:p>
      <w:pPr>
        <w:pStyle w:val="56"/>
        <w:ind w:firstLine="420"/>
      </w:pPr>
      <w:r>
        <w:rPr>
          <w:rFonts w:hint="eastAsia"/>
        </w:rPr>
        <w:t>动态测试电能参比信号模型应包含稳态电压、稳态电流、稳态功率、动态电流和动态功率要素。</w:t>
      </w:r>
    </w:p>
    <w:p>
      <w:pPr>
        <w:pStyle w:val="65"/>
        <w:spacing w:before="120" w:after="120"/>
      </w:pPr>
      <w:bookmarkStart w:id="77" w:name="_Toc136445054"/>
      <w:r>
        <w:rPr>
          <w:rFonts w:hint="eastAsia"/>
        </w:rPr>
        <w:t>稳态电压、稳态电流与稳态功率信号模型</w:t>
      </w:r>
      <w:bookmarkEnd w:id="77"/>
    </w:p>
    <w:p>
      <w:pPr>
        <w:pStyle w:val="56"/>
        <w:ind w:firstLine="420"/>
      </w:pPr>
      <w:r>
        <w:rPr>
          <w:rFonts w:hint="eastAsia"/>
        </w:rPr>
        <w:t>在动态测试电压参比信号模型中，采用稳态电压测试信号，信号宜采用如下两种模型。</w:t>
      </w:r>
    </w:p>
    <w:p>
      <w:pPr>
        <w:pStyle w:val="174"/>
        <w:numPr>
          <w:ilvl w:val="0"/>
          <w:numId w:val="33"/>
        </w:numPr>
      </w:pPr>
      <w:r>
        <w:rPr>
          <w:rFonts w:hint="eastAsia"/>
        </w:rPr>
        <w:t>稳态周期正弦电压信号</w:t>
      </w:r>
      <w:r>
        <w:tab/>
      </w:r>
    </w:p>
    <w:p>
      <w:pPr>
        <w:pStyle w:val="113"/>
      </w:pPr>
      <w:r>
        <w:tab/>
      </w:r>
      <w:r>
        <w:rPr>
          <w:position w:val="-10"/>
        </w:rPr>
        <w:object>
          <v:shape id="_x0000_i1025" o:spt="75" type="#_x0000_t75" style="height:15.45pt;width:9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5"/>
        <w:ind w:firstLine="420"/>
        <w:textAlignment w:val="center"/>
        <w:rPr>
          <w:rFonts w:ascii="Times New Roman" w:hAnsi="Times New Roman"/>
          <w:szCs w:val="20"/>
        </w:rPr>
      </w:pPr>
      <w:r>
        <w:rPr>
          <w:rFonts w:hint="eastAsia"/>
        </w:rPr>
        <w:t>式中，</w:t>
      </w:r>
      <w:r>
        <w:rPr>
          <w:rFonts w:ascii="Times New Roman" w:hAnsi="Times New Roman"/>
          <w:szCs w:val="20"/>
        </w:rPr>
        <w:object>
          <v:shape id="_x0000_i1026" o:spt="75" type="#_x0000_t75" style="height:15.15pt;width:13.9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ascii="Times New Roman" w:hAnsi="Times New Roman"/>
          <w:szCs w:val="20"/>
        </w:rPr>
        <w:t>为</w:t>
      </w:r>
      <w:r>
        <w:rPr>
          <w:rFonts w:ascii="Times New Roman" w:hAnsi="Times New Roman"/>
          <w:szCs w:val="20"/>
        </w:rPr>
        <w:object>
          <v:shape id="_x0000_i1027" o:spt="75" type="#_x0000_t75" style="height:13.3pt;width:9.4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ascii="Times New Roman" w:hAnsi="Times New Roman"/>
          <w:szCs w:val="20"/>
        </w:rPr>
        <w:t>相电路电压信号幅值，</w:t>
      </w:r>
      <w:r>
        <w:rPr>
          <w:rFonts w:ascii="Times New Roman" w:hAnsi="Times New Roman"/>
          <w:szCs w:val="20"/>
        </w:rPr>
        <w:object>
          <v:shape id="_x0000_i1028" o:spt="75" type="#_x0000_t75" style="height:15.15pt;width:12.4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ascii="Times New Roman" w:hAnsi="Times New Roman"/>
          <w:szCs w:val="20"/>
        </w:rPr>
        <w:t>为基波或谐波电压角频率，</w:t>
      </w:r>
      <w:r>
        <w:rPr>
          <w:rFonts w:ascii="Times New Roman" w:hAnsi="Times New Roman"/>
          <w:szCs w:val="20"/>
        </w:rPr>
        <w:object>
          <v:shape id="_x0000_i1029" o:spt="75" type="#_x0000_t75" style="height:15.15pt;width:12.4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ascii="Times New Roman" w:hAnsi="Times New Roman"/>
          <w:szCs w:val="20"/>
        </w:rPr>
        <w:t>为</w:t>
      </w:r>
      <w:r>
        <w:rPr>
          <w:rFonts w:ascii="Times New Roman" w:hAnsi="Times New Roman"/>
          <w:szCs w:val="20"/>
        </w:rPr>
        <w:object>
          <v:shape id="_x0000_i1030" o:spt="75" type="#_x0000_t75" style="height:13.3pt;width:9.4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ascii="Times New Roman" w:hAnsi="Times New Roman"/>
          <w:szCs w:val="20"/>
        </w:rPr>
        <w:t>相电路电压信号的初始相位值</w:t>
      </w:r>
      <w:r>
        <w:rPr>
          <w:rFonts w:hint="eastAsia" w:ascii="Times New Roman" w:hAnsi="Times New Roman"/>
          <w:szCs w:val="20"/>
        </w:rPr>
        <w:t>。</w:t>
      </w:r>
    </w:p>
    <w:p>
      <w:pPr>
        <w:pStyle w:val="174"/>
      </w:pPr>
      <w:r>
        <w:rPr>
          <w:rFonts w:hint="eastAsia"/>
        </w:rPr>
        <w:t>稳态周期畸变电压信号</w:t>
      </w:r>
    </w:p>
    <w:p>
      <w:pPr>
        <w:pStyle w:val="113"/>
      </w:pPr>
      <w:r>
        <w:tab/>
      </w:r>
      <w:r>
        <w:rPr>
          <w:rFonts w:ascii="Times New Roman" w:hAnsi="Times New Roman"/>
          <w:position w:val="-24"/>
          <w:szCs w:val="24"/>
        </w:rPr>
        <w:object>
          <v:shape id="_x0000_i1031" o:spt="75" type="#_x0000_t75" style="height:31.15pt;width:130.7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5"/>
        <w:ind w:firstLine="420"/>
        <w:textAlignment w:val="center"/>
        <w:rPr>
          <w:rFonts w:ascii="Times New Roman" w:hAnsi="Times New Roman"/>
          <w:szCs w:val="20"/>
        </w:rPr>
      </w:pPr>
      <w:r>
        <w:rPr>
          <w:rFonts w:hint="eastAsia"/>
        </w:rPr>
        <w:t>式中，</w:t>
      </w:r>
      <w:r>
        <w:rPr>
          <w:rFonts w:ascii="Times New Roman" w:hAnsi="Times New Roman"/>
          <w:szCs w:val="20"/>
        </w:rPr>
        <w:object>
          <v:shape id="_x0000_i1032" o:spt="75" type="#_x0000_t75" style="height:15.15pt;width:13.9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ascii="Times New Roman" w:hAnsi="Times New Roman"/>
          <w:szCs w:val="20"/>
        </w:rPr>
        <w:t>为</w:t>
      </w:r>
      <w:r>
        <w:rPr>
          <w:rFonts w:ascii="Times New Roman" w:hAnsi="Times New Roman"/>
          <w:szCs w:val="20"/>
        </w:rPr>
        <w:object>
          <v:shape id="_x0000_i1033" o:spt="75" type="#_x0000_t75" style="height:13.3pt;width:9.4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ascii="Times New Roman" w:hAnsi="Times New Roman"/>
          <w:szCs w:val="20"/>
        </w:rPr>
        <w:t>相电压的基波幅值，</w:t>
      </w:r>
      <w:bookmarkStart w:id="78" w:name="_Hlk28174225"/>
      <w:r>
        <w:rPr>
          <w:rFonts w:ascii="Times New Roman" w:hAnsi="Times New Roman"/>
          <w:szCs w:val="20"/>
        </w:rPr>
        <w:object>
          <v:shape id="_x0000_i1034" o:spt="75" type="#_x0000_t75" style="height:15.15pt;width:12.4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35">
            <o:LockedField>false</o:LockedField>
          </o:OLEObject>
        </w:object>
      </w:r>
      <w:r>
        <w:rPr>
          <w:rFonts w:ascii="Times New Roman" w:hAnsi="Times New Roman"/>
          <w:szCs w:val="20"/>
        </w:rPr>
        <w:t>为基波或谐波电压角频率，</w:t>
      </w:r>
      <w:r>
        <w:rPr>
          <w:rFonts w:ascii="Times New Roman" w:hAnsi="Times New Roman"/>
          <w:szCs w:val="20"/>
        </w:rPr>
        <w:object>
          <v:shape id="_x0000_i1035" o:spt="75" type="#_x0000_t75" style="height:15.15pt;width:29.95pt;" o:ole="t" filled="f" o:preferrelative="t" stroked="f" coordsize="21600,21600">
            <v:path/>
            <v:fill on="f" focussize="0,0"/>
            <v:stroke on="f" joinstyle="miter"/>
            <v:imagedata r:id="rId37" o:title=""/>
            <o:lock v:ext="edit" aspectratio="t"/>
            <w10:wrap type="none"/>
            <w10:anchorlock/>
          </v:shape>
          <o:OLEObject Type="Embed" ProgID="Equation.DSMT4" ShapeID="_x0000_i1035" DrawAspect="Content" ObjectID="_1468075735" r:id="rId36">
            <o:LockedField>false</o:LockedField>
          </o:OLEObject>
        </w:object>
      </w:r>
      <w:r>
        <w:rPr>
          <w:rFonts w:ascii="Times New Roman" w:hAnsi="Times New Roman"/>
          <w:szCs w:val="20"/>
        </w:rPr>
        <w:t>，</w:t>
      </w:r>
      <w:bookmarkStart w:id="79" w:name="_Hlk28869888"/>
      <w:r>
        <w:rPr>
          <w:rFonts w:ascii="Times New Roman" w:hAnsi="Times New Roman"/>
          <w:szCs w:val="20"/>
        </w:rPr>
        <w:object>
          <v:shape id="_x0000_i1036" o:spt="75" type="#_x0000_t75" style="height:13.3pt;width:7.25pt;" o:ole="t" filled="f" o:preferrelative="t" stroked="f" coordsize="21600,21600">
            <v:path/>
            <v:fill on="f" focussize="0,0"/>
            <v:stroke on="f" joinstyle="miter"/>
            <v:imagedata r:id="rId39" o:title=""/>
            <o:lock v:ext="edit" aspectratio="t"/>
            <w10:wrap type="none"/>
            <w10:anchorlock/>
          </v:shape>
          <o:OLEObject Type="Embed" ProgID="Equation.DSMT4" ShapeID="_x0000_i1036" DrawAspect="Content" ObjectID="_1468075736" r:id="rId38">
            <o:LockedField>false</o:LockedField>
          </o:OLEObject>
        </w:object>
      </w:r>
      <w:r>
        <w:rPr>
          <w:rFonts w:ascii="Times New Roman" w:hAnsi="Times New Roman"/>
          <w:szCs w:val="20"/>
        </w:rPr>
        <w:t>与</w:t>
      </w:r>
      <w:r>
        <w:rPr>
          <w:rFonts w:ascii="Times New Roman" w:hAnsi="Times New Roman"/>
          <w:szCs w:val="20"/>
        </w:rPr>
        <w:object>
          <v:shape id="_x0000_i1037" o:spt="75" type="#_x0000_t75" style="height:15.45pt;width:13.3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7" r:id="rId40">
            <o:LockedField>false</o:LockedField>
          </o:OLEObject>
        </w:object>
      </w:r>
      <w:r>
        <w:rPr>
          <w:rFonts w:ascii="Times New Roman" w:hAnsi="Times New Roman"/>
          <w:szCs w:val="20"/>
        </w:rPr>
        <w:t>均</w:t>
      </w:r>
      <w:bookmarkEnd w:id="79"/>
      <w:r>
        <w:rPr>
          <w:rFonts w:ascii="Times New Roman" w:hAnsi="Times New Roman"/>
          <w:szCs w:val="20"/>
        </w:rPr>
        <w:t>为整数，</w:t>
      </w:r>
      <w:r>
        <w:rPr>
          <w:rFonts w:ascii="Times New Roman" w:hAnsi="Times New Roman"/>
          <w:szCs w:val="20"/>
        </w:rPr>
        <w:object>
          <v:shape id="_x0000_i1038" o:spt="75" type="#_x0000_t75" style="height:19.05pt;width:72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38" r:id="rId42">
            <o:LockedField>false</o:LockedField>
          </o:OLEObject>
        </w:object>
      </w:r>
      <w:r>
        <w:rPr>
          <w:rFonts w:ascii="Times New Roman" w:hAnsi="Times New Roman"/>
          <w:szCs w:val="20"/>
        </w:rPr>
        <w:t>表示频率为</w:t>
      </w:r>
      <w:r>
        <w:rPr>
          <w:rFonts w:ascii="Times New Roman" w:hAnsi="Times New Roman"/>
          <w:szCs w:val="20"/>
        </w:rPr>
        <w:object>
          <v:shape id="_x0000_i1039" o:spt="75" type="#_x0000_t75" style="height:15.15pt;width:12.4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9" r:id="rId44">
            <o:LockedField>false</o:LockedField>
          </o:OLEObject>
        </w:object>
      </w:r>
      <w:r>
        <w:rPr>
          <w:rFonts w:ascii="Times New Roman" w:hAnsi="Times New Roman"/>
          <w:szCs w:val="20"/>
        </w:rPr>
        <w:t>的谐波电压相对基波的幅值，</w:t>
      </w:r>
      <w:r>
        <w:rPr>
          <w:rFonts w:ascii="Times New Roman" w:hAnsi="Times New Roman"/>
          <w:szCs w:val="20"/>
        </w:rPr>
        <w:object>
          <v:shape id="_x0000_i1040" o:spt="75" type="#_x0000_t75" style="height:15.15pt;width:15.15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40" r:id="rId46">
            <o:LockedField>false</o:LockedField>
          </o:OLEObject>
        </w:object>
      </w:r>
      <w:r>
        <w:rPr>
          <w:rFonts w:ascii="Times New Roman" w:hAnsi="Times New Roman"/>
          <w:szCs w:val="20"/>
        </w:rPr>
        <w:t>为实数，</w:t>
      </w:r>
      <w:r>
        <w:rPr>
          <w:rFonts w:ascii="Times New Roman" w:hAnsi="Times New Roman"/>
          <w:szCs w:val="20"/>
        </w:rPr>
        <w:object>
          <v:shape id="_x0000_i1041" o:spt="75" type="#_x0000_t75" style="height:15.15pt;width:13.3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1" r:id="rId48">
            <o:LockedField>false</o:LockedField>
          </o:OLEObject>
        </w:object>
      </w:r>
      <w:r>
        <w:rPr>
          <w:rFonts w:ascii="Times New Roman" w:hAnsi="Times New Roman"/>
          <w:szCs w:val="20"/>
        </w:rPr>
        <w:t>为谐波电压的初始相位</w:t>
      </w:r>
      <w:bookmarkEnd w:id="78"/>
      <w:r>
        <w:rPr>
          <w:rFonts w:hint="eastAsia" w:ascii="Times New Roman" w:hAnsi="Times New Roman"/>
          <w:szCs w:val="20"/>
        </w:rPr>
        <w:t>。</w:t>
      </w:r>
    </w:p>
    <w:p>
      <w:pPr>
        <w:overflowPunct w:val="0"/>
        <w:adjustRightInd/>
        <w:spacing w:line="240" w:lineRule="auto"/>
        <w:ind w:firstLine="420"/>
        <w:jc w:val="left"/>
        <w:rPr>
          <w:rFonts w:ascii="Times New Roman" w:hAnsi="Times New Roman"/>
        </w:rPr>
      </w:pPr>
      <w:bookmarkStart w:id="80" w:name="_Hlk117674049"/>
      <w:r>
        <w:rPr>
          <w:rFonts w:ascii="Times New Roman" w:hAnsi="Times New Roman"/>
          <w:szCs w:val="20"/>
        </w:rPr>
        <w:t>在</w:t>
      </w:r>
      <w:r>
        <w:rPr>
          <w:rFonts w:ascii="Times New Roman" w:hAnsi="Times New Roman"/>
          <w:szCs w:val="24"/>
        </w:rPr>
        <w:t>动态测试电流参比信号模型</w:t>
      </w:r>
      <w:r>
        <w:rPr>
          <w:rFonts w:ascii="Times New Roman" w:hAnsi="Times New Roman"/>
          <w:szCs w:val="20"/>
        </w:rPr>
        <w:t>中，通过对稳态电流信号幅度调制产生动态测试电流参比信号，稳态电流信号宜采用如下两种模型</w:t>
      </w:r>
      <w:r>
        <w:rPr>
          <w:rFonts w:hint="eastAsia" w:ascii="Times New Roman" w:hAnsi="Times New Roman"/>
          <w:szCs w:val="20"/>
        </w:rPr>
        <w:t>。</w:t>
      </w:r>
      <w:r>
        <w:rPr>
          <w:rFonts w:ascii="Times New Roman" w:hAnsi="Times New Roman"/>
          <w:szCs w:val="20"/>
        </w:rPr>
        <w:t xml:space="preserve">  </w:t>
      </w:r>
    </w:p>
    <w:bookmarkEnd w:id="80"/>
    <w:p>
      <w:pPr>
        <w:pStyle w:val="174"/>
      </w:pPr>
      <w:r>
        <w:rPr>
          <w:rFonts w:hint="eastAsia"/>
        </w:rPr>
        <w:t>稳态周期正弦电流信号模型</w:t>
      </w:r>
    </w:p>
    <w:p>
      <w:pPr>
        <w:pStyle w:val="113"/>
      </w:pPr>
      <w:r>
        <w:tab/>
      </w:r>
      <w:r>
        <w:rPr>
          <w:rFonts w:ascii="Times New Roman" w:hAnsi="Times New Roman"/>
          <w:position w:val="-10"/>
          <w:szCs w:val="24"/>
        </w:rPr>
        <w:object>
          <v:shape id="_x0000_i1042" o:spt="75" type="#_x0000_t75" style="height:15.45pt;width:91.05pt;" o:ole="t" filled="f" o:preferrelative="t" stroked="f" coordsize="21600,21600">
            <v:path/>
            <v:fill on="f" focussize="0,0"/>
            <v:stroke on="f" joinstyle="miter"/>
            <v:imagedata r:id="rId51" o:title=""/>
            <o:lock v:ext="edit" aspectratio="t"/>
            <w10:wrap type="none"/>
            <w10:anchorlock/>
          </v:shape>
          <o:OLEObject Type="Embed" ProgID="Equation.DSMT4" ShapeID="_x0000_i1042" DrawAspect="Content" ObjectID="_1468075742" r:id="rId50">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5"/>
        <w:ind w:firstLine="420"/>
        <w:textAlignment w:val="center"/>
      </w:pPr>
      <w:r>
        <w:rPr>
          <w:rFonts w:hint="eastAsia"/>
        </w:rPr>
        <w:t>式中</w:t>
      </w:r>
      <w:bookmarkStart w:id="81" w:name="_Hlk28162301"/>
      <w:r>
        <w:rPr>
          <w:rFonts w:hint="eastAsia"/>
        </w:rPr>
        <w:t>，</w:t>
      </w:r>
      <w:r>
        <w:rPr>
          <w:rFonts w:ascii="Times New Roman" w:hAnsi="Times New Roman"/>
          <w:szCs w:val="20"/>
        </w:rPr>
        <w:object>
          <v:shape id="_x0000_i1043" o:spt="75" type="#_x0000_t75" style="height:15.15pt;width:10.6pt;" o:ole="t" filled="f" o:preferrelative="t" stroked="f" coordsize="21600,21600">
            <v:path/>
            <v:fill on="f" focussize="0,0"/>
            <v:stroke on="f" joinstyle="miter"/>
            <v:imagedata r:id="rId53" o:title=""/>
            <o:lock v:ext="edit" aspectratio="t"/>
            <w10:wrap type="none"/>
            <w10:anchorlock/>
          </v:shape>
          <o:OLEObject Type="Embed" ProgID="Equation.DSMT4" ShapeID="_x0000_i1043" DrawAspect="Content" ObjectID="_1468075743" r:id="rId52">
            <o:LockedField>false</o:LockedField>
          </o:OLEObject>
        </w:object>
      </w:r>
      <w:r>
        <w:rPr>
          <w:rFonts w:ascii="Times New Roman" w:hAnsi="Times New Roman"/>
          <w:szCs w:val="20"/>
        </w:rPr>
        <w:t>为</w:t>
      </w:r>
      <w:r>
        <w:rPr>
          <w:rFonts w:ascii="Times New Roman" w:hAnsi="Times New Roman"/>
          <w:szCs w:val="20"/>
        </w:rPr>
        <w:object>
          <v:shape id="_x0000_i1044" o:spt="75" type="#_x0000_t75" style="height:13.3pt;width:9.4pt;" o:ole="t" filled="f" o:preferrelative="t" stroked="f" coordsize="21600,21600">
            <v:path/>
            <v:fill on="f" focussize="0,0"/>
            <v:stroke on="f" joinstyle="miter"/>
            <v:imagedata r:id="rId55" o:title=""/>
            <o:lock v:ext="edit" aspectratio="t"/>
            <w10:wrap type="none"/>
            <w10:anchorlock/>
          </v:shape>
          <o:OLEObject Type="Embed" ProgID="Equation.DSMT4" ShapeID="_x0000_i1044" DrawAspect="Content" ObjectID="_1468075744" r:id="rId54">
            <o:LockedField>false</o:LockedField>
          </o:OLEObject>
        </w:object>
      </w:r>
      <w:r>
        <w:rPr>
          <w:rFonts w:ascii="Times New Roman" w:hAnsi="Times New Roman"/>
          <w:szCs w:val="20"/>
        </w:rPr>
        <w:t>相电流的幅值，</w:t>
      </w:r>
      <w:r>
        <w:rPr>
          <w:rFonts w:ascii="Times New Roman" w:hAnsi="Times New Roman"/>
          <w:szCs w:val="20"/>
        </w:rPr>
        <w:object>
          <v:shape id="_x0000_i1045" o:spt="75" type="#_x0000_t75" style="height:13.9pt;width:40.55pt;" o:ole="t" filled="f" o:preferrelative="t" stroked="f" coordsize="21600,21600">
            <v:path/>
            <v:fill on="f" focussize="0,0"/>
            <v:stroke on="f" joinstyle="miter"/>
            <v:imagedata r:id="rId57" o:title=""/>
            <o:lock v:ext="edit" aspectratio="t"/>
            <w10:wrap type="none"/>
            <w10:anchorlock/>
          </v:shape>
          <o:OLEObject Type="Embed" ProgID="Equation.DSMT4" ShapeID="_x0000_i1045" DrawAspect="Content" ObjectID="_1468075745" r:id="rId56">
            <o:LockedField>false</o:LockedField>
          </o:OLEObject>
        </w:object>
      </w:r>
      <w:r>
        <w:rPr>
          <w:rFonts w:ascii="Times New Roman" w:hAnsi="Times New Roman"/>
          <w:szCs w:val="20"/>
        </w:rPr>
        <w:t xml:space="preserve">分别表示A、B、C三相， </w:t>
      </w:r>
      <w:r>
        <w:rPr>
          <w:rFonts w:ascii="Times New Roman" w:hAnsi="Times New Roman"/>
          <w:szCs w:val="20"/>
        </w:rPr>
        <w:object>
          <v:shape id="_x0000_i1046" o:spt="75" type="#_x0000_t75" style="height:15.15pt;width:42.05pt;" o:ole="t" filled="f" o:preferrelative="t" stroked="f" coordsize="21600,21600">
            <v:path/>
            <v:fill on="f" focussize="0,0"/>
            <v:stroke on="f" joinstyle="miter"/>
            <v:imagedata r:id="rId59" o:title=""/>
            <o:lock v:ext="edit" aspectratio="t"/>
            <w10:wrap type="none"/>
            <w10:anchorlock/>
          </v:shape>
          <o:OLEObject Type="Embed" ProgID="Equation.DSMT4" ShapeID="_x0000_i1046" DrawAspect="Content" ObjectID="_1468075746" r:id="rId58">
            <o:LockedField>false</o:LockedField>
          </o:OLEObject>
        </w:object>
      </w:r>
      <w:r>
        <w:rPr>
          <w:rFonts w:ascii="Times New Roman" w:hAnsi="Times New Roman"/>
          <w:szCs w:val="20"/>
        </w:rPr>
        <w:t>为角频率，</w:t>
      </w:r>
      <w:r>
        <w:rPr>
          <w:rFonts w:ascii="Times New Roman" w:hAnsi="Times New Roman"/>
          <w:szCs w:val="20"/>
        </w:rPr>
        <w:object>
          <v:shape id="_x0000_i1047" o:spt="75" type="#_x0000_t75" style="height:15.15pt;width:10.6pt;" o:ole="t" filled="f" o:preferrelative="t" stroked="f" coordsize="21600,21600">
            <v:path/>
            <v:fill on="f" focussize="0,0"/>
            <v:stroke on="f" joinstyle="miter"/>
            <v:imagedata r:id="rId61" o:title=""/>
            <o:lock v:ext="edit" aspectratio="t"/>
            <w10:wrap type="none"/>
            <w10:anchorlock/>
          </v:shape>
          <o:OLEObject Type="Embed" ProgID="Equation.DSMT4" ShapeID="_x0000_i1047" DrawAspect="Content" ObjectID="_1468075747" r:id="rId60">
            <o:LockedField>false</o:LockedField>
          </o:OLEObject>
        </w:object>
      </w:r>
      <w:r>
        <w:rPr>
          <w:rFonts w:ascii="Times New Roman" w:hAnsi="Times New Roman"/>
          <w:szCs w:val="20"/>
        </w:rPr>
        <w:t>为电流信号的频率，</w:t>
      </w:r>
      <w:r>
        <w:rPr>
          <w:rFonts w:ascii="Times New Roman" w:hAnsi="Times New Roman"/>
          <w:szCs w:val="20"/>
        </w:rPr>
        <w:object>
          <v:shape id="_x0000_i1048" o:spt="75" type="#_x0000_t75" style="height:15.15pt;width:13.3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48" r:id="rId62">
            <o:LockedField>false</o:LockedField>
          </o:OLEObject>
        </w:object>
      </w:r>
      <w:r>
        <w:rPr>
          <w:rFonts w:ascii="Times New Roman" w:hAnsi="Times New Roman"/>
          <w:szCs w:val="20"/>
        </w:rPr>
        <w:t>为</w:t>
      </w:r>
      <w:r>
        <w:rPr>
          <w:rFonts w:ascii="Times New Roman" w:hAnsi="Times New Roman"/>
          <w:szCs w:val="20"/>
        </w:rPr>
        <w:object>
          <v:shape id="_x0000_i1049" o:spt="75" type="#_x0000_t75" style="height:13.3pt;width:9.4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49" r:id="rId64">
            <o:LockedField>false</o:LockedField>
          </o:OLEObject>
        </w:object>
      </w:r>
      <w:r>
        <w:rPr>
          <w:rFonts w:ascii="Times New Roman" w:hAnsi="Times New Roman"/>
          <w:szCs w:val="20"/>
        </w:rPr>
        <w:t>相电流信号的初始相位值，</w:t>
      </w:r>
      <w:r>
        <w:rPr>
          <w:rFonts w:ascii="Times New Roman" w:hAnsi="Times New Roman"/>
          <w:szCs w:val="20"/>
        </w:rPr>
        <w:object>
          <v:shape id="_x0000_i1050" o:spt="75" type="#_x0000_t75" style="height:15.15pt;width:36.9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r>
        <w:rPr>
          <w:rFonts w:ascii="Times New Roman" w:hAnsi="Times New Roman"/>
          <w:szCs w:val="20"/>
        </w:rPr>
        <w:t>为稳态电流信号的周期</w:t>
      </w:r>
      <w:bookmarkEnd w:id="81"/>
      <w:r>
        <w:rPr>
          <w:rFonts w:ascii="Times New Roman" w:hAnsi="Times New Roman"/>
          <w:szCs w:val="20"/>
        </w:rPr>
        <w:t>。</w:t>
      </w:r>
    </w:p>
    <w:p>
      <w:pPr>
        <w:pStyle w:val="174"/>
      </w:pPr>
      <w:r>
        <w:rPr>
          <w:rFonts w:hint="eastAsia"/>
        </w:rPr>
        <w:t>稳态周期畸变电流信号模型</w:t>
      </w:r>
    </w:p>
    <w:p>
      <w:pPr>
        <w:pStyle w:val="113"/>
      </w:pPr>
      <w:r>
        <w:tab/>
      </w:r>
      <w:r>
        <w:rPr>
          <w:rFonts w:ascii="Times New Roman" w:hAnsi="Times New Roman"/>
          <w:position w:val="-30"/>
          <w:szCs w:val="24"/>
        </w:rPr>
        <w:object>
          <v:shape id="_x0000_i1051" o:spt="75" type="#_x0000_t75" style="height:35.1pt;width:132.2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5"/>
        <w:ind w:firstLine="420"/>
        <w:textAlignment w:val="center"/>
        <w:rPr>
          <w:rFonts w:ascii="Times New Roman" w:hAnsi="Times New Roman"/>
          <w:szCs w:val="20"/>
        </w:rPr>
      </w:pPr>
      <w:r>
        <w:rPr>
          <w:rFonts w:hint="eastAsia"/>
        </w:rPr>
        <w:t>式中，</w:t>
      </w:r>
      <w:r>
        <w:rPr>
          <w:rFonts w:ascii="Times New Roman" w:hAnsi="Times New Roman"/>
          <w:szCs w:val="20"/>
        </w:rPr>
        <w:object>
          <v:shape id="_x0000_i1052" o:spt="75" type="#_x0000_t75" style="height:15.15pt;width:10.6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rPr>
          <w:rFonts w:ascii="Times New Roman" w:hAnsi="Times New Roman"/>
          <w:szCs w:val="20"/>
        </w:rPr>
        <w:t>为</w:t>
      </w:r>
      <w:r>
        <w:rPr>
          <w:rFonts w:ascii="Times New Roman" w:hAnsi="Times New Roman"/>
          <w:szCs w:val="20"/>
        </w:rPr>
        <w:object>
          <v:shape id="_x0000_i1053" o:spt="75" type="#_x0000_t75" style="height:13.3pt;width:9.4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rFonts w:ascii="Times New Roman" w:hAnsi="Times New Roman"/>
          <w:szCs w:val="20"/>
        </w:rPr>
        <w:t>相电流基波幅值，</w:t>
      </w:r>
      <w:r>
        <w:rPr>
          <w:rFonts w:ascii="Times New Roman" w:hAnsi="Times New Roman"/>
          <w:szCs w:val="20"/>
        </w:rPr>
        <w:object>
          <v:shape id="_x0000_i1054" o:spt="75" type="#_x0000_t75" style="height:15.15pt;width:42.05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r>
        <w:rPr>
          <w:rFonts w:ascii="Times New Roman" w:hAnsi="Times New Roman"/>
          <w:szCs w:val="20"/>
        </w:rPr>
        <w:t>为基波或谐波电流的角频率，</w:t>
      </w:r>
      <w:r>
        <w:rPr>
          <w:rFonts w:ascii="Times New Roman" w:hAnsi="Times New Roman"/>
          <w:szCs w:val="20"/>
        </w:rPr>
        <w:object>
          <v:shape id="_x0000_i1055" o:spt="75" type="#_x0000_t75" style="height:15.15pt;width:29.95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r>
        <w:rPr>
          <w:rFonts w:ascii="Times New Roman" w:hAnsi="Times New Roman"/>
          <w:szCs w:val="20"/>
        </w:rPr>
        <w:t>，</w:t>
      </w:r>
      <w:r>
        <w:rPr>
          <w:rFonts w:ascii="Times New Roman" w:hAnsi="Times New Roman"/>
          <w:szCs w:val="20"/>
        </w:rPr>
        <w:object>
          <v:shape id="_x0000_i1056" o:spt="75" type="#_x0000_t75" style="height:13.3pt;width:7.25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rFonts w:ascii="Times New Roman" w:hAnsi="Times New Roman"/>
          <w:szCs w:val="20"/>
        </w:rPr>
        <w:t>与</w:t>
      </w:r>
      <w:r>
        <w:rPr>
          <w:rFonts w:ascii="Times New Roman" w:hAnsi="Times New Roman"/>
          <w:szCs w:val="20"/>
        </w:rPr>
        <w:object>
          <v:shape id="_x0000_i1057" o:spt="75" type="#_x0000_t75" style="height:15.45pt;width:13.3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rFonts w:ascii="Times New Roman" w:hAnsi="Times New Roman"/>
          <w:szCs w:val="20"/>
        </w:rPr>
        <w:t>均为整数，</w:t>
      </w:r>
      <w:r>
        <w:rPr>
          <w:rFonts w:ascii="Times New Roman" w:hAnsi="Times New Roman"/>
          <w:szCs w:val="20"/>
        </w:rPr>
        <w:object>
          <v:shape id="_x0000_i1058" o:spt="75" type="#_x0000_t75" style="height:19.05pt;width:72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r>
        <w:rPr>
          <w:rFonts w:ascii="Times New Roman" w:hAnsi="Times New Roman"/>
          <w:szCs w:val="20"/>
        </w:rPr>
        <w:t>表示频率为</w:t>
      </w:r>
      <w:r>
        <w:rPr>
          <w:rFonts w:ascii="Times New Roman" w:hAnsi="Times New Roman"/>
          <w:szCs w:val="20"/>
        </w:rPr>
        <w:object>
          <v:shape id="_x0000_i1059" o:spt="75" type="#_x0000_t75" style="height:15.15pt;width:12.4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84">
            <o:LockedField>false</o:LockedField>
          </o:OLEObject>
        </w:object>
      </w:r>
      <w:r>
        <w:rPr>
          <w:rFonts w:ascii="Times New Roman" w:hAnsi="Times New Roman"/>
          <w:szCs w:val="20"/>
        </w:rPr>
        <w:t>的谐波电流相对基波的幅值，</w:t>
      </w:r>
      <w:r>
        <w:rPr>
          <w:rFonts w:ascii="Times New Roman" w:hAnsi="Times New Roman"/>
          <w:szCs w:val="20"/>
        </w:rPr>
        <w:object>
          <v:shape id="_x0000_i1060" o:spt="75" type="#_x0000_t75" style="height:15.15pt;width:15.15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0" r:id="rId86">
            <o:LockedField>false</o:LockedField>
          </o:OLEObject>
        </w:object>
      </w:r>
      <w:r>
        <w:rPr>
          <w:rFonts w:ascii="Times New Roman" w:hAnsi="Times New Roman"/>
          <w:szCs w:val="20"/>
        </w:rPr>
        <w:t>为实数，</w:t>
      </w:r>
      <w:r>
        <w:rPr>
          <w:rFonts w:ascii="Times New Roman" w:hAnsi="Times New Roman"/>
          <w:szCs w:val="20"/>
        </w:rPr>
        <w:object>
          <v:shape id="_x0000_i1061" o:spt="75" type="#_x0000_t75" style="height:15.15pt;width:13.9pt;" o:ole="t" filled="f" o:preferrelative="t" stroked="f" coordsize="21600,21600">
            <v:path/>
            <v:fill on="f" focussize="0,0"/>
            <v:stroke on="f" joinstyle="miter"/>
            <v:imagedata r:id="rId89" o:title=""/>
            <o:lock v:ext="edit" aspectratio="t"/>
            <w10:wrap type="none"/>
            <w10:anchorlock/>
          </v:shape>
          <o:OLEObject Type="Embed" ProgID="Equation.DSMT4" ShapeID="_x0000_i1061" DrawAspect="Content" ObjectID="_1468075761" r:id="rId88">
            <o:LockedField>false</o:LockedField>
          </o:OLEObject>
        </w:object>
      </w:r>
      <w:r>
        <w:rPr>
          <w:rFonts w:ascii="Times New Roman" w:hAnsi="Times New Roman"/>
          <w:szCs w:val="20"/>
        </w:rPr>
        <w:t>为谐波电流的初始相位，</w:t>
      </w:r>
      <w:r>
        <w:rPr>
          <w:rFonts w:ascii="Times New Roman" w:hAnsi="Times New Roman"/>
          <w:szCs w:val="20"/>
        </w:rPr>
        <w:object>
          <v:shape id="_x0000_i1062" o:spt="75" type="#_x0000_t75" style="height:15.15pt;width:36.9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2" r:id="rId90">
            <o:LockedField>false</o:LockedField>
          </o:OLEObject>
        </w:object>
      </w:r>
      <w:r>
        <w:rPr>
          <w:rFonts w:ascii="Times New Roman" w:hAnsi="Times New Roman"/>
          <w:szCs w:val="20"/>
        </w:rPr>
        <w:t>为稳态电流信号的周期。</w:t>
      </w:r>
    </w:p>
    <w:p>
      <w:pPr>
        <w:overflowPunct w:val="0"/>
        <w:adjustRightInd/>
        <w:spacing w:line="240" w:lineRule="auto"/>
        <w:ind w:firstLine="420" w:firstLineChars="200"/>
        <w:rPr>
          <w:rFonts w:hint="eastAsia" w:ascii="Times New Roman" w:hAnsi="Times New Roman"/>
        </w:rPr>
      </w:pPr>
      <w:bookmarkStart w:id="82" w:name="_Hlk117674316"/>
      <w:r>
        <w:rPr>
          <w:rFonts w:ascii="Times New Roman" w:hAnsi="Times New Roman"/>
          <w:szCs w:val="20"/>
        </w:rPr>
        <w:t>在</w:t>
      </w:r>
      <w:r>
        <w:rPr>
          <w:rFonts w:ascii="Times New Roman" w:hAnsi="Times New Roman"/>
          <w:szCs w:val="24"/>
        </w:rPr>
        <w:t>动态测试功率参比信号模型</w:t>
      </w:r>
      <w:r>
        <w:rPr>
          <w:rFonts w:ascii="Times New Roman" w:hAnsi="Times New Roman"/>
          <w:szCs w:val="20"/>
        </w:rPr>
        <w:t>中，动态功率信号宜采用如下两种模型</w:t>
      </w:r>
      <w:r>
        <w:rPr>
          <w:rFonts w:hint="eastAsia" w:ascii="Times New Roman" w:hAnsi="Times New Roman"/>
          <w:szCs w:val="20"/>
        </w:rPr>
        <w:t>。</w:t>
      </w:r>
    </w:p>
    <w:bookmarkEnd w:id="82"/>
    <w:p>
      <w:pPr>
        <w:pStyle w:val="174"/>
        <w:numPr>
          <w:ilvl w:val="0"/>
          <w:numId w:val="34"/>
        </w:numPr>
      </w:pPr>
      <w:r>
        <w:t xml:space="preserve"> </w:t>
      </w:r>
      <w:r>
        <w:rPr>
          <w:rFonts w:ascii="Times New Roman"/>
        </w:rPr>
        <w:t>正弦波形</w:t>
      </w:r>
      <w:r>
        <w:rPr>
          <w:rFonts w:hint="eastAsia"/>
        </w:rPr>
        <w:t>功率信号</w:t>
      </w:r>
    </w:p>
    <w:p>
      <w:pPr>
        <w:overflowPunct w:val="0"/>
        <w:adjustRightInd/>
        <w:spacing w:line="240" w:lineRule="auto"/>
        <w:ind w:firstLine="420" w:firstLineChars="200"/>
        <w:rPr>
          <w:rFonts w:hint="eastAsia" w:ascii="Times New Roman" w:hAnsi="Times New Roman"/>
          <w:kern w:val="0"/>
          <w:szCs w:val="20"/>
        </w:rPr>
      </w:pPr>
      <w:r>
        <w:tab/>
      </w:r>
    </w:p>
    <w:p>
      <w:pPr>
        <w:pStyle w:val="113"/>
      </w:pPr>
      <w:r>
        <w:tab/>
      </w:r>
      <w:r>
        <w:rPr>
          <w:rFonts w:ascii="Times New Roman" w:hAnsi="Times New Roman"/>
          <w:kern w:val="0"/>
          <w:szCs w:val="20"/>
        </w:rPr>
        <w:object>
          <v:shape id="_x0000_i1063" o:spt="75" type="#_x0000_t75" style="height:45.1pt;width:240.2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174"/>
        <w:numPr>
          <w:ilvl w:val="0"/>
          <w:numId w:val="34"/>
        </w:numPr>
        <w:rPr>
          <w:rFonts w:hint="eastAsia" w:ascii="Times New Roman"/>
        </w:rPr>
      </w:pPr>
      <w:r>
        <w:rPr>
          <w:rFonts w:ascii="Times New Roman"/>
        </w:rPr>
        <w:t xml:space="preserve"> 畸变波形</w:t>
      </w:r>
      <w:r>
        <w:rPr>
          <w:rFonts w:hint="eastAsia"/>
        </w:rPr>
        <w:t>功率信号</w:t>
      </w:r>
    </w:p>
    <w:p>
      <w:pPr>
        <w:pStyle w:val="113"/>
      </w:pPr>
      <w:r>
        <w:tab/>
      </w:r>
      <w:r>
        <w:rPr>
          <w:rFonts w:ascii="Times New Roman" w:hAnsi="Times New Roman"/>
          <w:kern w:val="0"/>
          <w:szCs w:val="20"/>
        </w:rPr>
        <w:object>
          <v:shape id="_x0000_i1064" o:spt="75" type="#_x0000_t75" style="height:35.1pt;width:308.85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widowControl/>
        <w:tabs>
          <w:tab w:val="left" w:pos="840"/>
        </w:tabs>
        <w:spacing w:line="240" w:lineRule="auto"/>
        <w:ind w:left="839"/>
        <w:textAlignment w:val="center"/>
        <w:rPr>
          <w:rFonts w:ascii="Times New Roman" w:hAnsi="Times New Roman"/>
          <w:kern w:val="0"/>
          <w:szCs w:val="20"/>
        </w:rPr>
      </w:pPr>
      <w:r>
        <w:rPr>
          <w:rFonts w:ascii="Times New Roman" w:hAnsi="Times New Roman"/>
          <w:kern w:val="0"/>
          <w:szCs w:val="20"/>
        </w:rPr>
        <w:t>稳态电流信号和稳态电压信号的波形见图1。</w:t>
      </w:r>
    </w:p>
    <w:p>
      <w:pPr>
        <w:widowControl/>
        <w:tabs>
          <w:tab w:val="left" w:pos="840"/>
        </w:tabs>
        <w:spacing w:line="240" w:lineRule="auto"/>
        <w:jc w:val="center"/>
        <w:textAlignment w:val="center"/>
        <w:rPr>
          <w:rFonts w:ascii="Times New Roman" w:hAnsi="Times New Roman"/>
          <w:szCs w:val="24"/>
        </w:rPr>
      </w:pPr>
      <w:r>
        <w:rPr>
          <w:rFonts w:ascii="Times New Roman" w:hAnsi="Times New Roman"/>
          <w:szCs w:val="24"/>
        </w:rPr>
        <w:drawing>
          <wp:inline distT="0" distB="0" distL="0" distR="0">
            <wp:extent cx="4917440" cy="2052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917440" cy="2052320"/>
                    </a:xfrm>
                    <a:prstGeom prst="rect">
                      <a:avLst/>
                    </a:prstGeom>
                    <a:noFill/>
                    <a:ln>
                      <a:noFill/>
                    </a:ln>
                  </pic:spPr>
                </pic:pic>
              </a:graphicData>
            </a:graphic>
          </wp:inline>
        </w:drawing>
      </w:r>
    </w:p>
    <w:p>
      <w:pPr>
        <w:pStyle w:val="114"/>
        <w:spacing w:before="120" w:after="120"/>
      </w:pPr>
      <w:r>
        <w:rPr>
          <w:rFonts w:hint="eastAsia"/>
        </w:rPr>
        <w:t>稳态电流信号和稳态电压信号的波形</w:t>
      </w:r>
    </w:p>
    <w:p>
      <w:pPr>
        <w:pStyle w:val="65"/>
        <w:spacing w:before="120" w:after="120"/>
      </w:pPr>
      <w:bookmarkStart w:id="83" w:name="_Toc136445055"/>
      <w:r>
        <w:rPr>
          <w:rFonts w:hint="eastAsia"/>
        </w:rPr>
        <w:t>动态电流与动态功率信号模型</w:t>
      </w:r>
      <w:bookmarkEnd w:id="83"/>
    </w:p>
    <w:p>
      <w:pPr>
        <w:pStyle w:val="56"/>
        <w:ind w:firstLine="420"/>
      </w:pPr>
      <w:r>
        <w:rPr>
          <w:rFonts w:hint="eastAsia"/>
        </w:rPr>
        <w:t>动态测试电流参比信号模型应采用幅度信号调制稳态信号建立动态电流信号模型。当产生幅度快速波动的电流信号时，宜采用幅度信号调制稳态电流信号得到如下两种动态电流信号模型。</w:t>
      </w:r>
    </w:p>
    <w:p>
      <w:pPr>
        <w:pStyle w:val="56"/>
        <w:ind w:firstLine="420"/>
      </w:pPr>
      <w:r>
        <w:rPr>
          <w:rFonts w:hAnsi="宋体"/>
        </w:rPr>
        <w:t>a</w:t>
      </w:r>
      <w:r>
        <w:rPr>
          <w:rFonts w:hint="eastAsia" w:hAnsi="宋体"/>
        </w:rPr>
        <w:t>）</w:t>
      </w:r>
      <w:r>
        <w:rPr>
          <w:rFonts w:hint="eastAsia" w:ascii="Times New Roman"/>
        </w:rPr>
        <w:t>动态</w:t>
      </w:r>
      <w:r>
        <w:rPr>
          <w:rFonts w:hint="eastAsia"/>
        </w:rPr>
        <w:t>测试正弦波形电流信号模型</w:t>
      </w:r>
    </w:p>
    <w:p>
      <w:pPr>
        <w:pStyle w:val="113"/>
      </w:pPr>
      <w:r>
        <w:tab/>
      </w:r>
      <w:r>
        <w:rPr>
          <w:rFonts w:ascii="Times New Roman" w:hAnsi="Times New Roman"/>
          <w:position w:val="-26"/>
          <w:szCs w:val="24"/>
        </w:rPr>
        <w:object>
          <v:shape id="_x0000_i1065" o:spt="75" type="#_x0000_t75" style="height:31.15pt;width:235.95pt;" o:ole="t" filled="f" o:preferrelative="t" stroked="f" coordsize="21600,21600">
            <v:path/>
            <v:fill on="f" focussize="0,0"/>
            <v:stroke on="f" joinstyle="miter"/>
            <v:imagedata r:id="rId98" o:title=""/>
            <o:lock v:ext="edit" aspectratio="t"/>
            <w10:wrap type="none"/>
            <w10:anchorlock/>
          </v:shape>
          <o:OLEObject Type="Embed" ProgID="Equation.DSMT4" ShapeID="_x0000_i1065" DrawAspect="Content" ObjectID="_1468075765" r:id="rId97">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pPr>
      <w:r>
        <w:rPr>
          <w:rFonts w:ascii="Times New Roman"/>
        </w:rPr>
        <w:t>b</w:t>
      </w:r>
      <w:r>
        <w:rPr>
          <w:rFonts w:hint="eastAsia" w:ascii="Times New Roman"/>
        </w:rPr>
        <w:t>）动态</w:t>
      </w:r>
      <w:r>
        <w:rPr>
          <w:rFonts w:hint="eastAsia"/>
        </w:rPr>
        <w:t>测试畸变波形电流信号模型</w:t>
      </w:r>
    </w:p>
    <w:p>
      <w:pPr>
        <w:pStyle w:val="113"/>
      </w:pPr>
      <w:r>
        <w:tab/>
      </w:r>
      <w:r>
        <w:rPr>
          <w:rFonts w:ascii="Times New Roman" w:hAnsi="Times New Roman"/>
          <w:position w:val="-26"/>
          <w:szCs w:val="24"/>
        </w:rPr>
        <w:object>
          <v:shape id="_x0000_i1066" o:spt="75" type="#_x0000_t75" style="height:32.05pt;width:266.8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66" r:id="rId99">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ascii="Times New Roman"/>
        </w:rPr>
      </w:pPr>
      <w:r>
        <w:rPr>
          <w:rFonts w:ascii="Times New Roman"/>
        </w:rPr>
        <w:t>式（7）与式（8）中，</w:t>
      </w:r>
      <w:bookmarkStart w:id="84" w:name="_Hlk29461534"/>
      <w:r>
        <w:rPr>
          <w:rFonts w:ascii="Times New Roman"/>
        </w:rPr>
        <w:object>
          <v:shape id="_x0000_i1067" o:spt="75" type="#_x0000_t75" style="height:31.15pt;width:55.35pt;" o:ole="t" filled="f" o:preferrelative="t" stroked="f" coordsize="21600,21600">
            <v:path/>
            <v:fill on="f" focussize="0,0"/>
            <v:stroke on="f" joinstyle="miter"/>
            <v:imagedata r:id="rId102" o:title=""/>
            <o:lock v:ext="edit" aspectratio="t"/>
            <w10:wrap type="none"/>
            <w10:anchorlock/>
          </v:shape>
          <o:OLEObject Type="Embed" ProgID="Equation.DSMT4" ShapeID="_x0000_i1067" DrawAspect="Content" ObjectID="_1468075767" r:id="rId101">
            <o:LockedField>false</o:LockedField>
          </o:OLEObject>
        </w:object>
      </w:r>
      <w:r>
        <w:rPr>
          <w:rFonts w:ascii="Times New Roman"/>
        </w:rPr>
        <w:t>表示动态测试电流波形幅度信号，</w:t>
      </w:r>
      <w:bookmarkStart w:id="85" w:name="_Hlk28869537"/>
      <w:r>
        <w:rPr>
          <w:rFonts w:ascii="Times New Roman"/>
        </w:rPr>
        <w:t>可为确定信号</w:t>
      </w:r>
      <w:r>
        <w:rPr>
          <w:rFonts w:ascii="Times New Roman"/>
        </w:rPr>
        <w:object>
          <v:shape id="_x0000_i1068" o:spt="75" type="#_x0000_t75" style="height:15.15pt;width:23pt;" o:ole="t" filled="f" o:preferrelative="t" stroked="f" coordsize="21600,21600">
            <v:path/>
            <v:fill on="f" focussize="0,0"/>
            <v:stroke on="f" joinstyle="miter"/>
            <v:imagedata r:id="rId104" o:title=""/>
            <o:lock v:ext="edit" aspectratio="t"/>
            <w10:wrap type="none"/>
            <w10:anchorlock/>
          </v:shape>
          <o:OLEObject Type="Embed" ProgID="Equation.DSMT4" ShapeID="_x0000_i1068" DrawAspect="Content" ObjectID="_1468075768" r:id="rId103">
            <o:LockedField>false</o:LockedField>
          </o:OLEObject>
        </w:object>
      </w:r>
      <w:r>
        <w:rPr>
          <w:rFonts w:ascii="Times New Roman"/>
        </w:rPr>
        <w:t>，或为伪随机序列信号</w:t>
      </w:r>
      <w:bookmarkEnd w:id="84"/>
      <w:bookmarkEnd w:id="85"/>
      <w:bookmarkStart w:id="86" w:name="_Hlk28162903"/>
      <w:r>
        <w:rPr>
          <w:rFonts w:ascii="Times New Roman"/>
        </w:rPr>
        <w:object>
          <v:shape id="_x0000_i1069" o:spt="75" type="#_x0000_t75" style="height:15.15pt;width:98.9pt;" o:ole="t" filled="f" o:preferrelative="t" stroked="f" coordsize="21600,21600">
            <v:path/>
            <v:fill on="f" focussize="0,0"/>
            <v:stroke on="f" joinstyle="miter"/>
            <v:imagedata r:id="rId106" o:title=""/>
            <o:lock v:ext="edit" aspectratio="t"/>
            <w10:wrap type="none"/>
            <w10:anchorlock/>
          </v:shape>
          <o:OLEObject Type="Embed" ProgID="Equation.DSMT4" ShapeID="_x0000_i1069" DrawAspect="Content" ObjectID="_1468075769" r:id="rId105">
            <o:LockedField>false</o:LockedField>
          </o:OLEObject>
        </w:object>
      </w:r>
      <w:r>
        <w:rPr>
          <w:rFonts w:ascii="Times New Roman"/>
        </w:rPr>
        <w:t>；</w:t>
      </w:r>
      <w:bookmarkEnd w:id="86"/>
      <w:r>
        <w:rPr>
          <w:rFonts w:ascii="Times New Roman"/>
        </w:rPr>
        <w:t>式（7）与式（8）中其他参数分别与式（3）和式（4）参数意义相同</w:t>
      </w:r>
      <w:bookmarkStart w:id="87" w:name="_Hlk29461546"/>
      <w:r>
        <w:rPr>
          <w:rFonts w:hint="eastAsia" w:ascii="Times New Roman"/>
        </w:rPr>
        <w:t>。</w:t>
      </w:r>
      <w:r>
        <w:rPr>
          <w:rFonts w:ascii="Times New Roman"/>
        </w:rPr>
        <w:t>波形幅度信号表达式为：</w:t>
      </w:r>
      <w:bookmarkEnd w:id="87"/>
    </w:p>
    <w:p>
      <w:pPr>
        <w:pStyle w:val="113"/>
      </w:pPr>
      <w:r>
        <w:tab/>
      </w:r>
      <w:r>
        <w:rPr>
          <w:rFonts w:ascii="Times New Roman" w:hAnsi="Times New Roman"/>
          <w:position w:val="-28"/>
          <w:szCs w:val="24"/>
        </w:rPr>
        <w:object>
          <v:shape id="_x0000_i1070" o:spt="75" type="#_x0000_t75" style="height:33.6pt;width:272.85pt;" o:ole="t" filled="f" o:preferrelative="t" stroked="f" coordsize="21600,21600">
            <v:path/>
            <v:fill on="f" focussize="0,0"/>
            <v:stroke on="f" joinstyle="miter"/>
            <v:imagedata r:id="rId108" o:title=""/>
            <o:lock v:ext="edit" aspectratio="t"/>
            <w10:wrap type="none"/>
            <w10:anchorlock/>
          </v:shape>
          <o:OLEObject Type="Embed" ProgID="Equation.DSMT4" ShapeID="_x0000_i1070" DrawAspect="Content" ObjectID="_1468075770" r:id="rId107">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ascii="Times New Roman"/>
        </w:rPr>
      </w:pPr>
      <w:r>
        <w:rPr>
          <w:rFonts w:hint="eastAsia"/>
        </w:rPr>
        <w:t>式中，</w:t>
      </w:r>
      <w:r>
        <w:rPr>
          <w:rFonts w:ascii="Times New Roman"/>
        </w:rPr>
        <w:object>
          <v:shape id="_x0000_i1071" o:spt="75" type="#_x0000_t75" style="height:15.15pt;width:25.7pt;" o:ole="t" filled="f" o:preferrelative="t" stroked="f" coordsize="21600,21600">
            <v:path/>
            <v:fill on="f" focussize="0,0"/>
            <v:stroke on="f" joinstyle="miter"/>
            <v:imagedata r:id="rId110" o:title=""/>
            <o:lock v:ext="edit" aspectratio="t"/>
            <w10:wrap type="none"/>
            <w10:anchorlock/>
          </v:shape>
          <o:OLEObject Type="Embed" ProgID="Equation.DSMT4" ShapeID="_x0000_i1071" DrawAspect="Content" ObjectID="_1468075771" r:id="rId109">
            <o:LockedField>false</o:LockedField>
          </o:OLEObject>
        </w:object>
      </w:r>
      <w:r>
        <w:rPr>
          <w:rFonts w:ascii="Times New Roman"/>
        </w:rPr>
        <w:t>为第</w:t>
      </w:r>
      <w:r>
        <w:rPr>
          <w:rFonts w:ascii="Times New Roman"/>
        </w:rPr>
        <w:object>
          <v:shape id="_x0000_i1072" o:spt="75" type="#_x0000_t75" style="height:9.7pt;width:9.4pt;" o:ole="t" filled="f" o:preferrelative="t" stroked="f" coordsize="21600,21600">
            <v:path/>
            <v:fill on="f" focussize="0,0"/>
            <v:stroke on="f" joinstyle="miter"/>
            <v:imagedata r:id="rId112" o:title=""/>
            <o:lock v:ext="edit" aspectratio="t"/>
            <w10:wrap type="none"/>
            <w10:anchorlock/>
          </v:shape>
          <o:OLEObject Type="Embed" ProgID="Equation.DSMT4" ShapeID="_x0000_i1072" DrawAspect="Content" ObjectID="_1468075772" r:id="rId111">
            <o:LockedField>false</o:LockedField>
          </o:OLEObject>
        </w:object>
      </w:r>
      <w:r>
        <w:rPr>
          <w:rFonts w:ascii="Times New Roman"/>
        </w:rPr>
        <w:t>个</w:t>
      </w:r>
      <w:r>
        <w:rPr>
          <w:rFonts w:ascii="Times New Roman"/>
        </w:rPr>
        <w:object>
          <v:shape id="_x0000_i1073" o:spt="75" type="#_x0000_t75" style="height:10.6pt;width:9.7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73" r:id="rId113">
            <o:LockedField>false</o:LockedField>
          </o:OLEObject>
        </w:object>
      </w:r>
      <w:r>
        <w:rPr>
          <w:rFonts w:ascii="Times New Roman"/>
        </w:rPr>
        <w:t>周期内的电流调制信号，或者</w:t>
      </w:r>
      <w:r>
        <w:rPr>
          <w:rFonts w:ascii="Times New Roman"/>
        </w:rPr>
        <w:object>
          <v:shape id="_x0000_i1074" o:spt="75" type="#_x0000_t75" style="height:15.15pt;width:15.15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74" r:id="rId115">
            <o:LockedField>false</o:LockedField>
          </o:OLEObject>
        </w:object>
      </w:r>
      <w:r>
        <w:rPr>
          <w:rFonts w:ascii="Times New Roman"/>
        </w:rPr>
        <w:t>序列在第</w:t>
      </w:r>
      <w:r>
        <w:rPr>
          <w:rFonts w:ascii="Times New Roman"/>
        </w:rPr>
        <w:object>
          <v:shape id="_x0000_i1075" o:spt="75" type="#_x0000_t75" style="height:9.7pt;width:9.4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75" r:id="rId117">
            <o:LockedField>false</o:LockedField>
          </o:OLEObject>
        </w:object>
      </w:r>
      <w:r>
        <w:rPr>
          <w:rFonts w:ascii="Times New Roman"/>
        </w:rPr>
        <w:t>个</w:t>
      </w:r>
      <w:r>
        <w:rPr>
          <w:rFonts w:ascii="Times New Roman"/>
        </w:rPr>
        <w:object>
          <v:shape id="_x0000_i1076" o:spt="75" type="#_x0000_t75" style="height:10.6pt;width:9.7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r>
        <w:rPr>
          <w:rFonts w:ascii="Times New Roman"/>
        </w:rPr>
        <w:t>周期内的数值，</w:t>
      </w:r>
      <w:r>
        <w:rPr>
          <w:rFonts w:ascii="Times New Roman"/>
        </w:rPr>
        <w:object>
          <v:shape id="_x0000_i1077" o:spt="75" type="#_x0000_t75" style="height:15.15pt;width:36.6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77" r:id="rId121">
            <o:LockedField>false</o:LockedField>
          </o:OLEObject>
        </w:object>
      </w:r>
      <w:r>
        <w:rPr>
          <w:rFonts w:ascii="Times New Roman"/>
        </w:rPr>
        <w:t>为时间差并取实数，</w:t>
      </w:r>
      <w:r>
        <w:rPr>
          <w:rFonts w:ascii="Times New Roman"/>
        </w:rPr>
        <w:object>
          <v:shape id="_x0000_i1078" o:spt="75" type="#_x0000_t75" style="height:15.15pt;width:20.25pt;" o:ole="t" filled="f" o:preferrelative="t" stroked="f" coordsize="21600,21600">
            <v:path/>
            <v:fill on="f" focussize="0,0"/>
            <v:stroke on="f" joinstyle="miter"/>
            <v:imagedata r:id="rId124" o:title=""/>
            <o:lock v:ext="edit" aspectratio="t"/>
            <w10:wrap type="none"/>
            <w10:anchorlock/>
          </v:shape>
          <o:OLEObject Type="Embed" ProgID="Equation.DSMT4" ShapeID="_x0000_i1078" DrawAspect="Content" ObjectID="_1468075778" r:id="rId123">
            <o:LockedField>false</o:LockedField>
          </o:OLEObject>
        </w:object>
      </w:r>
      <w:r>
        <w:rPr>
          <w:rFonts w:ascii="Times New Roman"/>
        </w:rPr>
        <w:t>为区间</w:t>
      </w:r>
      <w:r>
        <w:rPr>
          <w:rFonts w:ascii="Times New Roman"/>
        </w:rPr>
        <w:object>
          <v:shape id="_x0000_i1079" o:spt="75" type="#_x0000_t75" style="height:16.65pt;width:24.2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9" r:id="rId125">
            <o:LockedField>false</o:LockedField>
          </o:OLEObject>
        </w:object>
      </w:r>
      <w:r>
        <w:rPr>
          <w:rFonts w:ascii="Times New Roman"/>
        </w:rPr>
        <w:t>内的窗函数；在动态误差的测试时间间隔</w:t>
      </w:r>
      <w:r>
        <w:rPr>
          <w:rFonts w:ascii="Times New Roman"/>
        </w:rPr>
        <w:object>
          <v:shape id="_x0000_i1080" o:spt="75" type="#_x0000_t75" style="height:12.4pt;width:12.4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r>
        <w:rPr>
          <w:rFonts w:ascii="Times New Roman"/>
        </w:rPr>
        <w:t>内，应包含动态测试电压参比信号的整数个周期。</w:t>
      </w:r>
    </w:p>
    <w:p>
      <w:pPr>
        <w:pStyle w:val="56"/>
        <w:ind w:firstLine="420"/>
        <w:rPr>
          <w:rFonts w:hint="eastAsia" w:ascii="Times New Roman"/>
        </w:rPr>
      </w:pPr>
      <w:bookmarkStart w:id="88" w:name="_Hlk29460504"/>
      <w:bookmarkStart w:id="89" w:name="_Hlk29461364"/>
      <w:r>
        <w:rPr>
          <w:rFonts w:ascii="Times New Roman"/>
        </w:rPr>
        <w:t>在动态测试功率参比信号模型中，动态功率信号宜采用如下两种模型</w:t>
      </w:r>
      <w:r>
        <w:rPr>
          <w:rFonts w:hint="eastAsia" w:ascii="Times New Roman"/>
        </w:rPr>
        <w:t>。</w:t>
      </w:r>
    </w:p>
    <w:bookmarkEnd w:id="88"/>
    <w:bookmarkEnd w:id="89"/>
    <w:p>
      <w:pPr>
        <w:pStyle w:val="56"/>
        <w:ind w:firstLine="420"/>
        <w:rPr>
          <w:rFonts w:hint="eastAsia" w:ascii="Times New Roman"/>
        </w:rPr>
      </w:pPr>
      <w:r>
        <w:rPr>
          <w:rFonts w:hAnsi="宋体"/>
        </w:rPr>
        <w:t>a</w:t>
      </w:r>
      <w:r>
        <w:rPr>
          <w:rFonts w:hint="eastAsia" w:hAnsi="宋体"/>
        </w:rPr>
        <w:t>）</w:t>
      </w:r>
      <w:r>
        <w:rPr>
          <w:rFonts w:ascii="Times New Roman"/>
        </w:rPr>
        <w:t>动</w:t>
      </w:r>
      <w:r>
        <w:rPr>
          <w:rFonts w:ascii="Times New Roman"/>
          <w:bCs/>
        </w:rPr>
        <w:t>态测试正弦波形功率信号模型</w:t>
      </w:r>
    </w:p>
    <w:p>
      <w:pPr>
        <w:pStyle w:val="113"/>
      </w:pPr>
      <w:r>
        <w:tab/>
      </w:r>
      <w:r>
        <w:rPr>
          <w:rFonts w:ascii="Times New Roman" w:hAnsi="Times New Roman"/>
          <w:kern w:val="0"/>
          <w:szCs w:val="20"/>
        </w:rPr>
        <w:object>
          <v:shape id="_x0000_i1081" o:spt="75" type="#_x0000_t75" style="height:31.15pt;width:273.8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hint="eastAsia" w:ascii="Times New Roman"/>
        </w:rPr>
      </w:pPr>
      <w:r>
        <w:rPr>
          <w:rFonts w:ascii="Times New Roman"/>
        </w:rPr>
        <w:t>b</w:t>
      </w:r>
      <w:r>
        <w:rPr>
          <w:rFonts w:hint="eastAsia" w:ascii="Times New Roman"/>
        </w:rPr>
        <w:t>）</w:t>
      </w:r>
      <w:r>
        <w:rPr>
          <w:rFonts w:ascii="Times New Roman"/>
        </w:rPr>
        <w:t>动态测试畸变波形功率信号模型</w:t>
      </w:r>
    </w:p>
    <w:p>
      <w:pPr>
        <w:pStyle w:val="113"/>
      </w:pPr>
      <w:r>
        <w:tab/>
      </w:r>
      <w:r>
        <w:rPr>
          <w:rFonts w:ascii="Times New Roman" w:hAnsi="Times New Roman"/>
          <w:kern w:val="0"/>
          <w:szCs w:val="20"/>
        </w:rPr>
        <w:object>
          <v:shape id="_x0000_i1082" o:spt="75" type="#_x0000_t75" style="height:50.2pt;width:271.35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ascii="Times New Roman"/>
        </w:rPr>
      </w:pPr>
      <w:r>
        <w:rPr>
          <w:rFonts w:ascii="Times New Roman"/>
        </w:rPr>
        <w:t>式（1）至（11）中，</w:t>
      </w:r>
      <w:r>
        <w:rPr>
          <w:rFonts w:ascii="Times New Roman"/>
        </w:rPr>
        <w:object>
          <v:shape id="_x0000_i1083" o:spt="75" type="#_x0000_t75" style="height:13.9pt;width:40.55pt;" o:ole="t" filled="f" o:preferrelative="t" stroked="f" coordsize="21600,21600">
            <v:path/>
            <v:fill on="f" focussize="0,0"/>
            <v:stroke on="f" joinstyle="miter"/>
            <v:imagedata r:id="rId134" o:title=""/>
            <o:lock v:ext="edit" aspectratio="t"/>
            <w10:wrap type="none"/>
            <w10:anchorlock/>
          </v:shape>
          <o:OLEObject Type="Embed" ProgID="Equation.DSMT4" ShapeID="_x0000_i1083" DrawAspect="Content" ObjectID="_1468075783" r:id="rId133">
            <o:LockedField>false</o:LockedField>
          </o:OLEObject>
        </w:object>
      </w:r>
      <w:r>
        <w:rPr>
          <w:rFonts w:ascii="Times New Roman"/>
        </w:rPr>
        <w:t>表示电路中的A、B、C三相。电能表动态误差测试过程中，动态测试电流参比信号循环重复输出</w:t>
      </w:r>
      <w:r>
        <w:rPr>
          <w:rFonts w:ascii="Times New Roman"/>
        </w:rPr>
        <w:object>
          <v:shape id="_x0000_i1084" o:spt="75" type="#_x0000_t75" style="height:12.4pt;width:12.4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84" r:id="rId135">
            <o:LockedField>false</o:LockedField>
          </o:OLEObject>
        </w:object>
      </w:r>
      <w:r>
        <w:rPr>
          <w:rFonts w:ascii="Times New Roman"/>
        </w:rPr>
        <w:t>次。</w:t>
      </w:r>
    </w:p>
    <w:p>
      <w:pPr>
        <w:pStyle w:val="65"/>
        <w:spacing w:before="120" w:after="120"/>
      </w:pPr>
      <w:bookmarkStart w:id="90" w:name="_Toc136445056"/>
      <w:r>
        <w:rPr>
          <w:rFonts w:hint="eastAsia"/>
        </w:rPr>
        <w:t>动态测试电能参比信号模型</w:t>
      </w:r>
      <w:bookmarkEnd w:id="90"/>
    </w:p>
    <w:p>
      <w:pPr>
        <w:overflowPunct w:val="0"/>
        <w:ind w:firstLine="420"/>
        <w:rPr>
          <w:rFonts w:hAnsi="黑体"/>
        </w:rPr>
      </w:pPr>
      <w:r>
        <w:rPr>
          <w:rFonts w:hint="eastAsia" w:hAnsi="黑体"/>
        </w:rPr>
        <w:t>动态</w:t>
      </w:r>
      <w:r>
        <w:rPr>
          <w:rFonts w:hAnsi="黑体"/>
        </w:rPr>
        <w:t>测试电能参比信号模型</w:t>
      </w:r>
      <w:r>
        <w:rPr>
          <w:rFonts w:hint="eastAsia" w:hAnsi="黑体"/>
        </w:rPr>
        <w:t>应包括如下三部分模型。</w:t>
      </w:r>
    </w:p>
    <w:p>
      <w:pPr>
        <w:pStyle w:val="174"/>
        <w:numPr>
          <w:ilvl w:val="0"/>
          <w:numId w:val="35"/>
        </w:numPr>
      </w:pPr>
      <w:r>
        <w:rPr>
          <w:rFonts w:hint="eastAsia"/>
        </w:rPr>
        <w:t>动态测试电压参比信号</w:t>
      </w:r>
      <w:r>
        <w:t>模型</w:t>
      </w:r>
      <w:r>
        <w:rPr>
          <w:rFonts w:hint="eastAsia"/>
        </w:rPr>
        <w:t>包含两种模型，</w:t>
      </w:r>
      <w:r>
        <w:t>如式（1）或式（2）</w:t>
      </w:r>
      <w:r>
        <w:rPr>
          <w:rFonts w:hint="eastAsia"/>
        </w:rPr>
        <w:t>；</w:t>
      </w:r>
    </w:p>
    <w:p>
      <w:pPr>
        <w:pStyle w:val="174"/>
      </w:pPr>
      <w:r>
        <w:t>动态</w:t>
      </w:r>
      <w:r>
        <w:rPr>
          <w:rFonts w:hint="eastAsia"/>
        </w:rPr>
        <w:t>测试</w:t>
      </w:r>
      <w:r>
        <w:t>电流</w:t>
      </w:r>
      <w:r>
        <w:rPr>
          <w:rFonts w:hint="eastAsia"/>
        </w:rPr>
        <w:t>参比</w:t>
      </w:r>
      <w:r>
        <w:t>信号模型</w:t>
      </w:r>
      <w:r>
        <w:rPr>
          <w:rFonts w:hint="eastAsia"/>
        </w:rPr>
        <w:t>包含两种模型，</w:t>
      </w:r>
      <w:r>
        <w:t>如式（7）或式（8）</w:t>
      </w:r>
      <w:r>
        <w:rPr>
          <w:rFonts w:hint="eastAsia"/>
        </w:rPr>
        <w:t>；</w:t>
      </w:r>
    </w:p>
    <w:p>
      <w:pPr>
        <w:pStyle w:val="174"/>
      </w:pPr>
      <w:r>
        <w:rPr>
          <w:rFonts w:hint="eastAsia"/>
        </w:rPr>
        <w:t>动态测试功率参比信号模型包含两种模型，如式（1</w:t>
      </w:r>
      <w:r>
        <w:t>0</w:t>
      </w:r>
      <w:r>
        <w:rPr>
          <w:rFonts w:hint="eastAsia"/>
        </w:rPr>
        <w:t>）或式（1</w:t>
      </w:r>
      <w:r>
        <w:t>1</w:t>
      </w:r>
      <w:r>
        <w:rPr>
          <w:rFonts w:hint="eastAsia"/>
        </w:rPr>
        <w:t>）。</w:t>
      </w:r>
    </w:p>
    <w:p>
      <w:pPr>
        <w:overflowPunct w:val="0"/>
        <w:ind w:firstLine="420"/>
        <w:rPr>
          <w:kern w:val="0"/>
          <w:szCs w:val="20"/>
        </w:rPr>
      </w:pPr>
      <w:r>
        <w:rPr>
          <w:rFonts w:hint="eastAsia"/>
          <w:kern w:val="0"/>
          <w:szCs w:val="20"/>
        </w:rPr>
        <w:t>动态电流</w:t>
      </w:r>
      <w:r>
        <w:rPr>
          <w:rFonts w:hint="eastAsia" w:hAnsi="黑体"/>
        </w:rPr>
        <w:t>信号</w:t>
      </w:r>
      <w:r>
        <w:rPr>
          <w:rFonts w:hint="eastAsia"/>
          <w:kern w:val="0"/>
          <w:szCs w:val="20"/>
        </w:rPr>
        <w:t>和动态电压信号的波形见图</w:t>
      </w:r>
      <w:r>
        <w:rPr>
          <w:kern w:val="0"/>
          <w:szCs w:val="20"/>
        </w:rPr>
        <w:t>2</w:t>
      </w:r>
      <w:r>
        <w:rPr>
          <w:rFonts w:hint="eastAsia"/>
          <w:kern w:val="0"/>
          <w:szCs w:val="20"/>
        </w:rPr>
        <w:t>。</w:t>
      </w:r>
    </w:p>
    <w:p>
      <w:pPr>
        <w:widowControl/>
        <w:tabs>
          <w:tab w:val="left" w:pos="840"/>
        </w:tabs>
        <w:spacing w:line="240" w:lineRule="auto"/>
        <w:jc w:val="center"/>
        <w:textAlignment w:val="center"/>
      </w:pPr>
      <w:r>
        <w:rPr>
          <w:szCs w:val="22"/>
        </w:rPr>
        <w:drawing>
          <wp:inline distT="0" distB="0" distL="0" distR="0">
            <wp:extent cx="5486400" cy="26409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5486400" cy="2640965"/>
                    </a:xfrm>
                    <a:prstGeom prst="rect">
                      <a:avLst/>
                    </a:prstGeom>
                    <a:noFill/>
                    <a:ln>
                      <a:noFill/>
                    </a:ln>
                  </pic:spPr>
                </pic:pic>
              </a:graphicData>
            </a:graphic>
          </wp:inline>
        </w:drawing>
      </w:r>
    </w:p>
    <w:p>
      <w:pPr>
        <w:pStyle w:val="114"/>
        <w:spacing w:before="120" w:after="120"/>
      </w:pPr>
      <w:r>
        <w:rPr>
          <w:rFonts w:hint="eastAsia"/>
        </w:rPr>
        <w:t>动态电流信号和动态电压信号的波形</w:t>
      </w:r>
    </w:p>
    <w:p>
      <w:pPr>
        <w:pStyle w:val="104"/>
        <w:spacing w:before="240" w:after="240"/>
      </w:pPr>
      <w:bookmarkStart w:id="91" w:name="_Toc136445057"/>
      <w:r>
        <w:rPr>
          <w:rFonts w:hint="eastAsia"/>
        </w:rPr>
        <w:t>动态测试电能参比信号同步要求</w:t>
      </w:r>
      <w:bookmarkEnd w:id="91"/>
    </w:p>
    <w:p>
      <w:pPr>
        <w:pStyle w:val="105"/>
        <w:spacing w:before="120" w:after="120"/>
      </w:pPr>
      <w:bookmarkStart w:id="92" w:name="_Toc136445058"/>
      <w:r>
        <w:rPr>
          <w:rFonts w:hint="eastAsia"/>
        </w:rPr>
        <w:t>通断周期的同步要求</w:t>
      </w:r>
      <w:bookmarkEnd w:id="92"/>
    </w:p>
    <w:p>
      <w:pPr>
        <w:tabs>
          <w:tab w:val="left" w:pos="3544"/>
          <w:tab w:val="left" w:pos="8364"/>
        </w:tabs>
        <w:autoSpaceDE w:val="0"/>
        <w:autoSpaceDN w:val="0"/>
        <w:snapToGrid w:val="0"/>
        <w:ind w:firstLine="420" w:firstLineChars="200"/>
        <w:rPr>
          <w:rFonts w:ascii="Times New Roman" w:hAnsi="Times New Roman"/>
          <w:color w:val="000000"/>
        </w:rPr>
      </w:pPr>
      <w:r>
        <w:rPr>
          <w:rFonts w:ascii="Times New Roman" w:hAnsi="Times New Roman"/>
          <w:color w:val="000000"/>
        </w:rPr>
        <w:t>动态测试电流参比信号的通断周期应</w:t>
      </w:r>
      <w:r>
        <w:rPr>
          <w:rFonts w:hint="eastAsia" w:ascii="Times New Roman" w:hAnsi="Times New Roman"/>
          <w:color w:val="000000"/>
        </w:rPr>
        <w:t>同时</w:t>
      </w:r>
      <w:r>
        <w:rPr>
          <w:rFonts w:ascii="Times New Roman" w:hAnsi="Times New Roman"/>
          <w:color w:val="000000"/>
        </w:rPr>
        <w:t>满足如下要求：</w:t>
      </w:r>
    </w:p>
    <w:p>
      <w:pPr>
        <w:pStyle w:val="174"/>
        <w:numPr>
          <w:ilvl w:val="0"/>
          <w:numId w:val="36"/>
        </w:numPr>
        <w:rPr>
          <w:rFonts w:ascii="Times New Roman"/>
        </w:rPr>
      </w:pPr>
      <w:r>
        <w:rPr>
          <w:rFonts w:ascii="Times New Roman"/>
        </w:rPr>
        <w:t>动态测试电流参比信号导通时间（t</w:t>
      </w:r>
      <w:r>
        <w:rPr>
          <w:rFonts w:ascii="Times New Roman"/>
          <w:vertAlign w:val="subscript"/>
        </w:rPr>
        <w:t>on</w:t>
      </w:r>
      <w:r>
        <w:rPr>
          <w:rFonts w:ascii="Times New Roman"/>
        </w:rPr>
        <w:t>）、或关断时间（t</w:t>
      </w:r>
      <w:r>
        <w:rPr>
          <w:rFonts w:ascii="Times New Roman"/>
          <w:vertAlign w:val="subscript"/>
        </w:rPr>
        <w:t>off</w:t>
      </w:r>
      <w:r>
        <w:rPr>
          <w:rFonts w:ascii="Times New Roman"/>
        </w:rPr>
        <w:t>）应为稳态电流信号周期的整数倍；</w:t>
      </w:r>
    </w:p>
    <w:p>
      <w:pPr>
        <w:pStyle w:val="174"/>
        <w:rPr>
          <w:rFonts w:ascii="Times New Roman"/>
        </w:rPr>
      </w:pPr>
      <w:r>
        <w:rPr>
          <w:rFonts w:ascii="Times New Roman"/>
        </w:rPr>
        <w:t>动态测试电流参比信号导通时间的起动时刻和结束时刻，关断时间的起始时刻和结束时刻，应与稳态电流信号的过零时刻同步，过零时刻同步偏差应小于0.5ms。</w:t>
      </w:r>
    </w:p>
    <w:p>
      <w:pPr>
        <w:pStyle w:val="105"/>
        <w:spacing w:before="120" w:after="120"/>
      </w:pPr>
      <w:bookmarkStart w:id="93" w:name="_Toc136445059"/>
      <w:r>
        <w:rPr>
          <w:rFonts w:hint="eastAsia"/>
        </w:rPr>
        <w:t>循环周期的同步要求</w:t>
      </w:r>
      <w:bookmarkEnd w:id="93"/>
    </w:p>
    <w:p>
      <w:pPr>
        <w:tabs>
          <w:tab w:val="left" w:pos="3544"/>
          <w:tab w:val="left" w:pos="8364"/>
        </w:tabs>
        <w:autoSpaceDE w:val="0"/>
        <w:autoSpaceDN w:val="0"/>
        <w:snapToGrid w:val="0"/>
        <w:ind w:firstLine="420" w:firstLineChars="200"/>
        <w:rPr>
          <w:color w:val="000000"/>
        </w:rPr>
      </w:pPr>
      <w:r>
        <w:rPr>
          <w:rFonts w:hint="eastAsia"/>
          <w:color w:val="000000"/>
        </w:rPr>
        <w:t>动态测试电流参比信号循环周期应同时满足如下要求：</w:t>
      </w:r>
    </w:p>
    <w:p>
      <w:pPr>
        <w:pStyle w:val="174"/>
        <w:numPr>
          <w:ilvl w:val="0"/>
          <w:numId w:val="37"/>
        </w:numPr>
        <w:rPr>
          <w:rFonts w:ascii="Times New Roman"/>
        </w:rPr>
      </w:pPr>
      <w:r>
        <w:rPr>
          <w:rFonts w:ascii="Times New Roman"/>
        </w:rPr>
        <w:t>测试中应采用闸门控制信号或者脉冲启停控制信号控制动态测试电流持续时间，对OOK开关键控调制测试信号，控制信号时间间隔</w:t>
      </w:r>
      <w:r>
        <w:rPr>
          <w:rFonts w:ascii="Times New Roman"/>
          <w:position w:val="-4"/>
        </w:rPr>
        <w:object>
          <v:shape id="_x0000_i1085" o:spt="75" type="#_x0000_t75" style="height:13pt;width:13.9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ascii="Times New Roman"/>
        </w:rPr>
        <w:t>为OOK动态电流信号循环周期（t</w:t>
      </w:r>
      <w:r>
        <w:rPr>
          <w:rFonts w:ascii="Times New Roman"/>
          <w:vertAlign w:val="subscript"/>
        </w:rPr>
        <w:t>on</w:t>
      </w:r>
      <w:r>
        <w:rPr>
          <w:rFonts w:ascii="Times New Roman"/>
        </w:rPr>
        <w:t>+t</w:t>
      </w:r>
      <w:r>
        <w:rPr>
          <w:rFonts w:ascii="Times New Roman"/>
          <w:vertAlign w:val="subscript"/>
        </w:rPr>
        <w:t>off</w:t>
      </w:r>
      <w:r>
        <w:rPr>
          <w:rFonts w:ascii="Times New Roman"/>
        </w:rPr>
        <w:t>）的整数倍，对m序列或CS序列调制测试信号，控制信号时间间隔</w:t>
      </w:r>
      <w:r>
        <w:rPr>
          <w:rFonts w:ascii="Times New Roman"/>
          <w:position w:val="-4"/>
        </w:rPr>
        <w:object>
          <v:shape id="_x0000_i1086" o:spt="75" type="#_x0000_t75" style="height:13pt;width:13.9pt;" o:ole="t" filled="f" o:preferrelative="t" stroked="f" coordsize="21600,21600">
            <v:path/>
            <v:fill on="f" focussize="0,0"/>
            <v:stroke on="f" joinstyle="miter"/>
            <v:imagedata r:id="rId139" o:title=""/>
            <o:lock v:ext="edit" aspectratio="t"/>
            <w10:wrap type="none"/>
            <w10:anchorlock/>
          </v:shape>
          <o:OLEObject Type="Embed" ProgID="Equation.DSMT4" ShapeID="_x0000_i1086" DrawAspect="Content" ObjectID="_1468075786" r:id="rId140">
            <o:LockedField>false</o:LockedField>
          </o:OLEObject>
        </w:object>
      </w:r>
      <w:r>
        <w:rPr>
          <w:rFonts w:ascii="Times New Roman"/>
        </w:rPr>
        <w:t>为该动态电流信号循环周期（t</w:t>
      </w:r>
      <w:r>
        <w:rPr>
          <w:rFonts w:ascii="Times New Roman"/>
          <w:vertAlign w:val="subscript"/>
        </w:rPr>
        <w:t>m</w:t>
      </w:r>
      <w:r>
        <w:rPr>
          <w:rFonts w:ascii="Times New Roman"/>
        </w:rPr>
        <w:t>或t</w:t>
      </w:r>
      <w:r>
        <w:rPr>
          <w:rFonts w:ascii="Times New Roman"/>
          <w:vertAlign w:val="subscript"/>
        </w:rPr>
        <w:t>cs</w:t>
      </w:r>
      <w:r>
        <w:rPr>
          <w:rFonts w:ascii="Times New Roman"/>
        </w:rPr>
        <w:t>）的整数倍，见图3的循环周期同步时序；</w:t>
      </w:r>
    </w:p>
    <w:p>
      <w:pPr>
        <w:pStyle w:val="174"/>
        <w:ind w:left="850" w:hanging="425"/>
        <w:textAlignment w:val="center"/>
        <w:rPr>
          <w:rFonts w:ascii="Times New Roman"/>
        </w:rPr>
      </w:pPr>
      <w:r>
        <w:rPr>
          <w:rFonts w:ascii="Times New Roman"/>
        </w:rPr>
        <w:t>动态测试电流参比信号的启动时刻与停止时刻应与测试控制信号的启动时刻</w:t>
      </w:r>
      <w:r>
        <w:rPr>
          <w:rFonts w:ascii="Times New Roman"/>
          <w:szCs w:val="21"/>
        </w:rPr>
        <w:object>
          <v:shape id="_x0000_i1087" o:spt="75" type="#_x0000_t75" style="height:15.15pt;width:7.85pt;" o:ole="t" filled="f" o:preferrelative="t" stroked="f" coordsize="21600,21600">
            <v:path/>
            <v:fill on="f" focussize="0,0"/>
            <v:stroke on="f" joinstyle="miter"/>
            <v:imagedata r:id="rId142" o:title=""/>
            <o:lock v:ext="edit" aspectratio="t"/>
            <w10:wrap type="none"/>
            <w10:anchorlock/>
          </v:shape>
          <o:OLEObject Type="Embed" ProgID="Equation.DSMT4" ShapeID="_x0000_i1087" DrawAspect="Content" ObjectID="_1468075787" r:id="rId141">
            <o:LockedField>false</o:LockedField>
          </o:OLEObject>
        </w:object>
      </w:r>
      <w:r>
        <w:rPr>
          <w:rFonts w:ascii="Times New Roman"/>
        </w:rPr>
        <w:t>与停止时刻</w:t>
      </w:r>
      <w:r>
        <w:rPr>
          <w:rFonts w:ascii="Times New Roman"/>
          <w:szCs w:val="21"/>
        </w:rPr>
        <w:object>
          <v:shape id="_x0000_i1088" o:spt="75" type="#_x0000_t75" style="height:15.15pt;width:9.7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8" r:id="rId143">
            <o:LockedField>false</o:LockedField>
          </o:OLEObject>
        </w:object>
      </w:r>
      <w:r>
        <w:rPr>
          <w:rFonts w:ascii="Times New Roman"/>
        </w:rPr>
        <w:t>同步，同步时间偏差小于5ms。</w:t>
      </w:r>
    </w:p>
    <w:p>
      <w:pPr>
        <w:spacing w:line="240" w:lineRule="auto"/>
        <w:jc w:val="center"/>
        <w:rPr>
          <w:sz w:val="28"/>
          <w:szCs w:val="28"/>
        </w:rPr>
      </w:pPr>
      <w:r>
        <w:drawing>
          <wp:inline distT="0" distB="0" distL="0" distR="0">
            <wp:extent cx="4747260" cy="40805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4752559" cy="4085058"/>
                    </a:xfrm>
                    <a:prstGeom prst="rect">
                      <a:avLst/>
                    </a:prstGeom>
                    <a:noFill/>
                    <a:ln>
                      <a:noFill/>
                    </a:ln>
                  </pic:spPr>
                </pic:pic>
              </a:graphicData>
            </a:graphic>
          </wp:inline>
        </w:drawing>
      </w:r>
    </w:p>
    <w:p>
      <w:pPr>
        <w:pStyle w:val="114"/>
        <w:spacing w:before="120" w:after="120"/>
      </w:pPr>
      <w:r>
        <w:rPr>
          <w:rFonts w:hint="eastAsia"/>
        </w:rPr>
        <w:t>动态电流测试信号的整数循环周期同步时序</w:t>
      </w:r>
    </w:p>
    <w:p>
      <w:pPr>
        <w:pStyle w:val="105"/>
        <w:spacing w:before="120" w:after="120"/>
      </w:pPr>
      <w:bookmarkStart w:id="94" w:name="_Toc136445060"/>
      <w:bookmarkStart w:id="95" w:name="_Toc133239634"/>
      <w:r>
        <w:rPr>
          <w:rFonts w:hint="eastAsia"/>
        </w:rPr>
        <w:t>循环重复的同步要求</w:t>
      </w:r>
      <w:bookmarkEnd w:id="94"/>
      <w:bookmarkEnd w:id="95"/>
    </w:p>
    <w:p>
      <w:pPr>
        <w:widowControl/>
        <w:tabs>
          <w:tab w:val="center" w:pos="4201"/>
          <w:tab w:val="right" w:leader="dot" w:pos="9298"/>
        </w:tabs>
        <w:autoSpaceDE w:val="0"/>
        <w:autoSpaceDN w:val="0"/>
        <w:adjustRightInd/>
        <w:spacing w:line="240" w:lineRule="auto"/>
        <w:ind w:firstLine="420" w:firstLineChars="200"/>
        <w:rPr>
          <w:rFonts w:ascii="Times New Roman" w:hAnsi="Times New Roman"/>
          <w:szCs w:val="20"/>
        </w:rPr>
      </w:pPr>
      <w:r>
        <w:rPr>
          <w:rFonts w:hint="eastAsia" w:ascii="Times New Roman" w:hAnsi="Times New Roman"/>
          <w:szCs w:val="20"/>
        </w:rPr>
        <w:t>电能表动态误差测试过程中，测试电压参比信号为稳态信号，</w:t>
      </w:r>
      <w:r>
        <w:rPr>
          <w:rFonts w:ascii="黑体" w:hAnsi="黑体" w:eastAsia="黑体"/>
          <w:kern w:val="0"/>
          <w:szCs w:val="20"/>
        </w:rPr>
        <w:tab/>
      </w:r>
      <w:r>
        <w:rPr>
          <w:rFonts w:hint="eastAsia" w:ascii="Times New Roman" w:hAnsi="Times New Roman"/>
          <w:szCs w:val="20"/>
        </w:rPr>
        <w:t>动态测试电流参比信号应采用</w:t>
      </w:r>
      <w:r>
        <w:rPr>
          <w:rFonts w:hint="eastAsia" w:ascii="Times New Roman" w:hAnsi="Times New Roman"/>
        </w:rPr>
        <w:t>动态测试电流参比信号归零循环模式</w:t>
      </w:r>
      <w:r>
        <w:rPr>
          <w:rFonts w:hint="eastAsia" w:ascii="Times New Roman" w:hAnsi="Times New Roman"/>
          <w:szCs w:val="20"/>
        </w:rPr>
        <w:t>：</w:t>
      </w:r>
    </w:p>
    <w:p>
      <w:pPr>
        <w:pStyle w:val="174"/>
        <w:numPr>
          <w:ilvl w:val="0"/>
          <w:numId w:val="38"/>
        </w:numPr>
        <w:ind w:left="850" w:hanging="425"/>
        <w:textAlignment w:val="center"/>
        <w:rPr>
          <w:rFonts w:ascii="Times New Roman"/>
        </w:rPr>
      </w:pPr>
      <w:bookmarkStart w:id="96" w:name="_Hlk135831544"/>
      <w:r>
        <w:rPr>
          <w:rFonts w:ascii="Times New Roman"/>
        </w:rPr>
        <w:t>在测试启动控制信号启动时刻</w:t>
      </w:r>
      <w:r>
        <w:rPr>
          <w:rFonts w:ascii="Times New Roman"/>
        </w:rPr>
        <w:object>
          <v:shape id="_x0000_i1089" o:spt="75" type="#_x0000_t75" style="height:15.15pt;width:7.85pt;" o:ole="t" filled="f" o:preferrelative="t" stroked="f" coordsize="21600,21600">
            <v:path/>
            <v:fill on="f" focussize="0,0"/>
            <v:stroke on="f" joinstyle="miter"/>
            <v:imagedata r:id="rId142" o:title=""/>
            <o:lock v:ext="edit" aspectratio="t"/>
            <w10:wrap type="none"/>
            <w10:anchorlock/>
          </v:shape>
          <o:OLEObject Type="Embed" ProgID="Equation.DSMT4" ShapeID="_x0000_i1089" DrawAspect="Content" ObjectID="_1468075789" r:id="rId146">
            <o:LockedField>false</o:LockedField>
          </o:OLEObject>
        </w:object>
      </w:r>
      <w:r>
        <w:rPr>
          <w:rFonts w:ascii="Times New Roman"/>
        </w:rPr>
        <w:t>之前，送入被试电能表的动态测试电流为0；在测试控制信号启动时刻</w:t>
      </w:r>
      <w:r>
        <w:rPr>
          <w:rFonts w:ascii="Times New Roman"/>
        </w:rPr>
        <w:object>
          <v:shape id="_x0000_i1090" o:spt="75" type="#_x0000_t75" style="height:15.15pt;width:24.2pt;" o:ole="t" filled="f" o:preferrelative="t" stroked="f" coordsize="21600,21600">
            <v:path/>
            <v:fill on="f" focussize="0,0"/>
            <v:stroke on="f" joinstyle="miter"/>
            <v:imagedata r:id="rId148" o:title=""/>
            <o:lock v:ext="edit" aspectratio="t"/>
            <w10:wrap type="none"/>
            <w10:anchorlock/>
          </v:shape>
          <o:OLEObject Type="Embed" ProgID="Equation.DSMT4" ShapeID="_x0000_i1090" DrawAspect="Content" ObjectID="_1468075790" r:id="rId147">
            <o:LockedField>false</o:LockedField>
          </o:OLEObject>
        </w:object>
      </w:r>
      <w:r>
        <w:rPr>
          <w:rFonts w:ascii="Times New Roman"/>
        </w:rPr>
        <w:t>开始，在时间间隔</w:t>
      </w:r>
      <w:r>
        <w:rPr>
          <w:rFonts w:ascii="Times New Roman"/>
        </w:rPr>
        <w:object>
          <v:shape id="_x0000_i1091" o:spt="75" type="#_x0000_t75" style="height:12.4pt;width:12.4pt;" o:ole="t" filled="f" o:preferrelative="t" stroked="f" coordsize="21600,21600">
            <v:path/>
            <v:fill on="f" focussize="0,0"/>
            <v:stroke on="f" joinstyle="miter"/>
            <v:imagedata r:id="rId150" o:title=""/>
            <o:lock v:ext="edit" aspectratio="t"/>
            <w10:wrap type="none"/>
            <w10:anchorlock/>
          </v:shape>
          <o:OLEObject Type="Embed" ProgID="Equation.DSMT4" ShapeID="_x0000_i1091" DrawAspect="Content" ObjectID="_1468075791" r:id="rId149">
            <o:LockedField>false</o:LockedField>
          </o:OLEObject>
        </w:object>
      </w:r>
      <w:r>
        <w:rPr>
          <w:rFonts w:ascii="Times New Roman"/>
        </w:rPr>
        <w:t>内，动态测试电流参比信号送入被试电能表，被试电能表开始累计测量动态电能；电流参比信号重复</w:t>
      </w:r>
      <w:r>
        <w:rPr>
          <w:rFonts w:ascii="Times New Roman"/>
        </w:rPr>
        <w:object>
          <v:shape id="_x0000_i1092" o:spt="75" type="#_x0000_t75" style="height:12.4pt;width:12.4pt;" o:ole="t" filled="f" o:preferrelative="t" stroked="f" coordsize="21600,21600">
            <v:path/>
            <v:fill on="f" focussize="0,0"/>
            <v:stroke on="f" joinstyle="miter"/>
            <v:imagedata r:id="rId152" o:title=""/>
            <o:lock v:ext="edit" aspectratio="t"/>
            <w10:wrap type="none"/>
            <w10:anchorlock/>
          </v:shape>
          <o:OLEObject Type="Embed" ProgID="Equation.DSMT4" ShapeID="_x0000_i1092" DrawAspect="Content" ObjectID="_1468075792" r:id="rId151">
            <o:LockedField>false</o:LockedField>
          </o:OLEObject>
        </w:object>
      </w:r>
      <w:r>
        <w:rPr>
          <w:rFonts w:ascii="Times New Roman"/>
        </w:rPr>
        <w:t>次循环；</w:t>
      </w:r>
    </w:p>
    <w:bookmarkEnd w:id="96"/>
    <w:p>
      <w:pPr>
        <w:pStyle w:val="174"/>
        <w:ind w:left="850" w:hanging="425"/>
        <w:textAlignment w:val="center"/>
        <w:rPr>
          <w:rFonts w:ascii="Times New Roman"/>
        </w:rPr>
      </w:pPr>
      <w:r>
        <w:rPr>
          <w:rFonts w:ascii="Times New Roman"/>
        </w:rPr>
        <w:t>在测试控制信号停止时刻</w:t>
      </w:r>
      <w:r>
        <w:rPr>
          <w:rFonts w:ascii="Times New Roman"/>
        </w:rPr>
        <w:object>
          <v:shape id="_x0000_i1093" o:spt="75" type="#_x0000_t75" style="height:15.15pt;width:9.7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53">
            <o:LockedField>false</o:LockedField>
          </o:OLEObject>
        </w:object>
      </w:r>
      <w:r>
        <w:rPr>
          <w:rFonts w:ascii="Times New Roman"/>
        </w:rPr>
        <w:t>之后，送入被试电能表的动态测试电流参比信号变为0，电流为0持续时间大于5s，动态测试电流参比信号停止送入被试电能表，完成电能表动态误差的1次测试，并在</w:t>
      </w:r>
      <w:r>
        <w:rPr>
          <w:rFonts w:ascii="Times New Roman"/>
        </w:rPr>
        <w:object>
          <v:shape id="_x0000_i1094" o:spt="75" type="#_x0000_t75" style="height:15.15pt;width:9.7pt;" o:ole="t" filled="f" o:preferrelative="t" stroked="f" coordsize="21600,21600">
            <v:path/>
            <v:fill on="f" focussize="0,0"/>
            <v:stroke on="f" joinstyle="miter"/>
            <v:imagedata r:id="rId155" o:title=""/>
            <o:lock v:ext="edit" aspectratio="t"/>
            <w10:wrap type="none"/>
            <w10:anchorlock/>
          </v:shape>
          <o:OLEObject Type="Embed" ProgID="Equation.DSMT4" ShapeID="_x0000_i1094" DrawAspect="Content" ObjectID="_1468075794" r:id="rId154">
            <o:LockedField>false</o:LockedField>
          </o:OLEObject>
        </w:object>
      </w:r>
      <w:r>
        <w:rPr>
          <w:rFonts w:ascii="Times New Roman"/>
        </w:rPr>
        <w:t>时刻之后循环重复。</w:t>
      </w:r>
    </w:p>
    <w:p>
      <w:pPr>
        <w:pStyle w:val="104"/>
        <w:spacing w:before="240" w:after="240"/>
      </w:pPr>
      <w:bookmarkStart w:id="97" w:name="_Toc100341548"/>
      <w:bookmarkStart w:id="98" w:name="_Toc13129143"/>
      <w:bookmarkStart w:id="99" w:name="_Toc133239635"/>
      <w:bookmarkStart w:id="100" w:name="_Toc136445061"/>
      <w:r>
        <w:rPr>
          <w:rFonts w:hint="eastAsia"/>
        </w:rPr>
        <w:t>电能表动态误差同步</w:t>
      </w:r>
      <w:r>
        <w:t>测试方法</w:t>
      </w:r>
      <w:bookmarkEnd w:id="97"/>
      <w:bookmarkEnd w:id="98"/>
      <w:bookmarkEnd w:id="99"/>
      <w:bookmarkEnd w:id="100"/>
    </w:p>
    <w:p>
      <w:pPr>
        <w:pStyle w:val="105"/>
        <w:spacing w:before="120" w:after="120"/>
      </w:pPr>
      <w:bookmarkStart w:id="101" w:name="_Toc13129144"/>
      <w:bookmarkStart w:id="102" w:name="_Toc133239636"/>
      <w:bookmarkStart w:id="103" w:name="_Toc136445062"/>
      <w:r>
        <w:rPr>
          <w:rFonts w:hint="eastAsia"/>
        </w:rPr>
        <w:t>电能表动态误差</w:t>
      </w:r>
      <w:r>
        <w:t>测试</w:t>
      </w:r>
      <w:bookmarkEnd w:id="101"/>
      <w:r>
        <w:rPr>
          <w:rFonts w:hint="eastAsia"/>
        </w:rPr>
        <w:t>系统描述</w:t>
      </w:r>
      <w:bookmarkEnd w:id="102"/>
      <w:bookmarkEnd w:id="103"/>
    </w:p>
    <w:p>
      <w:pPr>
        <w:pStyle w:val="65"/>
        <w:spacing w:before="120" w:after="120"/>
      </w:pPr>
      <w:bookmarkStart w:id="104" w:name="_Toc136445063"/>
      <w:bookmarkStart w:id="105" w:name="_Toc133239637"/>
      <w:r>
        <w:t>双电流回路</w:t>
      </w:r>
      <w:r>
        <w:rPr>
          <w:rFonts w:hint="eastAsia"/>
        </w:rPr>
        <w:t>电能表动态误差</w:t>
      </w:r>
      <w:r>
        <w:t>测试</w:t>
      </w:r>
      <w:r>
        <w:rPr>
          <w:rFonts w:hint="eastAsia"/>
        </w:rPr>
        <w:t>系统</w:t>
      </w:r>
      <w:bookmarkEnd w:id="104"/>
      <w:bookmarkEnd w:id="105"/>
    </w:p>
    <w:p>
      <w:pPr>
        <w:topLinePunct/>
        <w:adjustRightInd/>
        <w:spacing w:line="240" w:lineRule="auto"/>
        <w:ind w:firstLine="420" w:firstLineChars="200"/>
        <w:textAlignment w:val="baseline"/>
        <w:rPr>
          <w:rFonts w:ascii="Times New Roman" w:hAnsi="Times New Roman"/>
          <w:szCs w:val="24"/>
        </w:rPr>
      </w:pPr>
      <w:r>
        <w:rPr>
          <w:rFonts w:ascii="Times New Roman" w:hAnsi="Times New Roman"/>
          <w:bCs/>
          <w:color w:val="000000"/>
          <w:kern w:val="28"/>
          <w:szCs w:val="24"/>
        </w:rPr>
        <w:t>采用稳态功率源测试情况下，电能表动态误差测试应采用双电流回路电能表动态误差测试系统，见图4，该系统中功率源可</w:t>
      </w:r>
      <w:r>
        <w:rPr>
          <w:rFonts w:ascii="Times New Roman" w:hAnsi="Times New Roman"/>
          <w:szCs w:val="24"/>
        </w:rPr>
        <w:t>产生稳态的电压、电流信号，电能表动态误差</w:t>
      </w:r>
      <w:r>
        <w:rPr>
          <w:rFonts w:ascii="Times New Roman" w:hAnsi="Times New Roman"/>
          <w:color w:val="000000"/>
          <w:szCs w:val="24"/>
        </w:rPr>
        <w:t>测试装置可对稳态电流调制，产生</w:t>
      </w:r>
      <w:r>
        <w:rPr>
          <w:rFonts w:ascii="Times New Roman" w:hAnsi="Times New Roman"/>
          <w:szCs w:val="24"/>
        </w:rPr>
        <w:t>OOK矩形包络调幅、m伪随机序列调幅或CS伪随机序列调幅的动态测试电流参比信号；功率源与标准电能表之间构成“稳态电流回路”，标准电能表用于测试稳态功率条件下的电能；电能表动态误差</w:t>
      </w:r>
      <w:r>
        <w:rPr>
          <w:rFonts w:ascii="Times New Roman" w:hAnsi="Times New Roman"/>
          <w:color w:val="000000"/>
          <w:szCs w:val="24"/>
        </w:rPr>
        <w:t>测试装置与被测电能表构成“</w:t>
      </w:r>
      <w:r>
        <w:rPr>
          <w:rFonts w:ascii="Times New Roman" w:hAnsi="Times New Roman"/>
          <w:bCs/>
          <w:color w:val="000000"/>
          <w:kern w:val="28"/>
          <w:szCs w:val="24"/>
        </w:rPr>
        <w:t>动态电流回路</w:t>
      </w:r>
      <w:r>
        <w:rPr>
          <w:rFonts w:ascii="Times New Roman" w:hAnsi="Times New Roman"/>
          <w:color w:val="000000"/>
          <w:szCs w:val="24"/>
        </w:rPr>
        <w:t>”</w:t>
      </w:r>
      <w:r>
        <w:rPr>
          <w:rFonts w:ascii="Times New Roman" w:hAnsi="Times New Roman"/>
          <w:bCs/>
          <w:color w:val="000000"/>
          <w:kern w:val="28"/>
          <w:szCs w:val="24"/>
        </w:rPr>
        <w:t>，</w:t>
      </w:r>
      <w:r>
        <w:rPr>
          <w:rFonts w:ascii="Times New Roman" w:hAnsi="Times New Roman"/>
          <w:szCs w:val="24"/>
        </w:rPr>
        <w:t>电能表动态误差</w:t>
      </w:r>
      <w:r>
        <w:rPr>
          <w:rFonts w:ascii="Times New Roman" w:hAnsi="Times New Roman"/>
          <w:color w:val="000000"/>
          <w:szCs w:val="24"/>
        </w:rPr>
        <w:t>测试装置用于测试被测电能表动态误差。</w:t>
      </w:r>
      <w:r>
        <w:rPr>
          <w:rFonts w:ascii="Times New Roman" w:hAnsi="Times New Roman"/>
          <w:szCs w:val="24"/>
        </w:rPr>
        <w:t>在动态测试条件下，标准电能表与电能表动态误差测试装置的合成不确定度应优于被测电能表最大允许误差限值的1/3。</w:t>
      </w:r>
    </w:p>
    <w:p>
      <w:pPr>
        <w:adjustRightInd/>
        <w:spacing w:line="240" w:lineRule="auto"/>
        <w:jc w:val="center"/>
        <w:rPr>
          <w:rFonts w:ascii="Times New Roman" w:hAnsi="Times New Roman"/>
          <w:szCs w:val="24"/>
        </w:rPr>
      </w:pPr>
      <w:r>
        <w:rPr>
          <w:rFonts w:ascii="Times New Roman" w:hAnsi="Times New Roman"/>
          <w:szCs w:val="24"/>
        </w:rPr>
        <w:object>
          <v:shape id="_x0000_i1095" o:spt="75" type="#_x0000_t75" style="height:214.5pt;width:359.1pt;" o:ole="t" filled="f" o:preferrelative="t" stroked="f" coordsize="21600,21600">
            <v:path/>
            <v:fill on="f" focussize="0,0"/>
            <v:stroke on="f" joinstyle="miter"/>
            <v:imagedata r:id="rId157" grayscale="t" o:title=""/>
            <o:lock v:ext="edit" aspectratio="t"/>
            <w10:wrap type="none"/>
            <w10:anchorlock/>
          </v:shape>
          <o:OLEObject Type="Embed" ProgID="Visio.Drawing.11" ShapeID="_x0000_i1095" DrawAspect="Content" ObjectID="_1468075795" r:id="rId156">
            <o:LockedField>false</o:LockedField>
          </o:OLEObject>
        </w:object>
      </w:r>
    </w:p>
    <w:p>
      <w:pPr>
        <w:pStyle w:val="114"/>
        <w:spacing w:before="120" w:after="120"/>
      </w:pPr>
      <w:r>
        <w:t>双电流回路电能表动态误差测试系统</w:t>
      </w:r>
      <w:r>
        <w:rPr>
          <w:rFonts w:hint="eastAsia"/>
        </w:rPr>
        <w:t>的示例</w:t>
      </w:r>
    </w:p>
    <w:p>
      <w:pPr>
        <w:adjustRightInd/>
        <w:spacing w:line="240" w:lineRule="auto"/>
        <w:ind w:firstLine="420" w:firstLineChars="200"/>
        <w:rPr>
          <w:rFonts w:ascii="Times New Roman" w:hAnsi="Times New Roman"/>
          <w:szCs w:val="24"/>
        </w:rPr>
      </w:pPr>
      <w:r>
        <w:rPr>
          <w:rFonts w:ascii="Times New Roman" w:hAnsi="Times New Roman"/>
          <w:szCs w:val="24"/>
        </w:rPr>
        <w:t>稳态条件下的标准电能表准确度应优于被测电能表最大允许误差限值的1/3。电流关断时间和导通时间</w:t>
      </w:r>
      <w:r>
        <w:rPr>
          <w:rFonts w:hint="eastAsia" w:ascii="Times New Roman" w:hAnsi="Times New Roman"/>
          <w:szCs w:val="24"/>
        </w:rPr>
        <w:t>内</w:t>
      </w:r>
      <w:r>
        <w:rPr>
          <w:rFonts w:ascii="Times New Roman" w:hAnsi="Times New Roman"/>
          <w:szCs w:val="24"/>
        </w:rPr>
        <w:t>测试电流参比信号</w:t>
      </w:r>
      <w:r>
        <w:rPr>
          <w:rFonts w:hint="eastAsia" w:ascii="Times New Roman" w:hAnsi="Times New Roman"/>
          <w:szCs w:val="24"/>
        </w:rPr>
        <w:t>应满足6.</w:t>
      </w:r>
      <w:r>
        <w:rPr>
          <w:rFonts w:ascii="Times New Roman" w:hAnsi="Times New Roman"/>
          <w:szCs w:val="24"/>
        </w:rPr>
        <w:t>1</w:t>
      </w:r>
      <w:r>
        <w:rPr>
          <w:rFonts w:hint="eastAsia" w:ascii="Times New Roman" w:hAnsi="Times New Roman"/>
          <w:szCs w:val="24"/>
        </w:rPr>
        <w:t>与6.</w:t>
      </w:r>
      <w:r>
        <w:rPr>
          <w:rFonts w:ascii="Times New Roman" w:hAnsi="Times New Roman"/>
          <w:szCs w:val="24"/>
        </w:rPr>
        <w:t>2的同步</w:t>
      </w:r>
      <w:r>
        <w:rPr>
          <w:rFonts w:hint="eastAsia" w:ascii="Times New Roman" w:hAnsi="Times New Roman"/>
          <w:szCs w:val="24"/>
        </w:rPr>
        <w:t>要求</w:t>
      </w:r>
      <w:r>
        <w:rPr>
          <w:rFonts w:ascii="Times New Roman" w:hAnsi="Times New Roman"/>
          <w:szCs w:val="24"/>
        </w:rPr>
        <w:t>。</w:t>
      </w:r>
    </w:p>
    <w:p>
      <w:pPr>
        <w:pStyle w:val="65"/>
        <w:spacing w:before="120" w:after="120"/>
      </w:pPr>
      <w:bookmarkStart w:id="106" w:name="_Toc136445064"/>
      <w:bookmarkStart w:id="107" w:name="_Toc133239638"/>
      <w:r>
        <w:rPr>
          <w:rFonts w:hint="eastAsia"/>
        </w:rPr>
        <w:t>单</w:t>
      </w:r>
      <w:r>
        <w:t>电流回路</w:t>
      </w:r>
      <w:r>
        <w:rPr>
          <w:rFonts w:hint="eastAsia"/>
        </w:rPr>
        <w:t>电能表动态误差</w:t>
      </w:r>
      <w:r>
        <w:t>测试</w:t>
      </w:r>
      <w:r>
        <w:rPr>
          <w:rFonts w:hint="eastAsia"/>
        </w:rPr>
        <w:t>系统</w:t>
      </w:r>
      <w:bookmarkEnd w:id="106"/>
      <w:bookmarkEnd w:id="107"/>
    </w:p>
    <w:p>
      <w:pPr>
        <w:topLinePunct/>
        <w:adjustRightInd/>
        <w:spacing w:line="240" w:lineRule="auto"/>
        <w:ind w:firstLine="420" w:firstLineChars="200"/>
        <w:textAlignment w:val="baseline"/>
        <w:rPr>
          <w:rFonts w:ascii="Times New Roman" w:hAnsi="Times New Roman"/>
          <w:szCs w:val="24"/>
        </w:rPr>
      </w:pPr>
      <w:r>
        <w:rPr>
          <w:rFonts w:hint="eastAsia" w:ascii="Times New Roman" w:hAnsi="Times New Roman"/>
          <w:bCs/>
          <w:color w:val="000000"/>
          <w:kern w:val="28"/>
          <w:szCs w:val="24"/>
        </w:rPr>
        <w:t>采用动态功率源测试情况下，电能表动态误差测试应采用图</w:t>
      </w:r>
      <w:r>
        <w:rPr>
          <w:rFonts w:ascii="Times New Roman" w:hAnsi="Times New Roman"/>
          <w:bCs/>
          <w:color w:val="000000"/>
          <w:kern w:val="28"/>
          <w:szCs w:val="24"/>
        </w:rPr>
        <w:t>5</w:t>
      </w:r>
      <w:r>
        <w:rPr>
          <w:rFonts w:hint="eastAsia" w:ascii="Times New Roman" w:hAnsi="Times New Roman"/>
          <w:bCs/>
          <w:color w:val="000000"/>
          <w:kern w:val="28"/>
          <w:szCs w:val="24"/>
        </w:rPr>
        <w:t>单</w:t>
      </w:r>
      <w:r>
        <w:rPr>
          <w:rFonts w:ascii="Times New Roman" w:hAnsi="Times New Roman"/>
          <w:bCs/>
          <w:color w:val="000000"/>
          <w:kern w:val="28"/>
          <w:szCs w:val="24"/>
        </w:rPr>
        <w:t>电流回路</w:t>
      </w:r>
      <w:r>
        <w:rPr>
          <w:rFonts w:hint="eastAsia" w:ascii="Times New Roman" w:hAnsi="Times New Roman"/>
          <w:bCs/>
          <w:color w:val="000000"/>
          <w:kern w:val="28"/>
          <w:szCs w:val="24"/>
        </w:rPr>
        <w:t>电能表动态误差</w:t>
      </w:r>
      <w:r>
        <w:rPr>
          <w:rFonts w:ascii="Times New Roman" w:hAnsi="Times New Roman"/>
          <w:bCs/>
          <w:color w:val="000000"/>
          <w:kern w:val="28"/>
          <w:szCs w:val="24"/>
        </w:rPr>
        <w:t>测试</w:t>
      </w:r>
      <w:r>
        <w:rPr>
          <w:rFonts w:hint="eastAsia" w:ascii="Times New Roman" w:hAnsi="Times New Roman"/>
          <w:bCs/>
          <w:color w:val="000000"/>
          <w:kern w:val="28"/>
          <w:szCs w:val="24"/>
        </w:rPr>
        <w:t>系统，该系统中功率源</w:t>
      </w:r>
      <w:r>
        <w:rPr>
          <w:rFonts w:hint="eastAsia" w:ascii="Times New Roman" w:hAnsi="Times New Roman"/>
          <w:color w:val="000000"/>
          <w:szCs w:val="24"/>
        </w:rPr>
        <w:t>通过数字信号合成方法，</w:t>
      </w:r>
      <w:r>
        <w:rPr>
          <w:rFonts w:hint="eastAsia" w:ascii="Times New Roman" w:hAnsi="Times New Roman"/>
          <w:szCs w:val="24"/>
        </w:rPr>
        <w:t>产生稳态电压和动态电流信号</w:t>
      </w:r>
      <w:r>
        <w:rPr>
          <w:rFonts w:hint="eastAsia" w:ascii="Times New Roman" w:hAnsi="Times New Roman"/>
          <w:color w:val="000000"/>
          <w:szCs w:val="24"/>
        </w:rPr>
        <w:t>。动态功率源可产生</w:t>
      </w:r>
      <w:r>
        <w:rPr>
          <w:rFonts w:ascii="Times New Roman" w:hAnsi="Times New Roman"/>
          <w:szCs w:val="24"/>
        </w:rPr>
        <w:t>OOK矩形包络调幅、正弦包络调幅</w:t>
      </w:r>
      <w:r>
        <w:rPr>
          <w:rFonts w:hint="eastAsia" w:ascii="Times New Roman" w:hAnsi="Times New Roman"/>
          <w:szCs w:val="24"/>
        </w:rPr>
        <w:t>、</w:t>
      </w:r>
      <w:r>
        <w:rPr>
          <w:rFonts w:ascii="Times New Roman" w:hAnsi="Times New Roman"/>
          <w:szCs w:val="24"/>
        </w:rPr>
        <w:t>m</w:t>
      </w:r>
      <w:r>
        <w:rPr>
          <w:rFonts w:hint="eastAsia" w:ascii="Times New Roman" w:hAnsi="Times New Roman"/>
          <w:szCs w:val="24"/>
        </w:rPr>
        <w:t>伪随机</w:t>
      </w:r>
      <w:r>
        <w:rPr>
          <w:rFonts w:ascii="Times New Roman" w:hAnsi="Times New Roman"/>
          <w:szCs w:val="24"/>
        </w:rPr>
        <w:t>序列</w:t>
      </w:r>
      <w:r>
        <w:rPr>
          <w:rFonts w:hint="eastAsia" w:ascii="Times New Roman" w:hAnsi="Times New Roman"/>
          <w:szCs w:val="24"/>
        </w:rPr>
        <w:t>调幅或CS伪随机序列调幅</w:t>
      </w:r>
      <w:r>
        <w:rPr>
          <w:rFonts w:ascii="Times New Roman" w:hAnsi="Times New Roman"/>
          <w:szCs w:val="24"/>
        </w:rPr>
        <w:t>的动态测试电</w:t>
      </w:r>
      <w:r>
        <w:rPr>
          <w:rFonts w:hint="eastAsia" w:ascii="Times New Roman" w:hAnsi="Times New Roman"/>
          <w:szCs w:val="24"/>
        </w:rPr>
        <w:t>流</w:t>
      </w:r>
      <w:r>
        <w:rPr>
          <w:rFonts w:ascii="Times New Roman" w:hAnsi="Times New Roman"/>
          <w:szCs w:val="24"/>
        </w:rPr>
        <w:t>参比信号</w:t>
      </w:r>
      <w:r>
        <w:rPr>
          <w:rFonts w:hint="eastAsia" w:ascii="Times New Roman" w:hAnsi="Times New Roman"/>
          <w:szCs w:val="24"/>
        </w:rPr>
        <w:t>；功率源与标准电能表之间构成“动态电流回路”，标准电能表用于测试动态功率条件下的电能，在动态测试条件下，</w:t>
      </w:r>
      <w:r>
        <w:rPr>
          <w:rFonts w:ascii="Times New Roman" w:hAnsi="Times New Roman"/>
          <w:szCs w:val="24"/>
        </w:rPr>
        <w:t>标准电能表</w:t>
      </w:r>
      <w:r>
        <w:rPr>
          <w:rFonts w:hint="eastAsia" w:ascii="Times New Roman" w:hAnsi="Times New Roman"/>
          <w:szCs w:val="24"/>
        </w:rPr>
        <w:t>的不确定</w:t>
      </w:r>
      <w:r>
        <w:rPr>
          <w:rFonts w:ascii="Times New Roman" w:hAnsi="Times New Roman"/>
          <w:szCs w:val="24"/>
        </w:rPr>
        <w:t>度应</w:t>
      </w:r>
      <w:r>
        <w:rPr>
          <w:rFonts w:hint="eastAsia" w:ascii="Times New Roman" w:hAnsi="Times New Roman"/>
          <w:szCs w:val="24"/>
        </w:rPr>
        <w:t>优</w:t>
      </w:r>
      <w:r>
        <w:rPr>
          <w:rFonts w:ascii="Times New Roman" w:hAnsi="Times New Roman"/>
          <w:szCs w:val="24"/>
        </w:rPr>
        <w:t>于被测电能表最大允许误差限值的1/3。</w:t>
      </w:r>
    </w:p>
    <w:p>
      <w:pPr>
        <w:widowControl/>
        <w:tabs>
          <w:tab w:val="center" w:pos="4201"/>
          <w:tab w:val="right" w:leader="dot" w:pos="9298"/>
        </w:tabs>
        <w:autoSpaceDE w:val="0"/>
        <w:autoSpaceDN w:val="0"/>
        <w:adjustRightInd/>
        <w:spacing w:line="240" w:lineRule="auto"/>
        <w:jc w:val="center"/>
        <w:rPr>
          <w:rFonts w:ascii="Times New Roman" w:hAnsi="Times New Roman"/>
          <w:kern w:val="0"/>
          <w:szCs w:val="20"/>
        </w:rPr>
      </w:pPr>
      <w:r>
        <w:rPr>
          <w:rFonts w:ascii="Times New Roman" w:hAnsi="Times New Roman"/>
          <w:kern w:val="0"/>
          <w:szCs w:val="20"/>
        </w:rPr>
        <w:object>
          <v:shape id="_x0000_i1096" o:spt="75" type="#_x0000_t75" style="height:229.6pt;width:355.15pt;" o:ole="t" filled="f" o:preferrelative="t" stroked="f" coordsize="21600,21600">
            <v:path/>
            <v:fill on="f" focussize="0,0"/>
            <v:stroke on="f" joinstyle="miter"/>
            <v:imagedata r:id="rId159" grayscale="t" o:title=""/>
            <o:lock v:ext="edit" aspectratio="t"/>
            <w10:wrap type="none"/>
            <w10:anchorlock/>
          </v:shape>
          <o:OLEObject Type="Embed" ProgID="Visio.Drawing.11" ShapeID="_x0000_i1096" DrawAspect="Content" ObjectID="_1468075796" r:id="rId158">
            <o:LockedField>false</o:LockedField>
          </o:OLEObject>
        </w:object>
      </w:r>
    </w:p>
    <w:p>
      <w:pPr>
        <w:pStyle w:val="114"/>
        <w:spacing w:before="120" w:after="120"/>
      </w:pPr>
      <w:r>
        <w:t>单电流回路电能表动态误差测试系统</w:t>
      </w:r>
      <w:r>
        <w:rPr>
          <w:rFonts w:hint="eastAsia"/>
        </w:rPr>
        <w:t>示例</w:t>
      </w:r>
    </w:p>
    <w:p>
      <w:pPr>
        <w:pStyle w:val="105"/>
        <w:spacing w:before="120" w:after="120"/>
      </w:pPr>
      <w:bookmarkStart w:id="108" w:name="_Toc133239639"/>
      <w:bookmarkStart w:id="109" w:name="_Toc136445065"/>
      <w:r>
        <w:rPr>
          <w:rFonts w:hint="eastAsia"/>
        </w:rPr>
        <w:t>动态测试电能参比信号电能量值的测试</w:t>
      </w:r>
      <w:bookmarkEnd w:id="108"/>
      <w:r>
        <w:rPr>
          <w:rFonts w:hint="eastAsia"/>
        </w:rPr>
        <w:t>步骤</w:t>
      </w:r>
      <w:bookmarkEnd w:id="109"/>
    </w:p>
    <w:p>
      <w:pPr>
        <w:overflowPunct w:val="0"/>
        <w:adjustRightInd/>
        <w:spacing w:line="240" w:lineRule="auto"/>
        <w:ind w:firstLine="420" w:firstLineChars="200"/>
        <w:textAlignment w:val="center"/>
        <w:rPr>
          <w:rFonts w:ascii="Times New Roman" w:hAnsi="Times New Roman"/>
        </w:rPr>
      </w:pPr>
      <w:r>
        <w:rPr>
          <w:rFonts w:hint="eastAsia" w:ascii="Times New Roman" w:hAnsi="Times New Roman"/>
        </w:rPr>
        <w:t>在满足6章动态测试电能参比信号同步要求条件下，动态测试电能参比信号和被试表的电能量值应按以下步骤测试：</w:t>
      </w:r>
    </w:p>
    <w:p>
      <w:pPr>
        <w:pStyle w:val="174"/>
        <w:numPr>
          <w:ilvl w:val="0"/>
          <w:numId w:val="39"/>
        </w:numPr>
      </w:pPr>
      <w:r>
        <w:rPr>
          <w:rFonts w:hint="eastAsia"/>
        </w:rPr>
        <w:t>在测试控制信号时间间隔内，稳态电流信号和稳态电压信号连续不间断地送入标准电能量值测量单元；</w:t>
      </w:r>
    </w:p>
    <w:p>
      <w:pPr>
        <w:pStyle w:val="174"/>
        <w:ind w:left="850" w:hanging="425"/>
        <w:textAlignment w:val="center"/>
      </w:pPr>
      <w:r>
        <w:rPr>
          <w:rFonts w:hint="eastAsia"/>
        </w:rPr>
        <w:t>通过测试控制信号中启动控制信号，控制标准电能量值测量单元开始累计测量稳态测试信号的电能，通过测试控制信号中停止控制信号，控制标准电能量值测量单元结束一次累计测量稳态测试信号的电能量值，进而，测量得到测试时间</w:t>
      </w:r>
      <w:r>
        <w:object>
          <v:shape id="_x0000_i1097" o:spt="75" type="#_x0000_t75" style="height:10.6pt;width:13.3pt;" o:ole="t" filled="f" o:preferrelative="t" stroked="f" coordsize="21600,21600">
            <v:path/>
            <v:fill on="f" focussize="0,0"/>
            <v:stroke on="f" joinstyle="miter"/>
            <v:imagedata r:id="rId161" o:title=""/>
            <o:lock v:ext="edit" aspectratio="t"/>
            <w10:wrap type="none"/>
            <w10:anchorlock/>
          </v:shape>
          <o:OLEObject Type="Embed" ProgID="Equation.DSMT4" ShapeID="_x0000_i1097" DrawAspect="Content" ObjectID="_1468075797" r:id="rId160">
            <o:LockedField>false</o:LockedField>
          </o:OLEObject>
        </w:object>
      </w:r>
      <w:r>
        <w:rPr>
          <w:rFonts w:hint="eastAsia"/>
        </w:rPr>
        <w:t>内的稳态测试信号的电能量值</w:t>
      </w:r>
      <w:r>
        <w:object>
          <v:shape id="_x0000_i1098" o:spt="75" type="#_x0000_t75" style="height:15.15pt;width:13.3pt;" o:ole="t" filled="f" o:preferrelative="t" stroked="f" coordsize="21600,21600">
            <v:path/>
            <v:fill on="f" focussize="0,0"/>
            <v:stroke on="f" joinstyle="miter"/>
            <v:imagedata r:id="rId163" o:title=""/>
            <o:lock v:ext="edit" aspectratio="t"/>
            <w10:wrap type="none"/>
            <w10:anchorlock/>
          </v:shape>
          <o:OLEObject Type="Embed" ProgID="Equation.DSMT4" ShapeID="_x0000_i1098" DrawAspect="Content" ObjectID="_1468075798" r:id="rId162">
            <o:LockedField>false</o:LockedField>
          </o:OLEObject>
        </w:object>
      </w:r>
      <w:r>
        <w:rPr>
          <w:rFonts w:hint="eastAsia"/>
        </w:rPr>
        <w:t>；</w:t>
      </w:r>
    </w:p>
    <w:p>
      <w:pPr>
        <w:pStyle w:val="174"/>
        <w:ind w:left="850" w:hanging="425"/>
        <w:textAlignment w:val="center"/>
        <w:rPr>
          <w:rFonts w:ascii="Times New Roman"/>
        </w:rPr>
      </w:pPr>
      <w:r>
        <w:rPr>
          <w:rFonts w:hint="eastAsia"/>
        </w:rPr>
        <w:t>在测试控制信号启动时刻</w:t>
      </w:r>
      <w:r>
        <w:object>
          <v:shape id="_x0000_i1099" o:spt="75" type="#_x0000_t75" style="height:15.15pt;width:7.85pt;" o:ole="t" filled="f" o:preferrelative="t" stroked="f" coordsize="21600,21600">
            <v:path/>
            <v:fill on="f" focussize="0,0"/>
            <v:stroke on="f" joinstyle="miter"/>
            <v:imagedata r:id="rId142" o:title=""/>
            <o:lock v:ext="edit" aspectratio="t"/>
            <w10:wrap type="none"/>
            <w10:anchorlock/>
          </v:shape>
          <o:OLEObject Type="Embed" ProgID="Equation.DSMT4" ShapeID="_x0000_i1099" DrawAspect="Content" ObjectID="_1468075799" r:id="rId164">
            <o:LockedField>false</o:LockedField>
          </o:OLEObject>
        </w:object>
      </w:r>
      <w:r>
        <w:rPr>
          <w:rFonts w:hint="eastAsia"/>
        </w:rPr>
        <w:t>之前，送入被试电能表的动态测试电流为0，通过通讯接口读取电能表当前的电能数值</w:t>
      </w:r>
      <w:r>
        <w:object>
          <v:shape id="_x0000_i1100" o:spt="75" type="#_x0000_t75" style="height:15.15pt;width:16.65pt;" o:ole="t" filled="f" o:preferrelative="t" stroked="f" coordsize="21600,21600">
            <v:path/>
            <v:fill on="f" focussize="0,0"/>
            <v:stroke on="f" joinstyle="miter"/>
            <v:imagedata r:id="rId166" o:title=""/>
            <o:lock v:ext="edit" aspectratio="t"/>
            <w10:wrap type="none"/>
            <w10:anchorlock/>
          </v:shape>
          <o:OLEObject Type="Embed" ProgID="Equation.DSMT4" ShapeID="_x0000_i1100" DrawAspect="Content" ObjectID="_1468075800" r:id="rId165">
            <o:LockedField>false</o:LockedField>
          </o:OLEObject>
        </w:object>
      </w:r>
      <w:r>
        <w:rPr>
          <w:rFonts w:hint="eastAsia"/>
        </w:rPr>
        <w:t>；</w:t>
      </w:r>
    </w:p>
    <w:p>
      <w:pPr>
        <w:pStyle w:val="174"/>
        <w:ind w:left="850" w:hanging="425"/>
        <w:textAlignment w:val="center"/>
        <w:rPr>
          <w:rFonts w:ascii="Times New Roman"/>
        </w:rPr>
      </w:pPr>
      <w:r>
        <w:rPr>
          <w:rFonts w:hint="eastAsia"/>
        </w:rPr>
        <w:t>在测试控制信号启动时刻</w:t>
      </w:r>
      <w:r>
        <w:rPr>
          <w:rFonts w:ascii="Times New Roman"/>
        </w:rPr>
        <w:object>
          <v:shape id="_x0000_i1101" o:spt="75" type="#_x0000_t75" style="height:15.15pt;width:7.85pt;" o:ole="t" filled="f" o:preferrelative="t" stroked="f" coordsize="21600,21600">
            <v:path/>
            <v:fill on="f" focussize="0,0"/>
            <v:stroke on="f" joinstyle="miter"/>
            <v:imagedata r:id="rId168" o:title=""/>
            <o:lock v:ext="edit" aspectratio="t"/>
            <w10:wrap type="none"/>
            <w10:anchorlock/>
          </v:shape>
          <o:OLEObject Type="Embed" ProgID="Equation.DSMT4" ShapeID="_x0000_i1101" DrawAspect="Content" ObjectID="_1468075801" r:id="rId167">
            <o:LockedField>false</o:LockedField>
          </o:OLEObject>
        </w:object>
      </w:r>
      <w:r>
        <w:rPr>
          <w:rFonts w:hint="eastAsia"/>
        </w:rPr>
        <w:t>开始，动态测试电流参比信号送入被试电能表（可为一块或多块电能表），被试电能表开始累计测量</w:t>
      </w:r>
      <w:r>
        <w:rPr>
          <w:rFonts w:hint="eastAsia" w:ascii="Times New Roman"/>
        </w:rPr>
        <w:t>动态功率信号的</w:t>
      </w:r>
      <w:r>
        <w:rPr>
          <w:rFonts w:hint="eastAsia"/>
        </w:rPr>
        <w:t>电能；动态测试电流参比信号持续</w:t>
      </w:r>
      <w:r>
        <w:object>
          <v:shape id="_x0000_i1102" o:spt="75" type="#_x0000_t75" style="height:12.4pt;width:12.4pt;" o:ole="t" filled="f" o:preferrelative="t" stroked="f" coordsize="21600,21600">
            <v:path/>
            <v:fill on="f" focussize="0,0"/>
            <v:stroke on="f" joinstyle="miter"/>
            <v:imagedata r:id="rId150" o:title=""/>
            <o:lock v:ext="edit" aspectratio="t"/>
            <w10:wrap type="none"/>
            <w10:anchorlock/>
          </v:shape>
          <o:OLEObject Type="Embed" ProgID="Equation.DSMT4" ShapeID="_x0000_i1102" DrawAspect="Content" ObjectID="_1468075802" r:id="rId169">
            <o:LockedField>false</o:LockedField>
          </o:OLEObject>
        </w:object>
      </w:r>
      <w:r>
        <w:rPr>
          <w:rFonts w:hint="eastAsia"/>
        </w:rPr>
        <w:t>时间间隔，重复</w:t>
      </w:r>
      <w:r>
        <w:object>
          <v:shape id="_x0000_i1103" o:spt="75" type="#_x0000_t75" style="height:12.4pt;width:12.4pt;" o:ole="t" filled="f" o:preferrelative="t" stroked="f" coordsize="21600,21600">
            <v:path/>
            <v:fill on="f" focussize="0,0"/>
            <v:stroke on="f" joinstyle="miter"/>
            <v:imagedata r:id="rId152" o:title=""/>
            <o:lock v:ext="edit" aspectratio="t"/>
            <w10:wrap type="none"/>
            <w10:anchorlock/>
          </v:shape>
          <o:OLEObject Type="Embed" ProgID="Equation.DSMT4" ShapeID="_x0000_i1103" DrawAspect="Content" ObjectID="_1468075803" r:id="rId170">
            <o:LockedField>false</o:LockedField>
          </o:OLEObject>
        </w:object>
      </w:r>
      <w:r>
        <w:rPr>
          <w:rFonts w:hint="eastAsia"/>
        </w:rPr>
        <w:t>次循环，</w:t>
      </w:r>
      <w:r>
        <w:rPr>
          <w:rFonts w:hint="eastAsia" w:ascii="Times New Roman"/>
        </w:rPr>
        <w:t>直至</w:t>
      </w:r>
      <w:bookmarkStart w:id="110" w:name="_Hlk135832493"/>
      <w:r>
        <w:rPr>
          <w:rFonts w:hint="eastAsia" w:ascii="Times New Roman"/>
        </w:rPr>
        <w:t>测试控制信号停止时刻</w:t>
      </w:r>
      <w:r>
        <w:rPr>
          <w:rFonts w:ascii="Times New Roman"/>
        </w:rPr>
        <w:object>
          <v:shape id="_x0000_i1104" o:spt="75" type="#_x0000_t75" style="height:15.15pt;width:9.7pt;" o:ole="t" filled="f" o:preferrelative="t" stroked="f" coordsize="21600,21600">
            <v:path/>
            <v:fill on="f" focussize="0,0"/>
            <v:stroke on="f" joinstyle="miter"/>
            <v:imagedata r:id="rId172" o:title=""/>
            <o:lock v:ext="edit" aspectratio="t"/>
            <w10:wrap type="none"/>
            <w10:anchorlock/>
          </v:shape>
          <o:OLEObject Type="Embed" ProgID="Equation.DSMT4" ShapeID="_x0000_i1104" DrawAspect="Content" ObjectID="_1468075804" r:id="rId171">
            <o:LockedField>false</o:LockedField>
          </o:OLEObject>
        </w:object>
      </w:r>
      <w:bookmarkEnd w:id="110"/>
      <w:r>
        <w:rPr>
          <w:rFonts w:hint="eastAsia" w:ascii="Times New Roman"/>
        </w:rPr>
        <w:t>；</w:t>
      </w:r>
    </w:p>
    <w:p>
      <w:pPr>
        <w:pStyle w:val="174"/>
        <w:ind w:left="850" w:hanging="425"/>
        <w:textAlignment w:val="center"/>
      </w:pPr>
      <w:r>
        <w:rPr>
          <w:rFonts w:hint="eastAsia"/>
        </w:rPr>
        <w:t>在测试控制信号停止时刻</w:t>
      </w:r>
      <w:r>
        <w:object>
          <v:shape id="_x0000_i1105" o:spt="75" type="#_x0000_t75" style="height:15.15pt;width:9.7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5" r:id="rId173">
            <o:LockedField>false</o:LockedField>
          </o:OLEObject>
        </w:object>
      </w:r>
      <w:r>
        <w:rPr>
          <w:rFonts w:hint="eastAsia"/>
        </w:rPr>
        <w:t>，动态测试电流参比信号停止输出至被试电能表（变为0），被试电能表累计动态功率信号电能量值停止，通过通讯接口读取电能表累计后的电能数值</w:t>
      </w:r>
      <w:r>
        <w:object>
          <v:shape id="_x0000_i1106" o:spt="75" type="#_x0000_t75" style="height:15.15pt;width:16.65pt;" o:ole="t" filled="f" o:preferrelative="t" stroked="f" coordsize="21600,21600">
            <v:path/>
            <v:fill on="f" focussize="0,0"/>
            <v:stroke on="f" joinstyle="miter"/>
            <v:imagedata r:id="rId175" o:title=""/>
            <o:lock v:ext="edit" aspectratio="t"/>
            <w10:wrap type="none"/>
            <w10:anchorlock/>
          </v:shape>
          <o:OLEObject Type="Embed" ProgID="Equation.DSMT4" ShapeID="_x0000_i1106" DrawAspect="Content" ObjectID="_1468075806" r:id="rId174">
            <o:LockedField>false</o:LockedField>
          </o:OLEObject>
        </w:object>
      </w:r>
      <w:r>
        <w:rPr>
          <w:rFonts w:hint="eastAsia"/>
        </w:rPr>
        <w:t>；</w:t>
      </w:r>
    </w:p>
    <w:p>
      <w:pPr>
        <w:pStyle w:val="174"/>
        <w:ind w:left="850" w:hanging="425"/>
        <w:textAlignment w:val="center"/>
      </w:pPr>
      <w:r>
        <w:rPr>
          <w:rFonts w:hint="eastAsia"/>
        </w:rPr>
        <w:t>在测试控制信号时间间隔</w:t>
      </w:r>
      <w:r>
        <w:object>
          <v:shape id="_x0000_i1107" o:spt="75" type="#_x0000_t75" style="height:10.6pt;width:13.3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rFonts w:hint="eastAsia"/>
        </w:rPr>
        <w:t>，即：电能表每个动态误差的测试时间内，被试电能表测量得到一次动态测试电能参比信号的电能值</w:t>
      </w:r>
      <w:r>
        <w:object>
          <v:shape id="_x0000_i1108" o:spt="75" type="#_x0000_t75" style="height:15.15pt;width:15.15pt;" o:ole="t" filled="f" o:preferrelative="t" stroked="f" coordsize="21600,21600">
            <v:path/>
            <v:fill on="f" focussize="0,0"/>
            <v:stroke on="f" joinstyle="miter"/>
            <v:imagedata r:id="rId179" o:title=""/>
            <o:lock v:ext="edit" aspectratio="t"/>
            <w10:wrap type="none"/>
            <w10:anchorlock/>
          </v:shape>
          <o:OLEObject Type="Embed" ProgID="Equation.DSMT4" ShapeID="_x0000_i1108" DrawAspect="Content" ObjectID="_1468075808" r:id="rId178">
            <o:LockedField>false</o:LockedField>
          </o:OLEObject>
        </w:object>
      </w:r>
      <w:r>
        <w:rPr>
          <w:rFonts w:hint="eastAsia"/>
        </w:rPr>
        <w:t>；循环重复上述信号循环与测试过程，直至完成电能表动态误差的</w:t>
      </w:r>
      <w:r>
        <w:object>
          <v:shape id="_x0000_i1109" o:spt="75" type="#_x0000_t75" style="height:12.4pt;width:12.4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rFonts w:hint="eastAsia"/>
        </w:rPr>
        <w:t>次测试。</w:t>
      </w:r>
    </w:p>
    <w:p>
      <w:pPr>
        <w:pStyle w:val="105"/>
        <w:spacing w:before="120" w:after="120"/>
      </w:pPr>
      <w:bookmarkStart w:id="111" w:name="_Toc133239640"/>
      <w:bookmarkStart w:id="112" w:name="_Toc136445066"/>
      <w:r>
        <w:rPr>
          <w:rFonts w:hint="eastAsia"/>
        </w:rPr>
        <w:t>动态测试电能参比信号电能量值与</w:t>
      </w:r>
      <w:bookmarkStart w:id="113" w:name="_Hlk117927702"/>
      <w:r>
        <w:rPr>
          <w:rFonts w:hint="eastAsia"/>
        </w:rPr>
        <w:t>被测电能表的动态误差的计算</w:t>
      </w:r>
      <w:bookmarkEnd w:id="111"/>
      <w:bookmarkEnd w:id="112"/>
      <w:bookmarkEnd w:id="113"/>
    </w:p>
    <w:p>
      <w:pPr>
        <w:pStyle w:val="174"/>
        <w:numPr>
          <w:ilvl w:val="0"/>
          <w:numId w:val="40"/>
        </w:numPr>
      </w:pPr>
      <w:r>
        <w:rPr>
          <w:rFonts w:hint="eastAsia"/>
        </w:rPr>
        <w:t>动态测试电能参比信号的电能量值计算</w:t>
      </w:r>
    </w:p>
    <w:p>
      <w:pPr>
        <w:pStyle w:val="109"/>
        <w:textAlignment w:val="center"/>
        <w:rPr>
          <w:rFonts w:ascii="Times New Roman"/>
        </w:rPr>
      </w:pPr>
      <w:r>
        <w:rPr>
          <w:rFonts w:ascii="Times New Roman"/>
        </w:rPr>
        <w:t>在测试时间</w:t>
      </w:r>
      <w:r>
        <w:rPr>
          <w:rFonts w:ascii="Times New Roman"/>
        </w:rPr>
        <w:object>
          <v:shape id="_x0000_i1110" o:spt="75" type="#_x0000_t75" style="height:12.4pt;width:12.4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rFonts w:ascii="Times New Roman"/>
        </w:rPr>
        <w:t>内，对于每一种给定的调制信号波形及其参数，动态测试电能参比信号的电能量值</w:t>
      </w:r>
      <w:r>
        <w:rPr>
          <w:rFonts w:ascii="Times New Roman"/>
        </w:rPr>
        <w:object>
          <v:shape id="_x0000_i1111" o:spt="75" type="#_x0000_t75" style="height:15.15pt;width:16.65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rFonts w:ascii="Times New Roman"/>
        </w:rPr>
        <w:t>，应根据标准电能表累计测量得到的</w:t>
      </w:r>
      <w:r>
        <w:rPr>
          <w:rFonts w:ascii="Times New Roman"/>
          <w:highlight w:val="none"/>
        </w:rPr>
        <w:t>稳态功率信号</w:t>
      </w:r>
      <w:r>
        <w:rPr>
          <w:rFonts w:ascii="Times New Roman"/>
        </w:rPr>
        <w:t>电能量值</w:t>
      </w:r>
      <w:r>
        <w:rPr>
          <w:rFonts w:ascii="Times New Roman"/>
        </w:rPr>
        <w:object>
          <v:shape id="_x0000_i1112" o:spt="75" type="#_x0000_t75" style="height:15.15pt;width:13.3pt;" o:ole="t" filled="f" o:preferrelative="t" stroked="f" coordsize="21600,21600">
            <v:path/>
            <v:fill on="f" focussize="0,0"/>
            <v:stroke on="f" joinstyle="miter"/>
            <v:imagedata r:id="rId187" o:title=""/>
            <o:lock v:ext="edit" aspectratio="t"/>
            <w10:wrap type="none"/>
            <w10:anchorlock/>
          </v:shape>
          <o:OLEObject Type="Embed" ProgID="Equation.DSMT4" ShapeID="_x0000_i1112" DrawAspect="Content" ObjectID="_1468075812" r:id="rId186">
            <o:LockedField>false</o:LockedField>
          </o:OLEObject>
        </w:object>
      </w:r>
      <w:r>
        <w:rPr>
          <w:rFonts w:ascii="Times New Roman"/>
        </w:rPr>
        <w:t>，按照如下理论上的确定比例关系计算</w:t>
      </w:r>
      <w:r>
        <w:rPr>
          <w:rFonts w:hint="eastAsia" w:ascii="Times New Roman"/>
        </w:rPr>
        <w:t>。</w:t>
      </w:r>
    </w:p>
    <w:p>
      <w:pPr>
        <w:pStyle w:val="113"/>
      </w:pPr>
      <w:r>
        <w:tab/>
      </w:r>
      <w:r>
        <w:rPr>
          <w:rFonts w:ascii="Times New Roman" w:hAnsi="Times New Roman"/>
        </w:rPr>
        <w:object>
          <v:shape id="_x0000_i1113" o:spt="75" type="#_x0000_t75" style="height:15.15pt;width:55.05pt;" o:ole="t" filled="f" o:preferrelative="t" stroked="f" coordsize="21600,21600">
            <v:path/>
            <v:fill on="f" focussize="0,0"/>
            <v:stroke on="f" joinstyle="miter"/>
            <v:imagedata r:id="rId189" o:title=""/>
            <o:lock v:ext="edit" aspectratio="t"/>
            <w10:wrap type="none"/>
            <w10:anchorlock/>
          </v:shape>
          <o:OLEObject Type="Embed" ProgID="Equation.DSMT4" ShapeID="_x0000_i1113" DrawAspect="Content" ObjectID="_1468075813" r:id="rId188">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overflowPunct w:val="0"/>
        <w:adjustRightInd/>
        <w:spacing w:line="240" w:lineRule="auto"/>
        <w:ind w:firstLine="840" w:firstLineChars="400"/>
        <w:textAlignment w:val="center"/>
        <w:rPr>
          <w:rFonts w:hint="eastAsia" w:ascii="Times New Roman" w:hAnsi="Times New Roman"/>
        </w:rPr>
      </w:pPr>
      <w:r>
        <w:rPr>
          <w:rFonts w:ascii="Times New Roman" w:hAnsi="Times New Roman"/>
        </w:rPr>
        <w:t>式中</w:t>
      </w:r>
      <w:r>
        <w:rPr>
          <w:rFonts w:hint="eastAsia" w:ascii="Times New Roman" w:hAnsi="Times New Roman"/>
        </w:rPr>
        <w:t>，</w:t>
      </w:r>
      <w:r>
        <w:rPr>
          <w:rFonts w:ascii="Times New Roman" w:hAnsi="Times New Roman"/>
        </w:rPr>
        <w:object>
          <v:shape id="_x0000_i1114" o:spt="75" type="#_x0000_t75" style="height:13pt;width:13.9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4" r:id="rId190">
            <o:LockedField>false</o:LockedField>
          </o:OLEObject>
        </w:object>
      </w:r>
      <w:r>
        <w:rPr>
          <w:rFonts w:ascii="Times New Roman" w:hAnsi="Times New Roman"/>
        </w:rPr>
        <w:t>为比例系数，对于每一种动态电流测试信号和电压测试信号</w:t>
      </w:r>
      <w:r>
        <w:rPr>
          <w:rFonts w:ascii="Times New Roman" w:hAnsi="Times New Roman"/>
        </w:rPr>
        <w:object>
          <v:shape id="_x0000_i1115" o:spt="75" type="#_x0000_t75" style="height:13pt;width:13.9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5" r:id="rId192">
            <o:LockedField>false</o:LockedField>
          </o:OLEObject>
        </w:object>
      </w:r>
      <w:r>
        <w:rPr>
          <w:rFonts w:ascii="Times New Roman" w:hAnsi="Times New Roman"/>
        </w:rPr>
        <w:t>均为常数</w:t>
      </w:r>
      <w:r>
        <w:rPr>
          <w:rFonts w:hint="eastAsia" w:ascii="Times New Roman" w:hAnsi="Times New Roman"/>
        </w:rPr>
        <w:t>。</w:t>
      </w:r>
    </w:p>
    <w:p>
      <w:pPr>
        <w:pStyle w:val="109"/>
        <w:textAlignment w:val="center"/>
        <w:rPr>
          <w:rFonts w:ascii="Times New Roman"/>
        </w:rPr>
      </w:pPr>
      <w:r>
        <w:rPr>
          <w:rFonts w:ascii="Times New Roman"/>
        </w:rPr>
        <w:t>通过比例系数</w:t>
      </w:r>
      <w:r>
        <w:rPr>
          <w:rFonts w:ascii="Times New Roman"/>
        </w:rPr>
        <w:object>
          <v:shape id="_x0000_i1116" o:spt="75" type="#_x0000_t75" style="height:13pt;width:13.9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16" r:id="rId194">
            <o:LockedField>false</o:LockedField>
          </o:OLEObject>
        </w:object>
      </w:r>
      <w:r>
        <w:rPr>
          <w:rFonts w:ascii="Times New Roman"/>
        </w:rPr>
        <w:t>将动态测试电能参比信号的电能量值</w:t>
      </w:r>
      <w:r>
        <w:rPr>
          <w:rFonts w:ascii="Times New Roman"/>
        </w:rPr>
        <w:object>
          <v:shape id="_x0000_i1117" o:spt="75" type="#_x0000_t75" style="height:15.15pt;width:16.65pt;" o:ole="t" filled="f" o:preferrelative="t" stroked="f" coordsize="21600,21600">
            <v:path/>
            <v:fill on="f" focussize="0,0"/>
            <v:stroke on="f" joinstyle="miter"/>
            <v:imagedata r:id="rId196" o:title=""/>
            <o:lock v:ext="edit" aspectratio="t"/>
            <w10:wrap type="none"/>
            <w10:anchorlock/>
          </v:shape>
          <o:OLEObject Type="Embed" ProgID="Equation.DSMT4" ShapeID="_x0000_i1117" DrawAspect="Content" ObjectID="_1468075817" r:id="rId195">
            <o:LockedField>false</o:LockedField>
          </o:OLEObject>
        </w:object>
      </w:r>
      <w:r>
        <w:rPr>
          <w:rFonts w:ascii="Times New Roman"/>
        </w:rPr>
        <w:t>溯源至</w:t>
      </w:r>
      <w:bookmarkStart w:id="129" w:name="_GoBack"/>
      <w:r>
        <w:rPr>
          <w:rFonts w:ascii="Times New Roman"/>
          <w:color w:val="auto"/>
          <w:highlight w:val="none"/>
        </w:rPr>
        <w:t>稳态功率信号</w:t>
      </w:r>
      <w:bookmarkEnd w:id="129"/>
      <w:r>
        <w:rPr>
          <w:rFonts w:ascii="Times New Roman"/>
        </w:rPr>
        <w:t>的电能量值</w:t>
      </w:r>
      <w:r>
        <w:rPr>
          <w:rFonts w:ascii="Times New Roman"/>
        </w:rPr>
        <w:object>
          <v:shape id="_x0000_i1118" o:spt="75" type="#_x0000_t75" style="height:15.15pt;width:13.3pt;" o:ole="t" filled="f" o:preferrelative="t" stroked="f" coordsize="21600,21600">
            <v:path/>
            <v:fill on="f" focussize="0,0"/>
            <v:stroke on="f" joinstyle="miter"/>
            <v:imagedata r:id="rId198" o:title=""/>
            <o:lock v:ext="edit" aspectratio="t"/>
            <w10:wrap type="none"/>
            <w10:anchorlock/>
          </v:shape>
          <o:OLEObject Type="Embed" ProgID="Equation.DSMT4" ShapeID="_x0000_i1118" DrawAspect="Content" ObjectID="_1468075818" r:id="rId197">
            <o:LockedField>false</o:LockedField>
          </o:OLEObject>
        </w:object>
      </w:r>
      <w:r>
        <w:rPr>
          <w:rFonts w:hint="eastAsia" w:ascii="Times New Roman"/>
        </w:rPr>
        <w:t>。</w:t>
      </w:r>
    </w:p>
    <w:p>
      <w:pPr>
        <w:pStyle w:val="174"/>
        <w:textAlignment w:val="center"/>
        <w:rPr>
          <w:rFonts w:ascii="Times New Roman"/>
        </w:rPr>
      </w:pPr>
      <w:r>
        <w:rPr>
          <w:rFonts w:ascii="Times New Roman"/>
        </w:rPr>
        <w:t>被测电能表的动态电能值</w:t>
      </w:r>
      <w:r>
        <w:rPr>
          <w:rFonts w:ascii="Times New Roman"/>
        </w:rPr>
        <w:object>
          <v:shape id="_x0000_i1119" o:spt="75" type="#_x0000_t75" style="height:15.15pt;width:15.15pt;" o:ole="t" filled="f" o:preferrelative="t" stroked="f" coordsize="21600,21600">
            <v:path/>
            <v:fill on="f" focussize="0,0"/>
            <v:stroke on="f" joinstyle="miter"/>
            <v:imagedata r:id="rId200" o:title=""/>
            <o:lock v:ext="edit" aspectratio="t"/>
            <w10:wrap type="none"/>
            <w10:anchorlock/>
          </v:shape>
          <o:OLEObject Type="Embed" ProgID="Equation.DSMT4" ShapeID="_x0000_i1119" DrawAspect="Content" ObjectID="_1468075819" r:id="rId199">
            <o:LockedField>false</o:LockedField>
          </o:OLEObject>
        </w:object>
      </w:r>
      <w:r>
        <w:rPr>
          <w:rFonts w:ascii="Times New Roman"/>
        </w:rPr>
        <w:t>计算</w:t>
      </w:r>
    </w:p>
    <w:p>
      <w:pPr>
        <w:widowControl/>
        <w:tabs>
          <w:tab w:val="left" w:pos="1260"/>
        </w:tabs>
        <w:spacing w:line="240" w:lineRule="auto"/>
        <w:ind w:left="1259"/>
        <w:textAlignment w:val="center"/>
        <w:rPr>
          <w:rFonts w:hint="eastAsia" w:ascii="Times New Roman" w:hAnsi="Times New Roman"/>
          <w:kern w:val="0"/>
          <w:szCs w:val="20"/>
        </w:rPr>
      </w:pPr>
      <w:r>
        <w:rPr>
          <w:rFonts w:ascii="Times New Roman" w:hAnsi="Times New Roman"/>
          <w:kern w:val="0"/>
          <w:szCs w:val="20"/>
        </w:rPr>
        <w:t>在测试时间</w:t>
      </w:r>
      <w:r>
        <w:rPr>
          <w:rFonts w:ascii="Times New Roman" w:hAnsi="Times New Roman"/>
          <w:kern w:val="0"/>
          <w:szCs w:val="20"/>
        </w:rPr>
        <w:object>
          <v:shape id="_x0000_i1120" o:spt="75" type="#_x0000_t75" style="height:12.4pt;width:12.4pt;" o:ole="t" filled="f" o:preferrelative="t" stroked="f" coordsize="21600,21600">
            <v:path/>
            <v:fill on="f" focussize="0,0"/>
            <v:stroke on="f" joinstyle="miter"/>
            <v:imagedata r:id="rId202" o:title=""/>
            <o:lock v:ext="edit" aspectratio="t"/>
            <w10:wrap type="none"/>
            <w10:anchorlock/>
          </v:shape>
          <o:OLEObject Type="Embed" ProgID="Equation.DSMT4" ShapeID="_x0000_i1120" DrawAspect="Content" ObjectID="_1468075820" r:id="rId201">
            <o:LockedField>false</o:LockedField>
          </o:OLEObject>
        </w:object>
      </w:r>
      <w:r>
        <w:rPr>
          <w:rFonts w:ascii="Times New Roman" w:hAnsi="Times New Roman"/>
          <w:kern w:val="0"/>
          <w:szCs w:val="20"/>
        </w:rPr>
        <w:t>内被试电能表测量的</w:t>
      </w:r>
      <w:bookmarkStart w:id="114" w:name="_Hlk99697458"/>
      <w:r>
        <w:rPr>
          <w:rFonts w:ascii="Times New Roman" w:hAnsi="Times New Roman"/>
          <w:kern w:val="0"/>
          <w:szCs w:val="20"/>
        </w:rPr>
        <w:t>动态电能值</w:t>
      </w:r>
      <w:bookmarkEnd w:id="114"/>
      <w:r>
        <w:rPr>
          <w:rFonts w:ascii="Times New Roman" w:hAnsi="Times New Roman"/>
          <w:kern w:val="0"/>
          <w:szCs w:val="20"/>
        </w:rPr>
        <w:object>
          <v:shape id="_x0000_i1121" o:spt="75" type="#_x0000_t75" style="height:15.15pt;width:15.15pt;" o:ole="t" filled="f" o:preferrelative="t" stroked="f" coordsize="21600,21600">
            <v:path/>
            <v:fill on="f" focussize="0,0"/>
            <v:stroke on="f" joinstyle="miter"/>
            <v:imagedata r:id="rId204" o:title=""/>
            <o:lock v:ext="edit" aspectratio="t"/>
            <w10:wrap type="none"/>
            <w10:anchorlock/>
          </v:shape>
          <o:OLEObject Type="Embed" ProgID="Equation.DSMT4" ShapeID="_x0000_i1121" DrawAspect="Content" ObjectID="_1468075821" r:id="rId203">
            <o:LockedField>false</o:LockedField>
          </o:OLEObject>
        </w:object>
      </w:r>
      <w:r>
        <w:rPr>
          <w:rFonts w:ascii="Times New Roman" w:hAnsi="Times New Roman"/>
          <w:kern w:val="0"/>
          <w:szCs w:val="20"/>
        </w:rPr>
        <w:t>，由</w:t>
      </w:r>
      <w:r>
        <w:rPr>
          <w:rFonts w:ascii="Times New Roman" w:hAnsi="Times New Roman"/>
          <w:kern w:val="0"/>
          <w:szCs w:val="20"/>
        </w:rPr>
        <w:object>
          <v:shape id="_x0000_i1122" o:spt="75" type="#_x0000_t75" style="height:15.15pt;width:51.75pt;" o:ole="t" filled="f" o:preferrelative="t" stroked="f" coordsize="21600,21600">
            <v:path/>
            <v:fill on="f" focussize="0,0"/>
            <v:stroke on="f" joinstyle="miter"/>
            <v:imagedata r:id="rId206" o:title=""/>
            <o:lock v:ext="edit" aspectratio="t"/>
            <w10:wrap type="none"/>
            <w10:anchorlock/>
          </v:shape>
          <o:OLEObject Type="Embed" ProgID="Equation.DSMT4" ShapeID="_x0000_i1122" DrawAspect="Content" ObjectID="_1468075822" r:id="rId205">
            <o:LockedField>false</o:LockedField>
          </o:OLEObject>
        </w:object>
      </w:r>
      <w:r>
        <w:rPr>
          <w:rFonts w:ascii="Times New Roman" w:hAnsi="Times New Roman"/>
          <w:kern w:val="0"/>
          <w:szCs w:val="20"/>
        </w:rPr>
        <w:t>计算得出</w:t>
      </w:r>
      <w:r>
        <w:rPr>
          <w:rFonts w:hint="eastAsia" w:ascii="Times New Roman" w:hAnsi="Times New Roman"/>
          <w:kern w:val="0"/>
          <w:szCs w:val="20"/>
        </w:rPr>
        <w:t>。</w:t>
      </w:r>
    </w:p>
    <w:p>
      <w:pPr>
        <w:pStyle w:val="174"/>
        <w:textAlignment w:val="center"/>
        <w:rPr>
          <w:rFonts w:ascii="Times New Roman"/>
        </w:rPr>
      </w:pPr>
      <w:r>
        <w:rPr>
          <w:rFonts w:ascii="Times New Roman"/>
        </w:rPr>
        <w:t>被测电能表的动态误差</w:t>
      </w:r>
      <w:r>
        <w:rPr>
          <w:rFonts w:ascii="Times New Roman"/>
        </w:rPr>
        <w:object>
          <v:shape id="_x0000_i1123" o:spt="75" type="#_x0000_t75" style="height:11.8pt;width:8.15pt;" o:ole="t" filled="f" o:preferrelative="t" stroked="f" coordsize="21600,21600">
            <v:path/>
            <v:fill on="f" focussize="0,0"/>
            <v:stroke on="f" joinstyle="miter"/>
            <v:imagedata r:id="rId208" o:title=""/>
            <o:lock v:ext="edit" aspectratio="t"/>
            <w10:wrap type="none"/>
            <w10:anchorlock/>
          </v:shape>
          <o:OLEObject Type="Embed" ProgID="Equation.DSMT4" ShapeID="_x0000_i1123" DrawAspect="Content" ObjectID="_1468075823" r:id="rId207">
            <o:LockedField>false</o:LockedField>
          </o:OLEObject>
        </w:object>
      </w:r>
    </w:p>
    <w:p>
      <w:pPr>
        <w:widowControl/>
        <w:tabs>
          <w:tab w:val="left" w:pos="1260"/>
        </w:tabs>
        <w:spacing w:line="240" w:lineRule="auto"/>
        <w:ind w:left="1259"/>
        <w:textAlignment w:val="center"/>
        <w:rPr>
          <w:rFonts w:hint="eastAsia" w:ascii="Times New Roman" w:hAnsi="Times New Roman"/>
          <w:kern w:val="0"/>
          <w:szCs w:val="20"/>
        </w:rPr>
      </w:pPr>
      <w:r>
        <w:rPr>
          <w:rFonts w:ascii="Times New Roman" w:hAnsi="Times New Roman"/>
          <w:kern w:val="0"/>
          <w:szCs w:val="20"/>
        </w:rPr>
        <w:t>根据式(12)的比例关系，</w:t>
      </w:r>
      <w:bookmarkStart w:id="115" w:name="_Hlk99697714"/>
      <w:r>
        <w:rPr>
          <w:rFonts w:ascii="Times New Roman" w:hAnsi="Times New Roman"/>
          <w:kern w:val="0"/>
          <w:szCs w:val="20"/>
        </w:rPr>
        <w:t>被测电能表动态误差</w:t>
      </w:r>
      <w:r>
        <w:rPr>
          <w:rFonts w:ascii="Times New Roman" w:hAnsi="Times New Roman"/>
          <w:kern w:val="0"/>
          <w:szCs w:val="20"/>
        </w:rPr>
        <w:object>
          <v:shape id="_x0000_i1124" o:spt="75" type="#_x0000_t75" style="height:9.7pt;width:9.4pt;" o:ole="t" filled="f" o:preferrelative="t" stroked="f" coordsize="21600,21600">
            <v:path/>
            <v:fill on="f" focussize="0,0"/>
            <v:stroke on="f" joinstyle="miter"/>
            <v:imagedata r:id="rId210" o:title=""/>
            <o:lock v:ext="edit" aspectratio="t"/>
            <w10:wrap type="none"/>
            <w10:anchorlock/>
          </v:shape>
          <o:OLEObject Type="Embed" ProgID="Equation.DSMT4" ShapeID="_x0000_i1124" DrawAspect="Content" ObjectID="_1468075824" r:id="rId209">
            <o:LockedField>false</o:LockedField>
          </o:OLEObject>
        </w:object>
      </w:r>
      <w:r>
        <w:rPr>
          <w:rFonts w:ascii="Times New Roman" w:hAnsi="Times New Roman"/>
          <w:kern w:val="0"/>
          <w:szCs w:val="20"/>
        </w:rPr>
        <w:t>按式(13)计算</w:t>
      </w:r>
      <w:bookmarkEnd w:id="115"/>
      <w:r>
        <w:rPr>
          <w:rFonts w:hint="eastAsia" w:ascii="Times New Roman" w:hAnsi="Times New Roman"/>
          <w:kern w:val="0"/>
          <w:szCs w:val="20"/>
        </w:rPr>
        <w:t>。</w:t>
      </w:r>
    </w:p>
    <w:p>
      <w:pPr>
        <w:pStyle w:val="113"/>
      </w:pPr>
      <w:r>
        <w:tab/>
      </w:r>
      <w:r>
        <w:rPr>
          <w:rFonts w:ascii="Times New Roman" w:hAnsi="Times New Roman"/>
          <w:position w:val="-26"/>
          <w:szCs w:val="24"/>
        </w:rPr>
        <w:object>
          <v:shape id="_x0000_i1125" o:spt="75" type="#_x0000_t75" style="height:29.65pt;width:186.05pt;" o:ole="t" filled="f" o:preferrelative="t" stroked="f" coordsize="21600,21600">
            <v:path/>
            <v:fill on="f" focussize="0,0"/>
            <v:stroke on="f" joinstyle="miter"/>
            <v:imagedata r:id="rId212" o:title=""/>
            <o:lock v:ext="edit" aspectratio="t"/>
            <w10:wrap type="none"/>
            <w10:anchorlock/>
          </v:shape>
          <o:OLEObject Type="Embed" ProgID="Equation.DSMT4" ShapeID="_x0000_i1125" DrawAspect="Content" ObjectID="_1468075825" r:id="rId211">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105"/>
        <w:spacing w:before="120" w:after="120"/>
      </w:pPr>
      <w:bookmarkStart w:id="116" w:name="_Toc133239641"/>
      <w:bookmarkStart w:id="117" w:name="_Toc136445067"/>
      <w:r>
        <w:rPr>
          <w:rFonts w:hint="eastAsia"/>
        </w:rPr>
        <w:t>动态测试电能参比信号电能量值溯源的比例系数计算</w:t>
      </w:r>
      <w:bookmarkEnd w:id="116"/>
      <w:bookmarkEnd w:id="117"/>
    </w:p>
    <w:p>
      <w:pPr>
        <w:widowControl/>
        <w:tabs>
          <w:tab w:val="center" w:pos="4201"/>
          <w:tab w:val="right" w:leader="dot" w:pos="9298"/>
        </w:tabs>
        <w:autoSpaceDE w:val="0"/>
        <w:autoSpaceDN w:val="0"/>
        <w:adjustRightInd/>
        <w:spacing w:line="240" w:lineRule="auto"/>
        <w:ind w:firstLine="420" w:firstLineChars="200"/>
        <w:rPr>
          <w:rFonts w:hint="eastAsia" w:ascii="Times New Roman" w:hAnsi="Times New Roman"/>
        </w:rPr>
      </w:pPr>
      <w:r>
        <w:rPr>
          <w:rFonts w:ascii="Times New Roman" w:hAnsi="Times New Roman"/>
        </w:rPr>
        <w:t>动态测试电能参比信号的电能量值</w:t>
      </w:r>
      <w:r>
        <w:rPr>
          <w:rFonts w:ascii="Times New Roman" w:hAnsi="Times New Roman"/>
          <w:kern w:val="0"/>
          <w:position w:val="-10"/>
          <w:szCs w:val="20"/>
        </w:rPr>
        <w:object>
          <v:shape id="_x0000_i1126" o:spt="75" type="#_x0000_t75" style="height:15.15pt;width:16.65pt;" o:ole="t" filled="f" o:preferrelative="t" stroked="f" coordsize="21600,21600">
            <v:path/>
            <v:fill on="f" focussize="0,0"/>
            <v:stroke on="f" joinstyle="miter"/>
            <v:imagedata r:id="rId214" o:title=""/>
            <o:lock v:ext="edit" aspectratio="t"/>
            <w10:wrap type="none"/>
            <w10:anchorlock/>
          </v:shape>
          <o:OLEObject Type="Embed" ProgID="Equation.DSMT4" ShapeID="_x0000_i1126" DrawAspect="Content" ObjectID="_1468075826" r:id="rId213">
            <o:LockedField>false</o:LockedField>
          </o:OLEObject>
        </w:object>
      </w:r>
      <w:r>
        <w:rPr>
          <w:rFonts w:ascii="Times New Roman" w:hAnsi="Times New Roman"/>
        </w:rPr>
        <w:t>与稳态功率信号电能量值</w:t>
      </w:r>
      <w:r>
        <w:rPr>
          <w:rFonts w:ascii="Times New Roman" w:hAnsi="Times New Roman"/>
          <w:kern w:val="0"/>
          <w:position w:val="-10"/>
          <w:szCs w:val="20"/>
        </w:rPr>
        <w:object>
          <v:shape id="_x0000_i1127" o:spt="75" type="#_x0000_t75" style="height:15.15pt;width:13.3pt;" o:ole="t" filled="f" o:preferrelative="t" stroked="f" coordsize="21600,21600">
            <v:path/>
            <v:fill on="f" focussize="0,0"/>
            <v:stroke on="f" joinstyle="miter"/>
            <v:imagedata r:id="rId216" o:title=""/>
            <o:lock v:ext="edit" aspectratio="t"/>
            <w10:wrap type="none"/>
            <w10:anchorlock/>
          </v:shape>
          <o:OLEObject Type="Embed" ProgID="Equation.DSMT4" ShapeID="_x0000_i1127" DrawAspect="Content" ObjectID="_1468075827" r:id="rId215">
            <o:LockedField>false</o:LockedField>
          </o:OLEObject>
        </w:object>
      </w:r>
      <w:r>
        <w:rPr>
          <w:rFonts w:ascii="Times New Roman" w:hAnsi="Times New Roman"/>
        </w:rPr>
        <w:t>之间</w:t>
      </w:r>
      <w:r>
        <w:rPr>
          <w:rFonts w:ascii="Times New Roman" w:hAnsi="Times New Roman"/>
          <w:kern w:val="0"/>
        </w:rPr>
        <w:t>比例系数</w:t>
      </w:r>
      <w:r>
        <w:rPr>
          <w:rFonts w:ascii="Times New Roman" w:hAnsi="Times New Roman"/>
          <w:kern w:val="0"/>
          <w:position w:val="-4"/>
          <w:szCs w:val="20"/>
        </w:rPr>
        <w:object>
          <v:shape id="_x0000_i1128" o:spt="75" type="#_x0000_t75" style="height:13pt;width:13.9pt;" o:ole="t" filled="f" o:preferrelative="t" stroked="f" coordsize="21600,21600">
            <v:path/>
            <v:fill on="f" focussize="0,0"/>
            <v:stroke on="f" joinstyle="miter"/>
            <v:imagedata r:id="rId191" o:title=""/>
            <o:lock v:ext="edit" aspectratio="t"/>
            <w10:wrap type="none"/>
            <w10:anchorlock/>
          </v:shape>
          <o:OLEObject Type="Embed" ProgID="Equation.DSMT4" ShapeID="_x0000_i1128" DrawAspect="Content" ObjectID="_1468075828" r:id="rId217">
            <o:LockedField>false</o:LockedField>
          </o:OLEObject>
        </w:object>
      </w:r>
      <w:r>
        <w:rPr>
          <w:rFonts w:ascii="Times New Roman" w:hAnsi="Times New Roman"/>
        </w:rPr>
        <w:t>应根据如下公式计算</w:t>
      </w:r>
      <w:r>
        <w:rPr>
          <w:rFonts w:hint="eastAsia" w:ascii="Times New Roman" w:hAnsi="Times New Roman"/>
        </w:rPr>
        <w:t>。</w:t>
      </w:r>
    </w:p>
    <w:p>
      <w:pPr>
        <w:pStyle w:val="174"/>
        <w:numPr>
          <w:ilvl w:val="0"/>
          <w:numId w:val="41"/>
        </w:numPr>
        <w:rPr>
          <w:rFonts w:ascii="Times New Roman"/>
        </w:rPr>
      </w:pPr>
      <w:r>
        <w:rPr>
          <w:rFonts w:ascii="Times New Roman"/>
        </w:rPr>
        <w:t>在测试电压信号为稳态电压信号的条件下，OOK矩形幅度调制的动态测试电流参比信号，其比例系数</w:t>
      </w:r>
      <w:r>
        <w:rPr>
          <w:rFonts w:ascii="Times New Roman"/>
          <w:position w:val="-4"/>
          <w:szCs w:val="24"/>
        </w:rPr>
        <w:object>
          <v:shape id="_x0000_i1129" o:spt="75" type="#_x0000_t75" style="height:13pt;width:13.9pt;" o:ole="t" filled="f" o:preferrelative="t" stroked="f" coordsize="21600,21600">
            <v:path/>
            <v:fill on="f" focussize="0,0"/>
            <v:stroke on="f" joinstyle="miter"/>
            <v:imagedata r:id="rId191" o:title=""/>
            <o:lock v:ext="edit" aspectratio="t"/>
            <w10:wrap type="none"/>
            <w10:anchorlock/>
          </v:shape>
          <o:OLEObject Type="Embed" ProgID="Equation.DSMT4" ShapeID="_x0000_i1129" DrawAspect="Content" ObjectID="_1468075829" r:id="rId218">
            <o:LockedField>false</o:LockedField>
          </o:OLEObject>
        </w:object>
      </w:r>
      <w:r>
        <w:rPr>
          <w:rFonts w:ascii="Times New Roman"/>
        </w:rPr>
        <w:t>为</w:t>
      </w:r>
    </w:p>
    <w:p>
      <w:pPr>
        <w:pStyle w:val="113"/>
      </w:pPr>
      <w:r>
        <w:tab/>
      </w:r>
      <w:r>
        <w:rPr>
          <w:rFonts w:ascii="Times New Roman" w:hAnsi="Times New Roman"/>
        </w:rPr>
        <w:object>
          <v:shape id="_x0000_i1130" o:spt="75" type="#_x0000_t75" style="height:28.75pt;width:88.05pt;" o:ole="t" filled="f" o:preferrelative="t" stroked="f" coordsize="21600,21600">
            <v:path/>
            <v:fill on="f" focussize="0,0"/>
            <v:stroke on="f" joinstyle="miter"/>
            <v:imagedata r:id="rId220" o:title=""/>
            <o:lock v:ext="edit" aspectratio="t"/>
            <w10:wrap type="none"/>
            <w10:anchorlock/>
          </v:shape>
          <o:OLEObject Type="Embed" ProgID="Equation.DSMT4" ShapeID="_x0000_i1130" DrawAspect="Content" ObjectID="_1468075830" r:id="rId219">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hint="eastAsia" w:ascii="Times New Roman"/>
        </w:rPr>
      </w:pPr>
      <w:r>
        <w:rPr>
          <w:rFonts w:ascii="Times New Roman"/>
        </w:rPr>
        <w:t>式中</w:t>
      </w:r>
      <w:r>
        <w:rPr>
          <w:rFonts w:hint="eastAsia" w:ascii="Times New Roman"/>
        </w:rPr>
        <w:t>，</w:t>
      </w:r>
      <w:r>
        <w:rPr>
          <w:rFonts w:ascii="Times New Roman"/>
        </w:rPr>
        <w:object>
          <v:shape id="_x0000_i1131" o:spt="75" type="#_x0000_t75" style="height:15.15pt;width:15.15pt;" o:ole="t" filled="f" o:preferrelative="t" stroked="f" coordsize="21600,21600">
            <v:path/>
            <v:fill on="f" focussize="0,0"/>
            <v:stroke on="f" joinstyle="miter"/>
            <v:imagedata r:id="rId222" o:title=""/>
            <o:lock v:ext="edit" aspectratio="t"/>
            <w10:wrap type="none"/>
            <w10:anchorlock/>
          </v:shape>
          <o:OLEObject Type="Embed" ProgID="Equation.DSMT4" ShapeID="_x0000_i1131" DrawAspect="Content" ObjectID="_1468075831" r:id="rId221">
            <o:LockedField>false</o:LockedField>
          </o:OLEObject>
        </w:object>
      </w:r>
      <w:r>
        <w:rPr>
          <w:rFonts w:ascii="Times New Roman"/>
        </w:rPr>
        <w:t>为</w:t>
      </w:r>
      <w:r>
        <w:rPr>
          <w:rFonts w:ascii="Times New Roman"/>
          <w:color w:val="000000"/>
          <w:szCs w:val="24"/>
        </w:rPr>
        <w:t>动态测试电流参比信号导通时间（t</w:t>
      </w:r>
      <w:r>
        <w:rPr>
          <w:rFonts w:ascii="Times New Roman"/>
          <w:color w:val="000000"/>
          <w:szCs w:val="24"/>
          <w:vertAlign w:val="subscript"/>
        </w:rPr>
        <w:t>on</w:t>
      </w:r>
      <w:r>
        <w:rPr>
          <w:rFonts w:ascii="Times New Roman"/>
          <w:color w:val="000000"/>
          <w:szCs w:val="24"/>
        </w:rPr>
        <w:t>）内</w:t>
      </w:r>
      <w:r>
        <w:rPr>
          <w:rFonts w:ascii="Times New Roman"/>
        </w:rPr>
        <w:t>工频周期数，</w:t>
      </w:r>
      <w:r>
        <w:rPr>
          <w:rFonts w:ascii="Times New Roman"/>
        </w:rPr>
        <w:object>
          <v:shape id="_x0000_i1132" o:spt="75" type="#_x0000_t75" style="height:15.15pt;width:15.45pt;" o:ole="t" filled="f" o:preferrelative="t" stroked="f" coordsize="21600,21600">
            <v:path/>
            <v:fill on="f" focussize="0,0"/>
            <v:stroke on="f" joinstyle="miter"/>
            <v:imagedata r:id="rId224" o:title=""/>
            <o:lock v:ext="edit" aspectratio="t"/>
            <w10:wrap type="none"/>
            <w10:anchorlock/>
          </v:shape>
          <o:OLEObject Type="Embed" ProgID="Equation.DSMT4" ShapeID="_x0000_i1132" DrawAspect="Content" ObjectID="_1468075832" r:id="rId223">
            <o:LockedField>false</o:LockedField>
          </o:OLEObject>
        </w:object>
      </w:r>
      <w:r>
        <w:rPr>
          <w:rFonts w:ascii="Times New Roman"/>
        </w:rPr>
        <w:t>为</w:t>
      </w:r>
      <w:r>
        <w:rPr>
          <w:rFonts w:ascii="Times New Roman"/>
          <w:color w:val="000000"/>
          <w:szCs w:val="24"/>
        </w:rPr>
        <w:t>动态测试电流参比信号关断时间（t</w:t>
      </w:r>
      <w:r>
        <w:rPr>
          <w:rFonts w:ascii="Times New Roman"/>
          <w:color w:val="000000"/>
          <w:szCs w:val="24"/>
          <w:vertAlign w:val="subscript"/>
        </w:rPr>
        <w:t>off</w:t>
      </w:r>
      <w:r>
        <w:rPr>
          <w:rFonts w:ascii="Times New Roman"/>
          <w:color w:val="000000"/>
          <w:szCs w:val="24"/>
        </w:rPr>
        <w:t>）内工频周期数</w:t>
      </w:r>
      <w:r>
        <w:rPr>
          <w:rFonts w:hint="eastAsia" w:ascii="Times New Roman"/>
        </w:rPr>
        <w:t>。</w:t>
      </w:r>
    </w:p>
    <w:p>
      <w:pPr>
        <w:pStyle w:val="174"/>
        <w:ind w:left="850" w:hanging="425"/>
        <w:textAlignment w:val="center"/>
        <w:rPr>
          <w:rFonts w:ascii="Times New Roman"/>
        </w:rPr>
      </w:pPr>
      <w:r>
        <w:rPr>
          <w:rFonts w:ascii="Times New Roman"/>
        </w:rPr>
        <w:t>在测试电压信号为稳态电压信号的条件下，伪随机序列幅度调制（m序列或CS序列）的动态测试电流参比信号，其比例系数</w:t>
      </w:r>
      <w:r>
        <w:rPr>
          <w:rFonts w:ascii="Times New Roman"/>
        </w:rPr>
        <w:object>
          <v:shape id="_x0000_i1133" o:spt="75" type="#_x0000_t75" style="height:13pt;width:13.9pt;" o:ole="t" filled="f" o:preferrelative="t" stroked="f" coordsize="21600,21600">
            <v:path/>
            <v:fill on="f" focussize="0,0"/>
            <v:stroke on="f" joinstyle="miter"/>
            <v:imagedata r:id="rId191" o:title=""/>
            <o:lock v:ext="edit" aspectratio="t"/>
            <w10:wrap type="none"/>
            <w10:anchorlock/>
          </v:shape>
          <o:OLEObject Type="Embed" ProgID="Equation.DSMT4" ShapeID="_x0000_i1133" DrawAspect="Content" ObjectID="_1468075833" r:id="rId225">
            <o:LockedField>false</o:LockedField>
          </o:OLEObject>
        </w:object>
      </w:r>
      <w:r>
        <w:rPr>
          <w:rFonts w:ascii="Times New Roman"/>
        </w:rPr>
        <w:t>为</w:t>
      </w:r>
    </w:p>
    <w:p>
      <w:pPr>
        <w:pStyle w:val="113"/>
      </w:pPr>
      <w:r>
        <w:tab/>
      </w:r>
      <w:r>
        <w:rPr>
          <w:rFonts w:ascii="Times New Roman" w:hAnsi="Times New Roman"/>
        </w:rPr>
        <w:object>
          <v:shape id="_x0000_i1134" o:spt="75" type="#_x0000_t75" style="height:28.75pt;width:97.4pt;" o:ole="t" filled="f" o:preferrelative="t" stroked="f" coordsize="21600,21600">
            <v:path/>
            <v:fill on="f" focussize="0,0"/>
            <v:stroke on="f" joinstyle="miter"/>
            <v:imagedata r:id="rId227" o:title=""/>
            <o:lock v:ext="edit" aspectratio="t"/>
            <w10:wrap type="none"/>
            <w10:anchorlock/>
          </v:shape>
          <o:OLEObject Type="Embed" ProgID="Equation.DSMT4" ShapeID="_x0000_i1134" DrawAspect="Content" ObjectID="_1468075834" r:id="rId226">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hint="eastAsia" w:ascii="Times New Roman"/>
        </w:rPr>
      </w:pPr>
      <w:r>
        <w:rPr>
          <w:rFonts w:ascii="Times New Roman"/>
        </w:rPr>
        <w:t>式中</w:t>
      </w:r>
      <w:r>
        <w:rPr>
          <w:rFonts w:hint="eastAsia" w:ascii="Times New Roman"/>
        </w:rPr>
        <w:t>，</w:t>
      </w:r>
    </w:p>
    <w:p>
      <w:pPr>
        <w:pStyle w:val="56"/>
        <w:ind w:firstLine="420"/>
        <w:rPr>
          <w:rFonts w:ascii="Times New Roman"/>
        </w:rPr>
      </w:pPr>
      <w:r>
        <w:rPr>
          <w:rFonts w:ascii="Times New Roman"/>
        </w:rPr>
        <w:object>
          <v:shape id="_x0000_i1135" o:spt="75" type="#_x0000_t75" style="height:15.15pt;width:23pt;" o:ole="t" filled="f" o:preferrelative="t" stroked="f" coordsize="21600,21600">
            <v:path/>
            <v:fill on="f" focussize="0,0"/>
            <v:stroke on="f" joinstyle="miter"/>
            <v:imagedata r:id="rId229" o:title=""/>
            <o:lock v:ext="edit" aspectratio="t"/>
            <w10:wrap type="none"/>
            <w10:anchorlock/>
          </v:shape>
          <o:OLEObject Type="Embed" ProgID="Equation.DSMT4" ShapeID="_x0000_i1135" DrawAspect="Content" ObjectID="_1468075835" r:id="rId228">
            <o:LockedField>false</o:LockedField>
          </o:OLEObject>
        </w:object>
      </w:r>
      <w:r>
        <w:rPr>
          <w:rFonts w:ascii="Times New Roman"/>
        </w:rPr>
        <w:t>为在测试控制信号时间间隔</w:t>
      </w:r>
      <w:r>
        <w:rPr>
          <w:rFonts w:ascii="Times New Roman"/>
        </w:rPr>
        <w:object>
          <v:shape id="_x0000_i1136" o:spt="75" type="#_x0000_t75" style="height:12.4pt;width:12.4pt;" o:ole="t" filled="f" o:preferrelative="t" stroked="f" coordsize="21600,21600">
            <v:path/>
            <v:fill on="f" focussize="0,0"/>
            <v:stroke on="f" joinstyle="miter"/>
            <v:imagedata r:id="rId231" o:title=""/>
            <o:lock v:ext="edit" aspectratio="t"/>
            <w10:wrap type="none"/>
            <w10:anchorlock/>
          </v:shape>
          <o:OLEObject Type="Embed" ProgID="Equation.DSMT4" ShapeID="_x0000_i1136" DrawAspect="Content" ObjectID="_1468075836" r:id="rId230">
            <o:LockedField>false</o:LockedField>
          </o:OLEObject>
        </w:object>
      </w:r>
      <w:r>
        <w:rPr>
          <w:rFonts w:ascii="Times New Roman"/>
        </w:rPr>
        <w:t>内导通的工频周期数，</w:t>
      </w:r>
    </w:p>
    <w:p>
      <w:pPr>
        <w:pStyle w:val="56"/>
        <w:ind w:firstLine="420"/>
        <w:rPr>
          <w:rFonts w:hint="eastAsia" w:ascii="Times New Roman"/>
        </w:rPr>
      </w:pPr>
      <w:r>
        <w:rPr>
          <w:rFonts w:ascii="Times New Roman"/>
        </w:rPr>
        <w:object>
          <v:shape id="_x0000_i1137" o:spt="75" type="#_x0000_t75" style="height:15.15pt;width:23.9pt;" o:ole="t" filled="f" o:preferrelative="t" stroked="f" coordsize="21600,21600">
            <v:path/>
            <v:fill on="f" focussize="0,0"/>
            <v:stroke on="f" joinstyle="miter"/>
            <v:imagedata r:id="rId233" o:title=""/>
            <o:lock v:ext="edit" aspectratio="t"/>
            <w10:wrap type="none"/>
            <w10:anchorlock/>
          </v:shape>
          <o:OLEObject Type="Embed" ProgID="Equation.DSMT4" ShapeID="_x0000_i1137" DrawAspect="Content" ObjectID="_1468075837" r:id="rId232">
            <o:LockedField>false</o:LockedField>
          </o:OLEObject>
        </w:object>
      </w:r>
      <w:r>
        <w:rPr>
          <w:rFonts w:ascii="Times New Roman"/>
        </w:rPr>
        <w:t>为在测试控制信号时间间隔</w:t>
      </w:r>
      <w:r>
        <w:rPr>
          <w:rFonts w:ascii="Times New Roman"/>
        </w:rPr>
        <w:object>
          <v:shape id="_x0000_i1138" o:spt="75" type="#_x0000_t75" style="height:12.4pt;width:12.4pt;" o:ole="t" filled="f" o:preferrelative="t" stroked="f" coordsize="21600,21600">
            <v:path/>
            <v:fill on="f" focussize="0,0"/>
            <v:stroke on="f" joinstyle="miter"/>
            <v:imagedata r:id="rId235" o:title=""/>
            <o:lock v:ext="edit" aspectratio="t"/>
            <w10:wrap type="none"/>
            <w10:anchorlock/>
          </v:shape>
          <o:OLEObject Type="Embed" ProgID="Equation.DSMT4" ShapeID="_x0000_i1138" DrawAspect="Content" ObjectID="_1468075838" r:id="rId234">
            <o:LockedField>false</o:LockedField>
          </o:OLEObject>
        </w:object>
      </w:r>
      <w:r>
        <w:rPr>
          <w:rFonts w:ascii="Times New Roman"/>
        </w:rPr>
        <w:t>内关断的</w:t>
      </w:r>
      <w:r>
        <w:rPr>
          <w:rFonts w:ascii="Times New Roman"/>
          <w:color w:val="000000"/>
          <w:szCs w:val="24"/>
        </w:rPr>
        <w:t>工频</w:t>
      </w:r>
      <w:r>
        <w:rPr>
          <w:rFonts w:ascii="Times New Roman"/>
        </w:rPr>
        <w:t>周期数</w:t>
      </w:r>
      <w:r>
        <w:rPr>
          <w:rFonts w:hint="eastAsia" w:ascii="Times New Roman"/>
        </w:rPr>
        <w:t>。</w:t>
      </w:r>
    </w:p>
    <w:p>
      <w:pPr>
        <w:pStyle w:val="174"/>
        <w:ind w:left="850" w:hanging="425"/>
        <w:textAlignment w:val="center"/>
        <w:rPr>
          <w:rFonts w:ascii="Times New Roman"/>
        </w:rPr>
      </w:pPr>
      <w:r>
        <w:rPr>
          <w:rFonts w:ascii="Times New Roman"/>
        </w:rPr>
        <w:t>在测试电压信号为稳态电压信号的条件下，正弦幅度调制的动态测试电流参比信号</w:t>
      </w:r>
      <w:r>
        <w:rPr>
          <w:rFonts w:ascii="Times New Roman"/>
        </w:rPr>
        <w:object>
          <v:shape id="_x0000_i1139" o:spt="75" type="#_x0000_t75" style="height:26.9pt;width:190.9pt;" o:ole="t" filled="f" o:preferrelative="t" stroked="f" coordsize="21600,21600">
            <v:path/>
            <v:fill on="f" focussize="0,0"/>
            <v:stroke on="f" joinstyle="miter"/>
            <v:imagedata r:id="rId237" o:title=""/>
            <o:lock v:ext="edit" aspectratio="t"/>
            <w10:wrap type="none"/>
            <w10:anchorlock/>
          </v:shape>
          <o:OLEObject Type="Embed" ProgID="Equation.DSMT4" ShapeID="_x0000_i1139" DrawAspect="Content" ObjectID="_1468075839" r:id="rId236">
            <o:LockedField>false</o:LockedField>
          </o:OLEObject>
        </w:object>
      </w:r>
      <w:r>
        <w:rPr>
          <w:rFonts w:ascii="Times New Roman"/>
        </w:rPr>
        <w:t>，其比例系数</w:t>
      </w:r>
      <w:r>
        <w:rPr>
          <w:rFonts w:ascii="Times New Roman"/>
        </w:rPr>
        <w:object>
          <v:shape id="_x0000_i1140" o:spt="75" type="#_x0000_t75" style="height:13pt;width:13.9pt;" o:ole="t" filled="f" o:preferrelative="t" stroked="f" coordsize="21600,21600">
            <v:path/>
            <v:fill on="f" focussize="0,0"/>
            <v:stroke on="f" joinstyle="miter"/>
            <v:imagedata r:id="rId239" o:title=""/>
            <o:lock v:ext="edit" aspectratio="t"/>
            <w10:wrap type="none"/>
            <w10:anchorlock/>
          </v:shape>
          <o:OLEObject Type="Embed" ProgID="Equation.DSMT4" ShapeID="_x0000_i1140" DrawAspect="Content" ObjectID="_1468075840" r:id="rId238">
            <o:LockedField>false</o:LockedField>
          </o:OLEObject>
        </w:object>
      </w:r>
      <w:r>
        <w:rPr>
          <w:rFonts w:ascii="Times New Roman"/>
        </w:rPr>
        <w:t>为</w:t>
      </w:r>
    </w:p>
    <w:p>
      <w:pPr>
        <w:pStyle w:val="113"/>
      </w:pPr>
      <w:r>
        <w:tab/>
      </w:r>
      <w:r>
        <w:rPr>
          <w:rFonts w:ascii="Times New Roman" w:hAnsi="Times New Roman"/>
        </w:rPr>
        <w:object>
          <v:shape id="_x0000_i1141" o:spt="75" type="#_x0000_t75" style="height:25.4pt;width:54.75pt;" o:ole="t" filled="f" o:preferrelative="t" stroked="f" coordsize="21600,21600">
            <v:path/>
            <v:fill on="f" focussize="0,0"/>
            <v:stroke on="f" joinstyle="miter"/>
            <v:imagedata r:id="rId241" o:title=""/>
            <o:lock v:ext="edit" aspectratio="t"/>
            <w10:wrap type="none"/>
            <w10:anchorlock/>
          </v:shape>
          <o:OLEObject Type="Embed" ProgID="Equation.DSMT4" ShapeID="_x0000_i1141" DrawAspect="Content" ObjectID="_1468075841" r:id="rId240">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hint="eastAsia" w:ascii="Times New Roman"/>
        </w:rPr>
      </w:pPr>
      <w:r>
        <w:rPr>
          <w:rFonts w:ascii="Times New Roman"/>
        </w:rPr>
        <w:t>式中</w:t>
      </w:r>
      <w:r>
        <w:rPr>
          <w:rFonts w:hint="eastAsia" w:ascii="Times New Roman"/>
        </w:rPr>
        <w:t>，</w:t>
      </w:r>
    </w:p>
    <w:p>
      <w:pPr>
        <w:pStyle w:val="56"/>
        <w:ind w:firstLine="420"/>
        <w:rPr>
          <w:rFonts w:ascii="Times New Roman"/>
        </w:rPr>
      </w:pPr>
      <w:r>
        <w:rPr>
          <w:rFonts w:ascii="Times New Roman"/>
        </w:rPr>
        <w:object>
          <v:shape id="_x0000_i1142" o:spt="75" type="#_x0000_t75" style="height:10.6pt;width:10.6pt;" o:ole="t" filled="f" o:preferrelative="t" stroked="f" coordsize="21600,21600">
            <v:path/>
            <v:fill on="f" focussize="0,0"/>
            <v:stroke on="f" joinstyle="miter"/>
            <v:imagedata r:id="rId243" o:title=""/>
            <o:lock v:ext="edit" aspectratio="t"/>
            <w10:wrap type="none"/>
            <w10:anchorlock/>
          </v:shape>
          <o:OLEObject Type="Embed" ProgID="Equation.DSMT4" ShapeID="_x0000_i1142" DrawAspect="Content" ObjectID="_1468075842" r:id="rId242">
            <o:LockedField>false</o:LockedField>
          </o:OLEObject>
        </w:object>
      </w:r>
      <w:r>
        <w:rPr>
          <w:rFonts w:ascii="Times New Roman"/>
        </w:rPr>
        <w:t>为</w:t>
      </w:r>
      <w:r>
        <w:rPr>
          <w:rFonts w:ascii="Times New Roman"/>
          <w:color w:val="000000"/>
          <w:szCs w:val="24"/>
        </w:rPr>
        <w:t>调制</w:t>
      </w:r>
      <w:r>
        <w:rPr>
          <w:rFonts w:ascii="Times New Roman"/>
        </w:rPr>
        <w:t>信号的最大幅度，</w:t>
      </w:r>
    </w:p>
    <w:p>
      <w:pPr>
        <w:pStyle w:val="56"/>
        <w:ind w:firstLine="420"/>
        <w:rPr>
          <w:rFonts w:hint="eastAsia" w:ascii="Times New Roman"/>
        </w:rPr>
      </w:pPr>
      <w:r>
        <w:rPr>
          <w:rFonts w:ascii="Times New Roman"/>
        </w:rPr>
        <w:object>
          <v:shape id="_x0000_i1143" o:spt="75" type="#_x0000_t75" style="height:15.15pt;width:15.15pt;" o:ole="t" filled="f" o:preferrelative="t" stroked="f" coordsize="21600,21600">
            <v:path/>
            <v:fill on="f" focussize="0,0"/>
            <v:stroke on="f" joinstyle="miter"/>
            <v:imagedata r:id="rId245" o:title=""/>
            <o:lock v:ext="edit" aspectratio="t"/>
            <w10:wrap type="none"/>
            <w10:anchorlock/>
          </v:shape>
          <o:OLEObject Type="Embed" ProgID="Equation.DSMT4" ShapeID="_x0000_i1143" DrawAspect="Content" ObjectID="_1468075843" r:id="rId244">
            <o:LockedField>false</o:LockedField>
          </o:OLEObject>
        </w:object>
      </w:r>
      <w:r>
        <w:rPr>
          <w:rFonts w:ascii="Times New Roman"/>
        </w:rPr>
        <w:t>为正弦信号的调幅指数，</w:t>
      </w:r>
      <w:r>
        <w:rPr>
          <w:rFonts w:ascii="Times New Roman"/>
        </w:rPr>
        <w:object>
          <v:shape id="_x0000_i1144" o:spt="75" type="#_x0000_t75" style="height:15.15pt;width:43.8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hint="eastAsia" w:ascii="Times New Roman"/>
        </w:rPr>
        <w:t>，</w:t>
      </w:r>
    </w:p>
    <w:p>
      <w:pPr>
        <w:pStyle w:val="56"/>
        <w:ind w:firstLine="420"/>
        <w:rPr>
          <w:rFonts w:ascii="Times New Roman"/>
        </w:rPr>
      </w:pPr>
      <w:r>
        <w:rPr>
          <w:rFonts w:ascii="Times New Roman"/>
        </w:rPr>
        <w:object>
          <v:shape id="_x0000_i1145" o:spt="75" type="#_x0000_t75" style="height:15.15pt;width:13.9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r>
        <w:rPr>
          <w:rFonts w:ascii="Times New Roman"/>
        </w:rPr>
        <w:t>为正弦幅度信号的角频率，</w:t>
      </w:r>
    </w:p>
    <w:p>
      <w:pPr>
        <w:pStyle w:val="56"/>
        <w:ind w:firstLine="420"/>
        <w:rPr>
          <w:rFonts w:ascii="Times New Roman"/>
        </w:rPr>
      </w:pPr>
      <w:r>
        <w:rPr>
          <w:rFonts w:ascii="Times New Roman"/>
        </w:rPr>
        <w:object>
          <v:shape id="_x0000_i1146" o:spt="75" type="#_x0000_t75" style="height:15.15pt;width:13.3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ascii="Times New Roman"/>
        </w:rPr>
        <w:t>为被调制正弦信号的初始相位值。</w:t>
      </w:r>
    </w:p>
    <w:p>
      <w:pPr>
        <w:pStyle w:val="104"/>
        <w:spacing w:before="240" w:after="240"/>
      </w:pPr>
      <w:bookmarkStart w:id="118" w:name="_Toc100341549"/>
      <w:bookmarkStart w:id="119" w:name="_Toc133239642"/>
      <w:bookmarkStart w:id="120" w:name="_Toc136445068"/>
      <w:r>
        <w:rPr>
          <w:rFonts w:hint="eastAsia"/>
        </w:rPr>
        <w:t>动态误差测试的</w:t>
      </w:r>
      <w:r>
        <w:t>试验点</w:t>
      </w:r>
      <w:bookmarkEnd w:id="118"/>
      <w:bookmarkEnd w:id="119"/>
      <w:bookmarkEnd w:id="120"/>
    </w:p>
    <w:p>
      <w:pPr>
        <w:widowControl/>
        <w:tabs>
          <w:tab w:val="center" w:pos="4201"/>
          <w:tab w:val="right" w:leader="dot" w:pos="9298"/>
        </w:tabs>
        <w:autoSpaceDE w:val="0"/>
        <w:autoSpaceDN w:val="0"/>
        <w:ind w:left="420"/>
        <w:rPr>
          <w:rFonts w:ascii="宋体"/>
          <w:kern w:val="0"/>
          <w:szCs w:val="20"/>
        </w:rPr>
      </w:pPr>
      <w:r>
        <w:rPr>
          <w:rFonts w:hint="eastAsia" w:ascii="宋体"/>
          <w:kern w:val="0"/>
          <w:szCs w:val="20"/>
        </w:rPr>
        <w:t>电能表动态误差测试的试验点应符合表</w:t>
      </w:r>
      <w:r>
        <w:rPr>
          <w:rFonts w:ascii="宋体"/>
          <w:kern w:val="0"/>
          <w:szCs w:val="20"/>
        </w:rPr>
        <w:t>2</w:t>
      </w:r>
      <w:r>
        <w:rPr>
          <w:rFonts w:hint="eastAsia" w:ascii="宋体"/>
          <w:kern w:val="0"/>
          <w:szCs w:val="20"/>
        </w:rPr>
        <w:t>的规定。</w:t>
      </w:r>
    </w:p>
    <w:p>
      <w:pPr>
        <w:pStyle w:val="112"/>
        <w:spacing w:before="120" w:after="120"/>
      </w:pPr>
      <w:r>
        <w:t>试验负载点</w:t>
      </w:r>
    </w:p>
    <w:tbl>
      <w:tblPr>
        <w:tblStyle w:val="26"/>
        <w:tblW w:w="8952" w:type="dxa"/>
        <w:jc w:val="center"/>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709"/>
        <w:gridCol w:w="992"/>
        <w:gridCol w:w="1134"/>
        <w:gridCol w:w="970"/>
        <w:gridCol w:w="1701"/>
        <w:gridCol w:w="1462"/>
      </w:tblGrid>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92" w:type="dxa"/>
            <w:vMerge w:val="restart"/>
            <w:tcBorders>
              <w:top w:val="single" w:color="auto" w:sz="8" w:space="0"/>
              <w:left w:val="single" w:color="auto" w:sz="8" w:space="0"/>
              <w:bottom w:val="single" w:color="auto" w:sz="12" w:space="0"/>
            </w:tcBorders>
            <w:vAlign w:val="center"/>
          </w:tcPr>
          <w:p>
            <w:pPr>
              <w:widowControl/>
              <w:jc w:val="center"/>
              <w:rPr>
                <w:color w:val="000000"/>
                <w:kern w:val="0"/>
                <w:sz w:val="18"/>
                <w:szCs w:val="18"/>
              </w:rPr>
            </w:pPr>
            <w:bookmarkStart w:id="121" w:name="_Hlk118534734"/>
            <w:r>
              <w:rPr>
                <w:color w:val="000000"/>
                <w:kern w:val="0"/>
                <w:sz w:val="18"/>
                <w:szCs w:val="18"/>
              </w:rPr>
              <w:t>调制方式</w:t>
            </w:r>
          </w:p>
        </w:tc>
        <w:tc>
          <w:tcPr>
            <w:tcW w:w="992" w:type="dxa"/>
            <w:vMerge w:val="restart"/>
            <w:tcBorders>
              <w:top w:val="single" w:color="auto" w:sz="8" w:space="0"/>
            </w:tcBorders>
            <w:vAlign w:val="center"/>
          </w:tcPr>
          <w:p>
            <w:pPr>
              <w:jc w:val="center"/>
              <w:rPr>
                <w:color w:val="000000"/>
                <w:kern w:val="0"/>
                <w:sz w:val="18"/>
                <w:szCs w:val="18"/>
              </w:rPr>
            </w:pPr>
            <w:r>
              <w:rPr>
                <w:color w:val="000000"/>
                <w:kern w:val="0"/>
                <w:sz w:val="18"/>
                <w:szCs w:val="18"/>
              </w:rPr>
              <w:t>游程快速变化模态</w:t>
            </w:r>
          </w:p>
        </w:tc>
        <w:tc>
          <w:tcPr>
            <w:tcW w:w="709" w:type="dxa"/>
            <w:vMerge w:val="restart"/>
            <w:tcBorders>
              <w:top w:val="single" w:color="auto" w:sz="8" w:space="0"/>
            </w:tcBorders>
            <w:vAlign w:val="center"/>
          </w:tcPr>
          <w:p>
            <w:pPr>
              <w:widowControl/>
              <w:jc w:val="center"/>
              <w:rPr>
                <w:color w:val="000000"/>
                <w:kern w:val="0"/>
                <w:sz w:val="18"/>
                <w:szCs w:val="18"/>
              </w:rPr>
            </w:pPr>
            <w:r>
              <w:rPr>
                <w:color w:val="000000"/>
                <w:kern w:val="0"/>
                <w:sz w:val="18"/>
                <w:szCs w:val="18"/>
              </w:rPr>
              <w:t>功率因数</w:t>
            </w:r>
          </w:p>
        </w:tc>
        <w:tc>
          <w:tcPr>
            <w:tcW w:w="2126" w:type="dxa"/>
            <w:gridSpan w:val="2"/>
            <w:tcBorders>
              <w:top w:val="single" w:color="auto" w:sz="8" w:space="0"/>
            </w:tcBorders>
            <w:vAlign w:val="center"/>
          </w:tcPr>
          <w:p>
            <w:pPr>
              <w:widowControl/>
              <w:jc w:val="center"/>
              <w:rPr>
                <w:color w:val="000000"/>
                <w:kern w:val="0"/>
                <w:sz w:val="18"/>
                <w:szCs w:val="18"/>
              </w:rPr>
            </w:pPr>
            <w:r>
              <w:rPr>
                <w:color w:val="000000"/>
                <w:kern w:val="0"/>
                <w:sz w:val="18"/>
                <w:szCs w:val="18"/>
              </w:rPr>
              <w:t>被调制的负载电流</w:t>
            </w:r>
          </w:p>
        </w:tc>
        <w:tc>
          <w:tcPr>
            <w:tcW w:w="970" w:type="dxa"/>
            <w:vMerge w:val="restart"/>
            <w:tcBorders>
              <w:top w:val="single" w:color="auto" w:sz="8" w:space="0"/>
            </w:tcBorders>
            <w:vAlign w:val="center"/>
          </w:tcPr>
          <w:p>
            <w:pPr>
              <w:widowControl/>
              <w:jc w:val="center"/>
              <w:rPr>
                <w:color w:val="000000"/>
                <w:kern w:val="0"/>
                <w:sz w:val="18"/>
                <w:szCs w:val="18"/>
              </w:rPr>
            </w:pPr>
            <w:r>
              <w:rPr>
                <w:color w:val="000000"/>
                <w:kern w:val="0"/>
                <w:sz w:val="18"/>
                <w:szCs w:val="18"/>
              </w:rPr>
              <w:t>电流幅度的游程长度</w:t>
            </w:r>
          </w:p>
        </w:tc>
        <w:tc>
          <w:tcPr>
            <w:tcW w:w="1701" w:type="dxa"/>
            <w:vMerge w:val="restart"/>
            <w:tcBorders>
              <w:top w:val="single" w:color="auto" w:sz="8" w:space="0"/>
            </w:tcBorders>
            <w:vAlign w:val="center"/>
          </w:tcPr>
          <w:p>
            <w:pPr>
              <w:widowControl/>
              <w:jc w:val="center"/>
              <w:rPr>
                <w:color w:val="000000"/>
                <w:kern w:val="0"/>
                <w:sz w:val="18"/>
                <w:szCs w:val="18"/>
              </w:rPr>
            </w:pPr>
            <w:r>
              <w:rPr>
                <w:color w:val="000000"/>
                <w:kern w:val="0"/>
                <w:sz w:val="18"/>
                <w:szCs w:val="18"/>
              </w:rPr>
              <w:t>电流幅度的上升与下降游程长度之比</w:t>
            </w:r>
          </w:p>
        </w:tc>
        <w:tc>
          <w:tcPr>
            <w:tcW w:w="1462" w:type="dxa"/>
            <w:vMerge w:val="restart"/>
            <w:tcBorders>
              <w:top w:val="single" w:color="auto" w:sz="8" w:space="0"/>
              <w:bottom w:val="single" w:color="auto" w:sz="12" w:space="0"/>
              <w:right w:val="single" w:color="auto" w:sz="8" w:space="0"/>
            </w:tcBorders>
            <w:vAlign w:val="center"/>
          </w:tcPr>
          <w:p>
            <w:pPr>
              <w:jc w:val="center"/>
              <w:rPr>
                <w:color w:val="000000"/>
                <w:kern w:val="0"/>
                <w:sz w:val="18"/>
                <w:szCs w:val="18"/>
              </w:rPr>
            </w:pPr>
            <w:r>
              <w:rPr>
                <w:color w:val="000000"/>
                <w:kern w:val="0"/>
                <w:sz w:val="18"/>
                <w:szCs w:val="18"/>
              </w:rPr>
              <w:t>循环周期个数/最小</w:t>
            </w:r>
            <w:r>
              <w:rPr>
                <w:rFonts w:hint="eastAsia"/>
                <w:color w:val="000000"/>
                <w:kern w:val="0"/>
                <w:sz w:val="18"/>
                <w:szCs w:val="18"/>
              </w:rPr>
              <w:t>测试</w:t>
            </w:r>
            <w:r>
              <w:rPr>
                <w:color w:val="000000"/>
                <w:kern w:val="0"/>
                <w:sz w:val="18"/>
                <w:szCs w:val="18"/>
              </w:rPr>
              <w:t>时间</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92" w:type="dxa"/>
            <w:vMerge w:val="continue"/>
            <w:tcBorders>
              <w:top w:val="single" w:color="auto" w:sz="4" w:space="0"/>
              <w:left w:val="single" w:color="auto" w:sz="8" w:space="0"/>
              <w:bottom w:val="single" w:color="auto" w:sz="8" w:space="0"/>
            </w:tcBorders>
            <w:vAlign w:val="center"/>
          </w:tcPr>
          <w:p>
            <w:pPr>
              <w:widowControl/>
              <w:jc w:val="center"/>
              <w:rPr>
                <w:color w:val="000000"/>
                <w:kern w:val="0"/>
                <w:sz w:val="18"/>
                <w:szCs w:val="18"/>
              </w:rPr>
            </w:pPr>
          </w:p>
        </w:tc>
        <w:tc>
          <w:tcPr>
            <w:tcW w:w="992" w:type="dxa"/>
            <w:vMerge w:val="continue"/>
            <w:tcBorders>
              <w:bottom w:val="single" w:color="auto" w:sz="8" w:space="0"/>
            </w:tcBorders>
            <w:vAlign w:val="center"/>
          </w:tcPr>
          <w:p>
            <w:pPr>
              <w:jc w:val="center"/>
              <w:rPr>
                <w:color w:val="000000"/>
                <w:kern w:val="0"/>
                <w:sz w:val="18"/>
                <w:szCs w:val="18"/>
              </w:rPr>
            </w:pPr>
          </w:p>
        </w:tc>
        <w:tc>
          <w:tcPr>
            <w:tcW w:w="709" w:type="dxa"/>
            <w:vMerge w:val="continue"/>
            <w:tcBorders>
              <w:bottom w:val="single" w:color="auto" w:sz="8" w:space="0"/>
            </w:tcBorders>
            <w:vAlign w:val="center"/>
          </w:tcPr>
          <w:p>
            <w:pPr>
              <w:widowControl/>
              <w:jc w:val="center"/>
              <w:rPr>
                <w:color w:val="000000"/>
                <w:kern w:val="0"/>
                <w:sz w:val="18"/>
                <w:szCs w:val="18"/>
              </w:rPr>
            </w:pPr>
          </w:p>
        </w:tc>
        <w:tc>
          <w:tcPr>
            <w:tcW w:w="992" w:type="dxa"/>
            <w:tcBorders>
              <w:bottom w:val="single" w:color="auto" w:sz="8" w:space="0"/>
            </w:tcBorders>
            <w:vAlign w:val="center"/>
          </w:tcPr>
          <w:p>
            <w:pPr>
              <w:widowControl/>
              <w:jc w:val="center"/>
              <w:rPr>
                <w:color w:val="000000"/>
                <w:kern w:val="0"/>
                <w:sz w:val="18"/>
                <w:szCs w:val="18"/>
              </w:rPr>
            </w:pPr>
            <w:r>
              <w:rPr>
                <w:color w:val="000000"/>
                <w:sz w:val="18"/>
                <w:szCs w:val="18"/>
              </w:rPr>
              <w:t>直接接入电能表</w:t>
            </w:r>
          </w:p>
        </w:tc>
        <w:tc>
          <w:tcPr>
            <w:tcW w:w="1134" w:type="dxa"/>
            <w:tcBorders>
              <w:bottom w:val="single" w:color="auto" w:sz="8" w:space="0"/>
            </w:tcBorders>
            <w:vAlign w:val="center"/>
          </w:tcPr>
          <w:p>
            <w:pPr>
              <w:widowControl/>
              <w:jc w:val="center"/>
              <w:rPr>
                <w:color w:val="000000"/>
                <w:kern w:val="0"/>
                <w:sz w:val="18"/>
                <w:szCs w:val="18"/>
              </w:rPr>
            </w:pPr>
            <w:r>
              <w:rPr>
                <w:color w:val="000000"/>
                <w:sz w:val="18"/>
                <w:szCs w:val="18"/>
              </w:rPr>
              <w:t>经互感器接入电能表</w:t>
            </w:r>
          </w:p>
        </w:tc>
        <w:tc>
          <w:tcPr>
            <w:tcW w:w="970" w:type="dxa"/>
            <w:vMerge w:val="continue"/>
            <w:tcBorders>
              <w:bottom w:val="single" w:color="auto" w:sz="8" w:space="0"/>
            </w:tcBorders>
            <w:vAlign w:val="center"/>
          </w:tcPr>
          <w:p>
            <w:pPr>
              <w:widowControl/>
              <w:jc w:val="center"/>
              <w:rPr>
                <w:color w:val="000000"/>
                <w:kern w:val="0"/>
                <w:sz w:val="18"/>
                <w:szCs w:val="18"/>
              </w:rPr>
            </w:pPr>
          </w:p>
        </w:tc>
        <w:tc>
          <w:tcPr>
            <w:tcW w:w="1701" w:type="dxa"/>
            <w:vMerge w:val="continue"/>
            <w:tcBorders>
              <w:bottom w:val="single" w:color="auto" w:sz="8" w:space="0"/>
            </w:tcBorders>
            <w:vAlign w:val="center"/>
          </w:tcPr>
          <w:p>
            <w:pPr>
              <w:widowControl/>
              <w:jc w:val="center"/>
              <w:rPr>
                <w:color w:val="000000"/>
                <w:kern w:val="0"/>
                <w:sz w:val="18"/>
                <w:szCs w:val="18"/>
              </w:rPr>
            </w:pPr>
          </w:p>
        </w:tc>
        <w:tc>
          <w:tcPr>
            <w:tcW w:w="1462" w:type="dxa"/>
            <w:vMerge w:val="continue"/>
            <w:tcBorders>
              <w:top w:val="single" w:color="auto" w:sz="4" w:space="0"/>
              <w:bottom w:val="single" w:color="auto" w:sz="8" w:space="0"/>
              <w:right w:val="single" w:color="auto" w:sz="8" w:space="0"/>
            </w:tcBorders>
            <w:vAlign w:val="center"/>
          </w:tcPr>
          <w:p>
            <w:pPr>
              <w:jc w:val="center"/>
              <w:rPr>
                <w:color w:val="000000"/>
                <w:kern w:val="0"/>
                <w:sz w:val="18"/>
                <w:szCs w:val="18"/>
              </w:rPr>
            </w:pP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92" w:type="dxa"/>
            <w:vMerge w:val="restart"/>
            <w:tcBorders>
              <w:top w:val="single" w:color="auto" w:sz="8" w:space="0"/>
              <w:left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正弦波幅度调制</w:t>
            </w:r>
          </w:p>
        </w:tc>
        <w:tc>
          <w:tcPr>
            <w:tcW w:w="992" w:type="dxa"/>
            <w:tcBorders>
              <w:top w:val="single" w:color="auto" w:sz="8" w:space="0"/>
            </w:tcBorders>
            <w:shd w:val="clear" w:color="auto" w:fill="auto"/>
            <w:vAlign w:val="center"/>
          </w:tcPr>
          <w:p>
            <w:pPr>
              <w:jc w:val="center"/>
              <w:rPr>
                <w:color w:val="000000"/>
                <w:kern w:val="0"/>
                <w:sz w:val="18"/>
                <w:szCs w:val="18"/>
              </w:rPr>
            </w:pPr>
            <w:r>
              <w:rPr>
                <w:color w:val="000000"/>
                <w:kern w:val="0"/>
                <w:sz w:val="18"/>
                <w:szCs w:val="18"/>
              </w:rPr>
              <w:t>短时</w:t>
            </w:r>
          </w:p>
        </w:tc>
        <w:tc>
          <w:tcPr>
            <w:tcW w:w="709" w:type="dxa"/>
            <w:vMerge w:val="restart"/>
            <w:tcBorders>
              <w:top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vMerge w:val="restart"/>
            <w:tcBorders>
              <w:top w:val="single" w:color="auto" w:sz="8" w:space="0"/>
            </w:tcBorders>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vMerge w:val="restart"/>
            <w:tcBorders>
              <w:top w:val="single" w:color="auto" w:sz="8" w:space="0"/>
            </w:tcBorders>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970" w:type="dxa"/>
            <w:tcBorders>
              <w:top w:val="single" w:color="auto" w:sz="8" w:space="0"/>
            </w:tcBorders>
            <w:vAlign w:val="center"/>
          </w:tcPr>
          <w:p>
            <w:pPr>
              <w:widowControl/>
              <w:jc w:val="center"/>
              <w:rPr>
                <w:color w:val="000000"/>
                <w:kern w:val="0"/>
                <w:sz w:val="18"/>
                <w:szCs w:val="18"/>
              </w:rPr>
            </w:pPr>
            <w:r>
              <w:rPr>
                <w:color w:val="000000"/>
                <w:kern w:val="0"/>
                <w:sz w:val="18"/>
                <w:szCs w:val="18"/>
              </w:rPr>
              <w:t>192</w:t>
            </w:r>
          </w:p>
        </w:tc>
        <w:tc>
          <w:tcPr>
            <w:tcW w:w="1701" w:type="dxa"/>
            <w:tcBorders>
              <w:top w:val="single" w:color="auto" w:sz="8" w:space="0"/>
            </w:tcBorders>
            <w:vAlign w:val="center"/>
          </w:tcPr>
          <w:p>
            <w:pPr>
              <w:widowControl/>
              <w:jc w:val="center"/>
              <w:rPr>
                <w:color w:val="000000"/>
                <w:kern w:val="0"/>
                <w:sz w:val="18"/>
                <w:szCs w:val="18"/>
              </w:rPr>
            </w:pPr>
            <w:r>
              <w:rPr>
                <w:color w:val="000000"/>
                <w:kern w:val="0"/>
                <w:sz w:val="18"/>
                <w:szCs w:val="18"/>
              </w:rPr>
              <w:t>96:96</w:t>
            </w:r>
          </w:p>
        </w:tc>
        <w:tc>
          <w:tcPr>
            <w:tcW w:w="1462" w:type="dxa"/>
            <w:tcBorders>
              <w:top w:val="single" w:color="auto" w:sz="8" w:space="0"/>
              <w:right w:val="single" w:color="auto" w:sz="8" w:space="0"/>
            </w:tcBorders>
            <w:vAlign w:val="center"/>
          </w:tcPr>
          <w:p>
            <w:pPr>
              <w:jc w:val="center"/>
              <w:rPr>
                <w:color w:val="000000"/>
                <w:kern w:val="0"/>
                <w:sz w:val="18"/>
                <w:szCs w:val="18"/>
              </w:rPr>
            </w:pPr>
            <w:r>
              <w:rPr>
                <w:color w:val="000000"/>
                <w:kern w:val="0"/>
                <w:sz w:val="18"/>
                <w:szCs w:val="18"/>
              </w:rPr>
              <w:t>469/1801s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92" w:type="dxa"/>
            <w:vMerge w:val="continue"/>
            <w:tcBorders>
              <w:top w:val="single" w:color="auto" w:sz="4" w:space="0"/>
              <w:left w:val="single" w:color="auto" w:sz="8" w:space="0"/>
              <w:bottom w:val="single" w:color="auto" w:sz="4" w:space="0"/>
            </w:tcBorders>
            <w:shd w:val="clear" w:color="auto" w:fill="auto"/>
            <w:vAlign w:val="center"/>
          </w:tcPr>
          <w:p>
            <w:pPr>
              <w:jc w:val="center"/>
              <w:rPr>
                <w:color w:val="000000"/>
                <w:kern w:val="0"/>
                <w:sz w:val="18"/>
                <w:szCs w:val="18"/>
              </w:rPr>
            </w:pPr>
          </w:p>
        </w:tc>
        <w:tc>
          <w:tcPr>
            <w:tcW w:w="992" w:type="dxa"/>
            <w:tcBorders>
              <w:top w:val="single" w:color="auto" w:sz="4" w:space="0"/>
              <w:bottom w:val="single" w:color="auto" w:sz="4" w:space="0"/>
            </w:tcBorders>
            <w:shd w:val="clear" w:color="auto" w:fill="auto"/>
            <w:vAlign w:val="center"/>
          </w:tcPr>
          <w:p>
            <w:pPr>
              <w:jc w:val="center"/>
              <w:rPr>
                <w:color w:val="000000"/>
                <w:kern w:val="0"/>
                <w:sz w:val="18"/>
                <w:szCs w:val="18"/>
              </w:rPr>
            </w:pPr>
            <w:r>
              <w:rPr>
                <w:color w:val="000000"/>
                <w:kern w:val="0"/>
                <w:sz w:val="18"/>
                <w:szCs w:val="18"/>
              </w:rPr>
              <w:t>长时</w:t>
            </w:r>
          </w:p>
        </w:tc>
        <w:tc>
          <w:tcPr>
            <w:tcW w:w="709" w:type="dxa"/>
            <w:vMerge w:val="continue"/>
            <w:tcBorders>
              <w:top w:val="single" w:color="auto" w:sz="4" w:space="0"/>
              <w:bottom w:val="single" w:color="auto" w:sz="4" w:space="0"/>
            </w:tcBorders>
            <w:shd w:val="clear" w:color="auto" w:fill="auto"/>
            <w:vAlign w:val="center"/>
          </w:tcPr>
          <w:p>
            <w:pPr>
              <w:widowControl/>
              <w:jc w:val="center"/>
              <w:rPr>
                <w:color w:val="000000"/>
                <w:kern w:val="0"/>
                <w:sz w:val="18"/>
                <w:szCs w:val="18"/>
              </w:rPr>
            </w:pPr>
          </w:p>
        </w:tc>
        <w:tc>
          <w:tcPr>
            <w:tcW w:w="992" w:type="dxa"/>
            <w:vMerge w:val="continue"/>
            <w:tcBorders>
              <w:top w:val="single" w:color="auto" w:sz="4" w:space="0"/>
              <w:bottom w:val="single" w:color="auto" w:sz="4" w:space="0"/>
            </w:tcBorders>
            <w:shd w:val="clear" w:color="000000" w:fill="FFFFFF"/>
            <w:vAlign w:val="center"/>
          </w:tcPr>
          <w:p>
            <w:pPr>
              <w:widowControl/>
              <w:jc w:val="center"/>
              <w:rPr>
                <w:color w:val="000000"/>
                <w:kern w:val="0"/>
                <w:sz w:val="18"/>
                <w:szCs w:val="18"/>
              </w:rPr>
            </w:pPr>
          </w:p>
        </w:tc>
        <w:tc>
          <w:tcPr>
            <w:tcW w:w="1134" w:type="dxa"/>
            <w:vMerge w:val="continue"/>
            <w:tcBorders>
              <w:top w:val="single" w:color="auto" w:sz="4" w:space="0"/>
              <w:bottom w:val="single" w:color="auto" w:sz="4" w:space="0"/>
            </w:tcBorders>
            <w:shd w:val="clear" w:color="000000" w:fill="FFFFFF"/>
            <w:vAlign w:val="center"/>
          </w:tcPr>
          <w:p>
            <w:pPr>
              <w:widowControl/>
              <w:jc w:val="center"/>
              <w:rPr>
                <w:color w:val="000000"/>
                <w:kern w:val="0"/>
                <w:sz w:val="18"/>
                <w:szCs w:val="18"/>
              </w:rPr>
            </w:pPr>
          </w:p>
        </w:tc>
        <w:tc>
          <w:tcPr>
            <w:tcW w:w="970" w:type="dxa"/>
            <w:tcBorders>
              <w:top w:val="single" w:color="auto" w:sz="4" w:space="0"/>
              <w:bottom w:val="single" w:color="auto" w:sz="4" w:space="0"/>
            </w:tcBorders>
            <w:vAlign w:val="center"/>
          </w:tcPr>
          <w:p>
            <w:pPr>
              <w:widowControl/>
              <w:jc w:val="center"/>
              <w:rPr>
                <w:color w:val="000000"/>
                <w:kern w:val="0"/>
                <w:sz w:val="18"/>
                <w:szCs w:val="18"/>
              </w:rPr>
            </w:pPr>
            <w:r>
              <w:rPr>
                <w:color w:val="000000"/>
                <w:kern w:val="0"/>
                <w:sz w:val="18"/>
                <w:szCs w:val="18"/>
              </w:rPr>
              <w:t>500</w:t>
            </w:r>
          </w:p>
        </w:tc>
        <w:tc>
          <w:tcPr>
            <w:tcW w:w="1701" w:type="dxa"/>
            <w:tcBorders>
              <w:top w:val="single" w:color="auto" w:sz="4" w:space="0"/>
              <w:bottom w:val="single" w:color="auto" w:sz="4" w:space="0"/>
            </w:tcBorders>
            <w:vAlign w:val="center"/>
          </w:tcPr>
          <w:p>
            <w:pPr>
              <w:widowControl/>
              <w:jc w:val="center"/>
              <w:rPr>
                <w:color w:val="000000"/>
                <w:kern w:val="0"/>
                <w:sz w:val="18"/>
                <w:szCs w:val="18"/>
              </w:rPr>
            </w:pPr>
            <w:r>
              <w:rPr>
                <w:color w:val="000000"/>
                <w:kern w:val="0"/>
                <w:sz w:val="18"/>
                <w:szCs w:val="18"/>
              </w:rPr>
              <w:t>250:250</w:t>
            </w:r>
          </w:p>
        </w:tc>
        <w:tc>
          <w:tcPr>
            <w:tcW w:w="1462" w:type="dxa"/>
            <w:tcBorders>
              <w:top w:val="single" w:color="auto" w:sz="4" w:space="0"/>
              <w:bottom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180/1800s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92" w:type="dxa"/>
            <w:vMerge w:val="restart"/>
            <w:tcBorders>
              <w:top w:val="single" w:color="auto" w:sz="4" w:space="0"/>
              <w:left w:val="single" w:color="auto" w:sz="8" w:space="0"/>
            </w:tcBorders>
            <w:shd w:val="clear" w:color="auto" w:fill="auto"/>
            <w:vAlign w:val="center"/>
          </w:tcPr>
          <w:p>
            <w:pPr>
              <w:jc w:val="center"/>
              <w:rPr>
                <w:color w:val="000000"/>
                <w:kern w:val="0"/>
                <w:sz w:val="18"/>
                <w:szCs w:val="18"/>
              </w:rPr>
            </w:pPr>
            <w:r>
              <w:rPr>
                <w:color w:val="000000"/>
                <w:kern w:val="0"/>
                <w:sz w:val="18"/>
                <w:szCs w:val="18"/>
              </w:rPr>
              <w:t>开关键控OOK</w:t>
            </w:r>
          </w:p>
          <w:p>
            <w:pPr>
              <w:jc w:val="center"/>
              <w:rPr>
                <w:color w:val="000000"/>
                <w:kern w:val="0"/>
                <w:sz w:val="18"/>
                <w:szCs w:val="18"/>
              </w:rPr>
            </w:pPr>
            <w:r>
              <w:rPr>
                <w:color w:val="000000"/>
                <w:kern w:val="0"/>
                <w:sz w:val="18"/>
                <w:szCs w:val="18"/>
              </w:rPr>
              <w:t>（矩形波幅度调制）</w:t>
            </w:r>
          </w:p>
        </w:tc>
        <w:tc>
          <w:tcPr>
            <w:tcW w:w="992" w:type="dxa"/>
            <w:vMerge w:val="restart"/>
            <w:tcBorders>
              <w:top w:val="single" w:color="auto" w:sz="4" w:space="0"/>
            </w:tcBorders>
            <w:shd w:val="clear" w:color="auto" w:fill="auto"/>
            <w:vAlign w:val="center"/>
          </w:tcPr>
          <w:p>
            <w:pPr>
              <w:jc w:val="center"/>
              <w:rPr>
                <w:color w:val="000000"/>
                <w:kern w:val="0"/>
                <w:sz w:val="18"/>
                <w:szCs w:val="18"/>
              </w:rPr>
            </w:pPr>
            <w:r>
              <w:rPr>
                <w:color w:val="000000"/>
                <w:kern w:val="0"/>
                <w:sz w:val="18"/>
                <w:szCs w:val="18"/>
              </w:rPr>
              <w:t>暂时</w:t>
            </w:r>
          </w:p>
        </w:tc>
        <w:tc>
          <w:tcPr>
            <w:tcW w:w="709" w:type="dxa"/>
            <w:vMerge w:val="restart"/>
            <w:tcBorders>
              <w:top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vMerge w:val="restart"/>
            <w:tcBorders>
              <w:top w:val="single" w:color="auto" w:sz="4" w:space="0"/>
            </w:tcBorders>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vMerge w:val="restart"/>
            <w:tcBorders>
              <w:top w:val="single" w:color="auto" w:sz="4" w:space="0"/>
            </w:tcBorders>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970" w:type="dxa"/>
            <w:tcBorders>
              <w:top w:val="single" w:color="auto" w:sz="4" w:space="0"/>
            </w:tcBorders>
            <w:vAlign w:val="center"/>
          </w:tcPr>
          <w:p>
            <w:pPr>
              <w:widowControl/>
              <w:jc w:val="center"/>
              <w:rPr>
                <w:color w:val="000000"/>
                <w:kern w:val="0"/>
                <w:sz w:val="18"/>
                <w:szCs w:val="18"/>
              </w:rPr>
            </w:pPr>
            <w:r>
              <w:rPr>
                <w:color w:val="000000"/>
                <w:kern w:val="0"/>
                <w:sz w:val="18"/>
                <w:szCs w:val="18"/>
              </w:rPr>
              <w:t>8</w:t>
            </w:r>
          </w:p>
        </w:tc>
        <w:tc>
          <w:tcPr>
            <w:tcW w:w="1701" w:type="dxa"/>
            <w:tcBorders>
              <w:top w:val="single" w:color="auto" w:sz="4" w:space="0"/>
            </w:tcBorders>
            <w:vAlign w:val="center"/>
          </w:tcPr>
          <w:p>
            <w:pPr>
              <w:widowControl/>
              <w:jc w:val="center"/>
              <w:rPr>
                <w:color w:val="000000"/>
                <w:kern w:val="0"/>
                <w:sz w:val="18"/>
                <w:szCs w:val="18"/>
              </w:rPr>
            </w:pPr>
            <w:r>
              <w:rPr>
                <w:color w:val="000000"/>
                <w:kern w:val="0"/>
                <w:sz w:val="18"/>
                <w:szCs w:val="18"/>
              </w:rPr>
              <w:t>4:4</w:t>
            </w:r>
          </w:p>
        </w:tc>
        <w:tc>
          <w:tcPr>
            <w:tcW w:w="1462" w:type="dxa"/>
            <w:tcBorders>
              <w:top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11250/1800s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992" w:type="dxa"/>
            <w:vMerge w:val="continue"/>
            <w:tcBorders>
              <w:left w:val="single" w:color="auto" w:sz="8" w:space="0"/>
            </w:tcBorders>
            <w:shd w:val="clear" w:color="auto" w:fill="auto"/>
            <w:vAlign w:val="center"/>
          </w:tcPr>
          <w:p>
            <w:pPr>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widowControl/>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tcBorders>
              <w:top w:val="single" w:color="auto" w:sz="4" w:space="0"/>
            </w:tcBorders>
            <w:vAlign w:val="center"/>
          </w:tcPr>
          <w:p>
            <w:pPr>
              <w:widowControl/>
              <w:jc w:val="center"/>
              <w:rPr>
                <w:color w:val="000000"/>
                <w:kern w:val="0"/>
                <w:sz w:val="18"/>
                <w:szCs w:val="18"/>
              </w:rPr>
            </w:pPr>
            <w:r>
              <w:rPr>
                <w:color w:val="000000"/>
                <w:kern w:val="0"/>
                <w:sz w:val="18"/>
                <w:szCs w:val="18"/>
              </w:rPr>
              <w:t>16</w:t>
            </w:r>
          </w:p>
        </w:tc>
        <w:tc>
          <w:tcPr>
            <w:tcW w:w="1701" w:type="dxa"/>
            <w:tcBorders>
              <w:top w:val="single" w:color="auto" w:sz="4" w:space="0"/>
            </w:tcBorders>
            <w:vAlign w:val="center"/>
          </w:tcPr>
          <w:p>
            <w:pPr>
              <w:widowControl/>
              <w:jc w:val="center"/>
              <w:rPr>
                <w:color w:val="000000"/>
                <w:kern w:val="0"/>
                <w:sz w:val="18"/>
                <w:szCs w:val="18"/>
              </w:rPr>
            </w:pPr>
            <w:r>
              <w:rPr>
                <w:color w:val="000000"/>
                <w:kern w:val="0"/>
                <w:sz w:val="18"/>
                <w:szCs w:val="18"/>
              </w:rPr>
              <w:t>8:8</w:t>
            </w:r>
          </w:p>
        </w:tc>
        <w:tc>
          <w:tcPr>
            <w:tcW w:w="1462" w:type="dxa"/>
            <w:tcBorders>
              <w:top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5625/1800s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widowControl/>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tcBorders>
              <w:top w:val="single" w:color="auto" w:sz="4" w:space="0"/>
            </w:tcBorders>
            <w:vAlign w:val="center"/>
          </w:tcPr>
          <w:p>
            <w:pPr>
              <w:widowControl/>
              <w:jc w:val="center"/>
              <w:rPr>
                <w:color w:val="000000"/>
                <w:kern w:val="0"/>
                <w:sz w:val="18"/>
                <w:szCs w:val="18"/>
              </w:rPr>
            </w:pPr>
            <w:r>
              <w:rPr>
                <w:color w:val="000000"/>
                <w:kern w:val="0"/>
                <w:sz w:val="18"/>
                <w:szCs w:val="18"/>
              </w:rPr>
              <w:t>32</w:t>
            </w:r>
          </w:p>
        </w:tc>
        <w:tc>
          <w:tcPr>
            <w:tcW w:w="1701" w:type="dxa"/>
            <w:tcBorders>
              <w:top w:val="single" w:color="auto" w:sz="4" w:space="0"/>
            </w:tcBorders>
            <w:vAlign w:val="center"/>
          </w:tcPr>
          <w:p>
            <w:pPr>
              <w:widowControl/>
              <w:jc w:val="center"/>
              <w:rPr>
                <w:color w:val="000000"/>
                <w:kern w:val="0"/>
                <w:sz w:val="18"/>
                <w:szCs w:val="18"/>
              </w:rPr>
            </w:pPr>
            <w:r>
              <w:rPr>
                <w:color w:val="000000"/>
                <w:kern w:val="0"/>
                <w:sz w:val="18"/>
                <w:szCs w:val="18"/>
              </w:rPr>
              <w:t>16:16</w:t>
            </w:r>
          </w:p>
        </w:tc>
        <w:tc>
          <w:tcPr>
            <w:tcW w:w="1462" w:type="dxa"/>
            <w:tcBorders>
              <w:top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2813/1801s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92" w:type="dxa"/>
            <w:vMerge w:val="continue"/>
            <w:tcBorders>
              <w:left w:val="single" w:color="auto" w:sz="8" w:space="0"/>
            </w:tcBorders>
            <w:shd w:val="clear" w:color="auto" w:fill="auto"/>
            <w:vAlign w:val="center"/>
          </w:tcPr>
          <w:p>
            <w:pPr>
              <w:jc w:val="center"/>
              <w:rPr>
                <w:color w:val="000000"/>
                <w:kern w:val="0"/>
                <w:sz w:val="18"/>
                <w:szCs w:val="18"/>
              </w:rPr>
            </w:pPr>
          </w:p>
        </w:tc>
        <w:tc>
          <w:tcPr>
            <w:tcW w:w="992" w:type="dxa"/>
            <w:vMerge w:val="continue"/>
            <w:tcBorders>
              <w:bottom w:val="single" w:color="auto" w:sz="4" w:space="0"/>
            </w:tcBorders>
            <w:shd w:val="clear" w:color="auto" w:fill="auto"/>
            <w:vAlign w:val="center"/>
          </w:tcPr>
          <w:p>
            <w:pPr>
              <w:widowControl/>
              <w:jc w:val="center"/>
              <w:rPr>
                <w:color w:val="000000"/>
                <w:kern w:val="0"/>
                <w:sz w:val="18"/>
                <w:szCs w:val="18"/>
              </w:rPr>
            </w:pPr>
          </w:p>
        </w:tc>
        <w:tc>
          <w:tcPr>
            <w:tcW w:w="709" w:type="dxa"/>
            <w:vMerge w:val="continue"/>
            <w:tcBorders>
              <w:bottom w:val="single" w:color="auto" w:sz="4" w:space="0"/>
            </w:tcBorders>
            <w:shd w:val="clear" w:color="auto" w:fill="auto"/>
            <w:vAlign w:val="center"/>
          </w:tcPr>
          <w:p>
            <w:pPr>
              <w:jc w:val="center"/>
              <w:rPr>
                <w:color w:val="000000"/>
                <w:kern w:val="0"/>
                <w:sz w:val="18"/>
                <w:szCs w:val="18"/>
              </w:rPr>
            </w:pPr>
          </w:p>
        </w:tc>
        <w:tc>
          <w:tcPr>
            <w:tcW w:w="992" w:type="dxa"/>
            <w:vMerge w:val="continue"/>
            <w:tcBorders>
              <w:bottom w:val="single" w:color="auto" w:sz="4" w:space="0"/>
            </w:tcBorders>
            <w:shd w:val="clear" w:color="000000" w:fill="FFFFFF"/>
            <w:vAlign w:val="center"/>
          </w:tcPr>
          <w:p>
            <w:pPr>
              <w:widowControl/>
              <w:jc w:val="center"/>
              <w:rPr>
                <w:color w:val="000000"/>
                <w:kern w:val="0"/>
                <w:sz w:val="18"/>
                <w:szCs w:val="18"/>
              </w:rPr>
            </w:pPr>
          </w:p>
        </w:tc>
        <w:tc>
          <w:tcPr>
            <w:tcW w:w="1134" w:type="dxa"/>
            <w:vMerge w:val="continue"/>
            <w:tcBorders>
              <w:bottom w:val="single" w:color="auto" w:sz="4" w:space="0"/>
            </w:tcBorders>
            <w:shd w:val="clear" w:color="000000" w:fill="FFFFFF"/>
            <w:vAlign w:val="center"/>
          </w:tcPr>
          <w:p>
            <w:pPr>
              <w:widowControl/>
              <w:jc w:val="center"/>
              <w:rPr>
                <w:color w:val="000000"/>
                <w:kern w:val="0"/>
                <w:sz w:val="18"/>
                <w:szCs w:val="18"/>
              </w:rPr>
            </w:pPr>
          </w:p>
        </w:tc>
        <w:tc>
          <w:tcPr>
            <w:tcW w:w="970" w:type="dxa"/>
            <w:tcBorders>
              <w:top w:val="single" w:color="auto" w:sz="4" w:space="0"/>
              <w:bottom w:val="single" w:color="auto" w:sz="4" w:space="0"/>
            </w:tcBorders>
            <w:vAlign w:val="center"/>
          </w:tcPr>
          <w:p>
            <w:pPr>
              <w:widowControl/>
              <w:jc w:val="center"/>
              <w:rPr>
                <w:color w:val="000000"/>
                <w:kern w:val="0"/>
                <w:sz w:val="18"/>
                <w:szCs w:val="18"/>
              </w:rPr>
            </w:pPr>
            <w:r>
              <w:rPr>
                <w:color w:val="000000"/>
                <w:kern w:val="0"/>
                <w:sz w:val="18"/>
                <w:szCs w:val="18"/>
              </w:rPr>
              <w:t>64</w:t>
            </w:r>
          </w:p>
        </w:tc>
        <w:tc>
          <w:tcPr>
            <w:tcW w:w="1701" w:type="dxa"/>
            <w:tcBorders>
              <w:top w:val="single" w:color="auto" w:sz="4" w:space="0"/>
              <w:bottom w:val="single" w:color="auto" w:sz="4" w:space="0"/>
            </w:tcBorders>
            <w:vAlign w:val="center"/>
          </w:tcPr>
          <w:p>
            <w:pPr>
              <w:widowControl/>
              <w:jc w:val="center"/>
              <w:rPr>
                <w:color w:val="000000"/>
                <w:kern w:val="0"/>
                <w:sz w:val="18"/>
                <w:szCs w:val="18"/>
              </w:rPr>
            </w:pPr>
            <w:r>
              <w:rPr>
                <w:color w:val="000000"/>
                <w:kern w:val="0"/>
                <w:sz w:val="18"/>
                <w:szCs w:val="18"/>
              </w:rPr>
              <w:t>32:32</w:t>
            </w:r>
          </w:p>
        </w:tc>
        <w:tc>
          <w:tcPr>
            <w:tcW w:w="1462" w:type="dxa"/>
            <w:tcBorders>
              <w:top w:val="single" w:color="auto" w:sz="4" w:space="0"/>
              <w:bottom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1407/1801s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restart"/>
            <w:tcBorders>
              <w:top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短时</w:t>
            </w:r>
          </w:p>
        </w:tc>
        <w:tc>
          <w:tcPr>
            <w:tcW w:w="709" w:type="dxa"/>
            <w:vMerge w:val="restart"/>
            <w:tcBorders>
              <w:top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vMerge w:val="restart"/>
            <w:tcBorders>
              <w:top w:val="single" w:color="auto" w:sz="4" w:space="0"/>
            </w:tcBorders>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vMerge w:val="restart"/>
            <w:tcBorders>
              <w:top w:val="single" w:color="auto" w:sz="4" w:space="0"/>
            </w:tcBorders>
            <w:shd w:val="clear" w:color="000000" w:fill="FFFFFF"/>
            <w:vAlign w:val="center"/>
          </w:tcPr>
          <w:p>
            <w:pPr>
              <w:widowControl/>
              <w:jc w:val="center"/>
              <w:rPr>
                <w:color w:val="000000"/>
                <w:sz w:val="18"/>
                <w:szCs w:val="18"/>
                <w:vertAlign w:val="subscript"/>
              </w:rPr>
            </w:pPr>
            <w:r>
              <w:rPr>
                <w:color w:val="000000"/>
                <w:sz w:val="18"/>
                <w:szCs w:val="18"/>
              </w:rPr>
              <w:t>10</w:t>
            </w:r>
            <w:r>
              <w:rPr>
                <w:i/>
                <w:color w:val="000000"/>
                <w:sz w:val="18"/>
                <w:szCs w:val="18"/>
              </w:rPr>
              <w:t>I</w:t>
            </w:r>
            <w:r>
              <w:rPr>
                <w:color w:val="000000"/>
                <w:sz w:val="18"/>
                <w:szCs w:val="18"/>
                <w:vertAlign w:val="subscript"/>
              </w:rPr>
              <w:t>tr</w:t>
            </w:r>
          </w:p>
        </w:tc>
        <w:tc>
          <w:tcPr>
            <w:tcW w:w="970" w:type="dxa"/>
            <w:tcBorders>
              <w:top w:val="single" w:color="auto" w:sz="4" w:space="0"/>
            </w:tcBorders>
            <w:vAlign w:val="center"/>
          </w:tcPr>
          <w:p>
            <w:pPr>
              <w:widowControl/>
              <w:jc w:val="center"/>
              <w:rPr>
                <w:color w:val="000000"/>
                <w:kern w:val="0"/>
                <w:sz w:val="18"/>
                <w:szCs w:val="18"/>
              </w:rPr>
            </w:pPr>
            <w:r>
              <w:rPr>
                <w:color w:val="000000"/>
                <w:kern w:val="0"/>
                <w:sz w:val="18"/>
                <w:szCs w:val="18"/>
              </w:rPr>
              <w:t>128</w:t>
            </w:r>
          </w:p>
        </w:tc>
        <w:tc>
          <w:tcPr>
            <w:tcW w:w="1701" w:type="dxa"/>
            <w:tcBorders>
              <w:top w:val="single" w:color="auto" w:sz="4" w:space="0"/>
            </w:tcBorders>
            <w:vAlign w:val="center"/>
          </w:tcPr>
          <w:p>
            <w:pPr>
              <w:widowControl/>
              <w:jc w:val="center"/>
              <w:rPr>
                <w:color w:val="000000"/>
                <w:kern w:val="0"/>
                <w:sz w:val="18"/>
                <w:szCs w:val="18"/>
              </w:rPr>
            </w:pPr>
            <w:r>
              <w:rPr>
                <w:color w:val="000000"/>
                <w:kern w:val="0"/>
                <w:sz w:val="18"/>
                <w:szCs w:val="18"/>
              </w:rPr>
              <w:t>64:64</w:t>
            </w:r>
          </w:p>
        </w:tc>
        <w:tc>
          <w:tcPr>
            <w:tcW w:w="1462" w:type="dxa"/>
            <w:tcBorders>
              <w:top w:val="single" w:color="auto" w:sz="4" w:space="0"/>
              <w:right w:val="single" w:color="auto" w:sz="8" w:space="0"/>
            </w:tcBorders>
            <w:vAlign w:val="center"/>
          </w:tcPr>
          <w:p>
            <w:pPr>
              <w:widowControl/>
              <w:jc w:val="center"/>
              <w:rPr>
                <w:color w:val="000000"/>
                <w:kern w:val="0"/>
                <w:sz w:val="18"/>
                <w:szCs w:val="18"/>
              </w:rPr>
            </w:pPr>
            <w:r>
              <w:rPr>
                <w:color w:val="000000"/>
                <w:kern w:val="0"/>
                <w:sz w:val="18"/>
                <w:szCs w:val="18"/>
              </w:rPr>
              <w:t>704/1803s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vAlign w:val="center"/>
          </w:tcPr>
          <w:p>
            <w:pPr>
              <w:widowControl/>
              <w:jc w:val="center"/>
              <w:rPr>
                <w:color w:val="000000"/>
                <w:kern w:val="0"/>
                <w:sz w:val="18"/>
                <w:szCs w:val="18"/>
              </w:rPr>
            </w:pPr>
            <w:r>
              <w:rPr>
                <w:color w:val="000000"/>
                <w:kern w:val="0"/>
                <w:sz w:val="18"/>
                <w:szCs w:val="18"/>
              </w:rPr>
              <w:t>192</w:t>
            </w:r>
          </w:p>
        </w:tc>
        <w:tc>
          <w:tcPr>
            <w:tcW w:w="1701" w:type="dxa"/>
            <w:vAlign w:val="center"/>
          </w:tcPr>
          <w:p>
            <w:pPr>
              <w:widowControl/>
              <w:jc w:val="center"/>
              <w:rPr>
                <w:color w:val="000000"/>
                <w:kern w:val="0"/>
                <w:sz w:val="18"/>
                <w:szCs w:val="18"/>
              </w:rPr>
            </w:pPr>
            <w:r>
              <w:rPr>
                <w:color w:val="000000"/>
                <w:kern w:val="0"/>
                <w:sz w:val="18"/>
                <w:szCs w:val="18"/>
              </w:rPr>
              <w:t>96:96</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469/1801s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vAlign w:val="center"/>
          </w:tcPr>
          <w:p>
            <w:pPr>
              <w:widowControl/>
              <w:jc w:val="center"/>
              <w:rPr>
                <w:color w:val="000000"/>
                <w:kern w:val="0"/>
                <w:sz w:val="18"/>
                <w:szCs w:val="18"/>
              </w:rPr>
            </w:pPr>
            <w:r>
              <w:rPr>
                <w:color w:val="000000"/>
                <w:kern w:val="0"/>
                <w:sz w:val="18"/>
                <w:szCs w:val="18"/>
              </w:rPr>
              <w:t>256</w:t>
            </w:r>
          </w:p>
        </w:tc>
        <w:tc>
          <w:tcPr>
            <w:tcW w:w="1701" w:type="dxa"/>
            <w:vAlign w:val="center"/>
          </w:tcPr>
          <w:p>
            <w:pPr>
              <w:widowControl/>
              <w:jc w:val="center"/>
              <w:rPr>
                <w:color w:val="000000"/>
                <w:kern w:val="0"/>
                <w:sz w:val="18"/>
                <w:szCs w:val="18"/>
              </w:rPr>
            </w:pPr>
            <w:r>
              <w:rPr>
                <w:color w:val="000000"/>
                <w:kern w:val="0"/>
                <w:sz w:val="18"/>
                <w:szCs w:val="18"/>
              </w:rPr>
              <w:t>128:128</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352/1803s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vAlign w:val="center"/>
          </w:tcPr>
          <w:p>
            <w:pPr>
              <w:widowControl/>
              <w:jc w:val="center"/>
              <w:rPr>
                <w:color w:val="000000"/>
                <w:kern w:val="0"/>
                <w:sz w:val="18"/>
                <w:szCs w:val="18"/>
              </w:rPr>
            </w:pPr>
            <w:r>
              <w:rPr>
                <w:color w:val="000000"/>
                <w:kern w:val="0"/>
                <w:sz w:val="18"/>
                <w:szCs w:val="18"/>
              </w:rPr>
              <w:t>384</w:t>
            </w:r>
          </w:p>
        </w:tc>
        <w:tc>
          <w:tcPr>
            <w:tcW w:w="1701" w:type="dxa"/>
            <w:vAlign w:val="center"/>
          </w:tcPr>
          <w:p>
            <w:pPr>
              <w:widowControl/>
              <w:jc w:val="center"/>
              <w:rPr>
                <w:color w:val="000000"/>
                <w:kern w:val="0"/>
                <w:sz w:val="18"/>
                <w:szCs w:val="18"/>
              </w:rPr>
            </w:pPr>
            <w:r>
              <w:rPr>
                <w:color w:val="000000"/>
                <w:kern w:val="0"/>
                <w:sz w:val="18"/>
                <w:szCs w:val="18"/>
              </w:rPr>
              <w:t>192:192</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235/1805s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restart"/>
            <w:shd w:val="clear" w:color="auto" w:fill="auto"/>
            <w:vAlign w:val="center"/>
          </w:tcPr>
          <w:p>
            <w:pPr>
              <w:widowControl/>
              <w:jc w:val="center"/>
              <w:rPr>
                <w:color w:val="000000"/>
                <w:kern w:val="0"/>
                <w:sz w:val="18"/>
                <w:szCs w:val="18"/>
              </w:rPr>
            </w:pPr>
            <w:r>
              <w:rPr>
                <w:color w:val="000000"/>
                <w:kern w:val="0"/>
                <w:sz w:val="18"/>
                <w:szCs w:val="18"/>
              </w:rPr>
              <w:t>长时</w:t>
            </w:r>
          </w:p>
        </w:tc>
        <w:tc>
          <w:tcPr>
            <w:tcW w:w="709" w:type="dxa"/>
            <w:vMerge w:val="restart"/>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vMerge w:val="restart"/>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vMerge w:val="restart"/>
            <w:shd w:val="clear" w:color="000000" w:fill="FFFFFF"/>
            <w:vAlign w:val="center"/>
          </w:tcPr>
          <w:p>
            <w:pPr>
              <w:widowControl/>
              <w:jc w:val="center"/>
              <w:rPr>
                <w:color w:val="000000"/>
                <w:sz w:val="18"/>
                <w:szCs w:val="18"/>
                <w:vertAlign w:val="subscript"/>
              </w:rPr>
            </w:pPr>
            <w:r>
              <w:rPr>
                <w:color w:val="000000"/>
                <w:sz w:val="18"/>
                <w:szCs w:val="18"/>
              </w:rPr>
              <w:t>10</w:t>
            </w:r>
            <w:r>
              <w:rPr>
                <w:i/>
                <w:color w:val="000000"/>
                <w:sz w:val="18"/>
                <w:szCs w:val="18"/>
              </w:rPr>
              <w:t>I</w:t>
            </w:r>
            <w:r>
              <w:rPr>
                <w:color w:val="000000"/>
                <w:sz w:val="18"/>
                <w:szCs w:val="18"/>
                <w:vertAlign w:val="subscript"/>
              </w:rPr>
              <w:t>tr</w:t>
            </w:r>
          </w:p>
        </w:tc>
        <w:tc>
          <w:tcPr>
            <w:tcW w:w="970" w:type="dxa"/>
            <w:vAlign w:val="center"/>
          </w:tcPr>
          <w:p>
            <w:pPr>
              <w:widowControl/>
              <w:jc w:val="center"/>
              <w:rPr>
                <w:color w:val="000000"/>
                <w:kern w:val="0"/>
                <w:sz w:val="18"/>
                <w:szCs w:val="18"/>
              </w:rPr>
            </w:pPr>
            <w:r>
              <w:rPr>
                <w:color w:val="000000"/>
                <w:kern w:val="0"/>
                <w:sz w:val="18"/>
                <w:szCs w:val="18"/>
              </w:rPr>
              <w:t>275</w:t>
            </w:r>
          </w:p>
        </w:tc>
        <w:tc>
          <w:tcPr>
            <w:tcW w:w="1701" w:type="dxa"/>
            <w:vAlign w:val="center"/>
          </w:tcPr>
          <w:p>
            <w:pPr>
              <w:widowControl/>
              <w:jc w:val="center"/>
              <w:rPr>
                <w:color w:val="000000"/>
                <w:kern w:val="0"/>
                <w:sz w:val="18"/>
                <w:szCs w:val="18"/>
              </w:rPr>
            </w:pPr>
            <w:r>
              <w:rPr>
                <w:color w:val="000000"/>
                <w:kern w:val="0"/>
                <w:sz w:val="18"/>
                <w:szCs w:val="18"/>
              </w:rPr>
              <w:t>250:25</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328/1804s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vAlign w:val="center"/>
          </w:tcPr>
          <w:p>
            <w:pPr>
              <w:widowControl/>
              <w:jc w:val="center"/>
              <w:rPr>
                <w:color w:val="000000"/>
                <w:kern w:val="0"/>
                <w:sz w:val="18"/>
                <w:szCs w:val="18"/>
              </w:rPr>
            </w:pPr>
            <w:r>
              <w:rPr>
                <w:color w:val="000000"/>
                <w:kern w:val="0"/>
                <w:sz w:val="18"/>
                <w:szCs w:val="18"/>
              </w:rPr>
              <w:t>500</w:t>
            </w:r>
          </w:p>
        </w:tc>
        <w:tc>
          <w:tcPr>
            <w:tcW w:w="1701" w:type="dxa"/>
            <w:vAlign w:val="center"/>
          </w:tcPr>
          <w:p>
            <w:pPr>
              <w:widowControl/>
              <w:jc w:val="center"/>
              <w:rPr>
                <w:color w:val="000000"/>
                <w:kern w:val="0"/>
                <w:sz w:val="18"/>
                <w:szCs w:val="18"/>
              </w:rPr>
            </w:pPr>
            <w:r>
              <w:rPr>
                <w:color w:val="000000"/>
                <w:kern w:val="0"/>
                <w:sz w:val="18"/>
                <w:szCs w:val="18"/>
              </w:rPr>
              <w:t>250:250</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180/1800s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992" w:type="dxa"/>
            <w:vMerge w:val="continue"/>
            <w:tcBorders>
              <w:left w:val="single" w:color="auto" w:sz="8" w:space="0"/>
            </w:tcBorders>
            <w:shd w:val="clear" w:color="auto" w:fill="auto"/>
            <w:vAlign w:val="center"/>
          </w:tcPr>
          <w:p>
            <w:pPr>
              <w:widowControl/>
              <w:jc w:val="center"/>
              <w:rPr>
                <w:color w:val="000000"/>
                <w:kern w:val="0"/>
                <w:sz w:val="18"/>
                <w:szCs w:val="18"/>
              </w:rPr>
            </w:pPr>
          </w:p>
        </w:tc>
        <w:tc>
          <w:tcPr>
            <w:tcW w:w="992" w:type="dxa"/>
            <w:vMerge w:val="continue"/>
            <w:shd w:val="clear" w:color="auto" w:fill="auto"/>
            <w:vAlign w:val="center"/>
          </w:tcPr>
          <w:p>
            <w:pPr>
              <w:widowControl/>
              <w:jc w:val="center"/>
              <w:rPr>
                <w:color w:val="000000"/>
                <w:kern w:val="0"/>
                <w:sz w:val="18"/>
                <w:szCs w:val="18"/>
              </w:rPr>
            </w:pPr>
          </w:p>
        </w:tc>
        <w:tc>
          <w:tcPr>
            <w:tcW w:w="709" w:type="dxa"/>
            <w:vMerge w:val="continue"/>
            <w:shd w:val="clear" w:color="auto" w:fill="auto"/>
            <w:vAlign w:val="center"/>
          </w:tcPr>
          <w:p>
            <w:pPr>
              <w:jc w:val="center"/>
              <w:rPr>
                <w:color w:val="000000"/>
                <w:kern w:val="0"/>
                <w:sz w:val="18"/>
                <w:szCs w:val="18"/>
              </w:rPr>
            </w:pPr>
          </w:p>
        </w:tc>
        <w:tc>
          <w:tcPr>
            <w:tcW w:w="992" w:type="dxa"/>
            <w:vMerge w:val="continue"/>
            <w:shd w:val="clear" w:color="000000" w:fill="FFFFFF"/>
            <w:vAlign w:val="center"/>
          </w:tcPr>
          <w:p>
            <w:pPr>
              <w:widowControl/>
              <w:jc w:val="center"/>
              <w:rPr>
                <w:color w:val="000000"/>
                <w:kern w:val="0"/>
                <w:sz w:val="18"/>
                <w:szCs w:val="18"/>
              </w:rPr>
            </w:pPr>
          </w:p>
        </w:tc>
        <w:tc>
          <w:tcPr>
            <w:tcW w:w="1134" w:type="dxa"/>
            <w:vMerge w:val="continue"/>
            <w:shd w:val="clear" w:color="000000" w:fill="FFFFFF"/>
            <w:vAlign w:val="center"/>
          </w:tcPr>
          <w:p>
            <w:pPr>
              <w:widowControl/>
              <w:jc w:val="center"/>
              <w:rPr>
                <w:color w:val="000000"/>
                <w:kern w:val="0"/>
                <w:sz w:val="18"/>
                <w:szCs w:val="18"/>
              </w:rPr>
            </w:pPr>
          </w:p>
        </w:tc>
        <w:tc>
          <w:tcPr>
            <w:tcW w:w="970" w:type="dxa"/>
            <w:vAlign w:val="center"/>
          </w:tcPr>
          <w:p>
            <w:pPr>
              <w:widowControl/>
              <w:jc w:val="center"/>
              <w:rPr>
                <w:color w:val="000000"/>
                <w:kern w:val="0"/>
                <w:sz w:val="18"/>
                <w:szCs w:val="18"/>
              </w:rPr>
            </w:pPr>
            <w:r>
              <w:rPr>
                <w:color w:val="000000"/>
                <w:kern w:val="0"/>
                <w:sz w:val="18"/>
                <w:szCs w:val="18"/>
              </w:rPr>
              <w:t>1000</w:t>
            </w:r>
          </w:p>
        </w:tc>
        <w:tc>
          <w:tcPr>
            <w:tcW w:w="1701" w:type="dxa"/>
            <w:vAlign w:val="center"/>
          </w:tcPr>
          <w:p>
            <w:pPr>
              <w:widowControl/>
              <w:jc w:val="center"/>
              <w:rPr>
                <w:color w:val="000000"/>
                <w:kern w:val="0"/>
                <w:sz w:val="18"/>
                <w:szCs w:val="18"/>
              </w:rPr>
            </w:pPr>
            <w:r>
              <w:rPr>
                <w:color w:val="000000"/>
                <w:kern w:val="0"/>
                <w:sz w:val="18"/>
                <w:szCs w:val="18"/>
              </w:rPr>
              <w:t>500:500</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90/1800s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92" w:type="dxa"/>
            <w:tcBorders>
              <w:left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长m序列调制</w:t>
            </w:r>
          </w:p>
        </w:tc>
        <w:tc>
          <w:tcPr>
            <w:tcW w:w="992" w:type="dxa"/>
            <w:shd w:val="clear" w:color="auto" w:fill="auto"/>
            <w:vAlign w:val="center"/>
          </w:tcPr>
          <w:p>
            <w:pPr>
              <w:widowControl/>
              <w:jc w:val="center"/>
              <w:rPr>
                <w:color w:val="000000"/>
                <w:kern w:val="0"/>
                <w:sz w:val="18"/>
                <w:szCs w:val="18"/>
              </w:rPr>
            </w:pPr>
            <w:r>
              <w:rPr>
                <w:color w:val="000000"/>
                <w:kern w:val="0"/>
                <w:sz w:val="18"/>
                <w:szCs w:val="18"/>
              </w:rPr>
              <w:t>非对称游程序列</w:t>
            </w:r>
          </w:p>
        </w:tc>
        <w:tc>
          <w:tcPr>
            <w:tcW w:w="709" w:type="dxa"/>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shd w:val="clear" w:color="000000" w:fill="FFFFFF"/>
            <w:vAlign w:val="center"/>
          </w:tcPr>
          <w:p>
            <w:pPr>
              <w:widowControl/>
              <w:jc w:val="center"/>
              <w:rPr>
                <w:color w:val="000000"/>
                <w:kern w:val="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970" w:type="dxa"/>
            <w:vAlign w:val="center"/>
          </w:tcPr>
          <w:p>
            <w:pPr>
              <w:widowControl/>
              <w:jc w:val="center"/>
              <w:rPr>
                <w:color w:val="000000"/>
                <w:kern w:val="0"/>
                <w:sz w:val="18"/>
                <w:szCs w:val="18"/>
              </w:rPr>
            </w:pPr>
            <w:r>
              <w:rPr>
                <w:color w:val="000000"/>
                <w:kern w:val="0"/>
                <w:sz w:val="18"/>
                <w:szCs w:val="18"/>
              </w:rPr>
              <w:t>98280</w:t>
            </w:r>
          </w:p>
        </w:tc>
        <w:tc>
          <w:tcPr>
            <w:tcW w:w="1701" w:type="dxa"/>
            <w:vAlign w:val="center"/>
          </w:tcPr>
          <w:p>
            <w:pPr>
              <w:widowControl/>
              <w:jc w:val="center"/>
              <w:rPr>
                <w:color w:val="000000"/>
                <w:kern w:val="0"/>
                <w:sz w:val="18"/>
                <w:szCs w:val="18"/>
              </w:rPr>
            </w:pPr>
            <w:r>
              <w:rPr>
                <w:color w:val="000000"/>
                <w:kern w:val="0"/>
                <w:sz w:val="18"/>
                <w:szCs w:val="18"/>
              </w:rPr>
              <w:t>49152：49128</w:t>
            </w:r>
          </w:p>
        </w:tc>
        <w:tc>
          <w:tcPr>
            <w:tcW w:w="1462" w:type="dxa"/>
            <w:tcBorders>
              <w:right w:val="single" w:color="auto" w:sz="8" w:space="0"/>
            </w:tcBorders>
            <w:vAlign w:val="center"/>
          </w:tcPr>
          <w:p>
            <w:pPr>
              <w:widowControl/>
              <w:jc w:val="center"/>
              <w:rPr>
                <w:color w:val="000000"/>
                <w:kern w:val="0"/>
                <w:sz w:val="18"/>
                <w:szCs w:val="18"/>
              </w:rPr>
            </w:pPr>
            <w:r>
              <w:rPr>
                <w:color w:val="000000"/>
                <w:kern w:val="0"/>
                <w:sz w:val="18"/>
                <w:szCs w:val="18"/>
              </w:rPr>
              <w:t>1/1966s</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92" w:type="dxa"/>
            <w:tcBorders>
              <w:left w:val="single" w:color="auto" w:sz="8" w:space="0"/>
              <w:bottom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CS序列调制</w:t>
            </w:r>
          </w:p>
        </w:tc>
        <w:tc>
          <w:tcPr>
            <w:tcW w:w="992" w:type="dxa"/>
            <w:tcBorders>
              <w:bottom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对称游程序列</w:t>
            </w:r>
          </w:p>
        </w:tc>
        <w:tc>
          <w:tcPr>
            <w:tcW w:w="709" w:type="dxa"/>
            <w:tcBorders>
              <w:bottom w:val="single" w:color="auto" w:sz="8" w:space="0"/>
            </w:tcBorders>
            <w:shd w:val="clear" w:color="auto" w:fill="auto"/>
            <w:vAlign w:val="center"/>
          </w:tcPr>
          <w:p>
            <w:pPr>
              <w:widowControl/>
              <w:jc w:val="center"/>
              <w:rPr>
                <w:color w:val="000000"/>
                <w:kern w:val="0"/>
                <w:sz w:val="18"/>
                <w:szCs w:val="18"/>
              </w:rPr>
            </w:pPr>
            <w:r>
              <w:rPr>
                <w:color w:val="000000"/>
                <w:kern w:val="0"/>
                <w:sz w:val="18"/>
                <w:szCs w:val="18"/>
              </w:rPr>
              <w:t>1.0</w:t>
            </w:r>
          </w:p>
          <w:p>
            <w:pPr>
              <w:widowControl/>
              <w:jc w:val="center"/>
              <w:rPr>
                <w:color w:val="000000"/>
                <w:kern w:val="0"/>
                <w:sz w:val="18"/>
                <w:szCs w:val="18"/>
              </w:rPr>
            </w:pPr>
            <w:r>
              <w:rPr>
                <w:color w:val="000000"/>
                <w:kern w:val="0"/>
                <w:sz w:val="18"/>
                <w:szCs w:val="18"/>
              </w:rPr>
              <w:t>0.5L</w:t>
            </w:r>
          </w:p>
        </w:tc>
        <w:tc>
          <w:tcPr>
            <w:tcW w:w="992" w:type="dxa"/>
            <w:tcBorders>
              <w:bottom w:val="single" w:color="auto" w:sz="8" w:space="0"/>
            </w:tcBorders>
            <w:shd w:val="clear" w:color="000000" w:fill="FFFFFF"/>
            <w:vAlign w:val="center"/>
          </w:tcPr>
          <w:p>
            <w:pPr>
              <w:widowControl/>
              <w:jc w:val="center"/>
              <w:rPr>
                <w:color w:val="00000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1134" w:type="dxa"/>
            <w:tcBorders>
              <w:bottom w:val="single" w:color="auto" w:sz="8" w:space="0"/>
            </w:tcBorders>
            <w:shd w:val="clear" w:color="000000" w:fill="FFFFFF"/>
            <w:vAlign w:val="center"/>
          </w:tcPr>
          <w:p>
            <w:pPr>
              <w:widowControl/>
              <w:jc w:val="center"/>
              <w:rPr>
                <w:color w:val="000000"/>
                <w:sz w:val="18"/>
                <w:szCs w:val="18"/>
              </w:rPr>
            </w:pPr>
            <w:r>
              <w:rPr>
                <w:color w:val="000000"/>
                <w:sz w:val="18"/>
                <w:szCs w:val="18"/>
              </w:rPr>
              <w:t>10</w:t>
            </w:r>
            <w:r>
              <w:rPr>
                <w:i/>
                <w:color w:val="000000"/>
                <w:sz w:val="18"/>
                <w:szCs w:val="18"/>
              </w:rPr>
              <w:t>I</w:t>
            </w:r>
            <w:r>
              <w:rPr>
                <w:color w:val="000000"/>
                <w:sz w:val="18"/>
                <w:szCs w:val="18"/>
                <w:vertAlign w:val="subscript"/>
              </w:rPr>
              <w:t>tr</w:t>
            </w:r>
          </w:p>
        </w:tc>
        <w:tc>
          <w:tcPr>
            <w:tcW w:w="970" w:type="dxa"/>
            <w:tcBorders>
              <w:bottom w:val="single" w:color="auto" w:sz="8" w:space="0"/>
            </w:tcBorders>
            <w:vAlign w:val="center"/>
          </w:tcPr>
          <w:p>
            <w:pPr>
              <w:widowControl/>
              <w:jc w:val="center"/>
              <w:rPr>
                <w:color w:val="000000"/>
                <w:kern w:val="0"/>
                <w:sz w:val="18"/>
                <w:szCs w:val="18"/>
              </w:rPr>
            </w:pPr>
            <w:r>
              <w:rPr>
                <w:color w:val="000000"/>
                <w:kern w:val="0"/>
                <w:sz w:val="18"/>
                <w:szCs w:val="18"/>
              </w:rPr>
              <w:t>90112</w:t>
            </w:r>
          </w:p>
        </w:tc>
        <w:tc>
          <w:tcPr>
            <w:tcW w:w="1701" w:type="dxa"/>
            <w:tcBorders>
              <w:bottom w:val="single" w:color="auto" w:sz="8" w:space="0"/>
            </w:tcBorders>
            <w:vAlign w:val="center"/>
          </w:tcPr>
          <w:p>
            <w:pPr>
              <w:widowControl/>
              <w:jc w:val="center"/>
              <w:rPr>
                <w:color w:val="000000"/>
                <w:kern w:val="0"/>
                <w:sz w:val="18"/>
                <w:szCs w:val="18"/>
              </w:rPr>
            </w:pPr>
            <w:r>
              <w:rPr>
                <w:color w:val="000000"/>
                <w:kern w:val="0"/>
                <w:sz w:val="18"/>
                <w:szCs w:val="18"/>
              </w:rPr>
              <w:t>45056:45056</w:t>
            </w:r>
          </w:p>
        </w:tc>
        <w:tc>
          <w:tcPr>
            <w:tcW w:w="1462" w:type="dxa"/>
            <w:tcBorders>
              <w:bottom w:val="single" w:color="auto" w:sz="8" w:space="0"/>
              <w:right w:val="single" w:color="auto" w:sz="8" w:space="0"/>
            </w:tcBorders>
            <w:vAlign w:val="center"/>
          </w:tcPr>
          <w:p>
            <w:pPr>
              <w:widowControl/>
              <w:jc w:val="center"/>
              <w:rPr>
                <w:color w:val="000000"/>
                <w:kern w:val="0"/>
                <w:sz w:val="18"/>
                <w:szCs w:val="18"/>
              </w:rPr>
            </w:pPr>
            <w:r>
              <w:rPr>
                <w:color w:val="000000"/>
                <w:kern w:val="0"/>
                <w:sz w:val="18"/>
                <w:szCs w:val="18"/>
              </w:rPr>
              <w:t>1/1803s</w:t>
            </w:r>
          </w:p>
        </w:tc>
      </w:tr>
      <w:bookmarkEnd w:id="121"/>
    </w:tbl>
    <w:p>
      <w:bookmarkStart w:id="122" w:name="_Toc136445069"/>
      <w:bookmarkStart w:id="123" w:name="_Toc133239643"/>
      <w:bookmarkStart w:id="124" w:name="_Toc100341550"/>
    </w:p>
    <w:p>
      <w:pPr>
        <w:pStyle w:val="104"/>
        <w:spacing w:before="240" w:after="240"/>
      </w:pPr>
      <w:r>
        <w:rPr>
          <w:rFonts w:hint="eastAsia"/>
        </w:rPr>
        <w:t>动态误差测试流程</w:t>
      </w:r>
      <w:bookmarkEnd w:id="122"/>
      <w:bookmarkEnd w:id="123"/>
      <w:bookmarkEnd w:id="124"/>
    </w:p>
    <w:p>
      <w:pPr>
        <w:widowControl/>
        <w:tabs>
          <w:tab w:val="center" w:pos="4201"/>
          <w:tab w:val="right" w:leader="dot" w:pos="9298"/>
        </w:tabs>
        <w:autoSpaceDE w:val="0"/>
        <w:autoSpaceDN w:val="0"/>
        <w:adjustRightInd/>
        <w:spacing w:line="240" w:lineRule="auto"/>
        <w:ind w:left="420"/>
        <w:rPr>
          <w:rFonts w:hint="eastAsia" w:ascii="Times New Roman" w:hAnsi="Times New Roman"/>
          <w:kern w:val="0"/>
          <w:szCs w:val="20"/>
        </w:rPr>
      </w:pPr>
      <w:r>
        <w:rPr>
          <w:rFonts w:ascii="Times New Roman" w:hAnsi="Times New Roman"/>
          <w:kern w:val="0"/>
          <w:szCs w:val="20"/>
        </w:rPr>
        <w:t>电能表动态误差的测试应按以下流程进行</w:t>
      </w:r>
      <w:r>
        <w:rPr>
          <w:rFonts w:hint="eastAsia" w:ascii="Times New Roman" w:hAnsi="Times New Roman"/>
          <w:kern w:val="0"/>
          <w:szCs w:val="20"/>
        </w:rPr>
        <w:t>。</w:t>
      </w:r>
    </w:p>
    <w:p>
      <w:pPr>
        <w:pStyle w:val="174"/>
        <w:numPr>
          <w:ilvl w:val="0"/>
          <w:numId w:val="42"/>
        </w:numPr>
        <w:rPr>
          <w:rFonts w:ascii="Times New Roman"/>
        </w:rPr>
      </w:pPr>
      <w:r>
        <w:rPr>
          <w:rFonts w:ascii="Times New Roman"/>
        </w:rPr>
        <w:t>确定测试环境符合第4章试验条件的规定要求，电能表所有接地部件都已接地，按图4或图5完成试验接线</w:t>
      </w:r>
      <w:r>
        <w:rPr>
          <w:rFonts w:hint="eastAsia" w:ascii="Times New Roman"/>
        </w:rPr>
        <w:t>。</w:t>
      </w:r>
    </w:p>
    <w:p>
      <w:pPr>
        <w:pStyle w:val="174"/>
        <w:rPr>
          <w:rFonts w:ascii="Times New Roman"/>
        </w:rPr>
      </w:pPr>
      <w:r>
        <w:rPr>
          <w:rFonts w:ascii="Times New Roman"/>
        </w:rPr>
        <w:t>在cosφ=1（对有功电能表）的条件下，电压线路加标称电压，电流线路通10倍转折电流，预热30min（对D级、C级电能表）或15min（对B级及以下电能表）</w:t>
      </w:r>
      <w:r>
        <w:rPr>
          <w:rFonts w:hint="eastAsia" w:ascii="Times New Roman"/>
        </w:rPr>
        <w:t>。</w:t>
      </w:r>
    </w:p>
    <w:p>
      <w:pPr>
        <w:pStyle w:val="174"/>
        <w:rPr>
          <w:rFonts w:ascii="Times New Roman"/>
        </w:rPr>
      </w:pPr>
      <w:r>
        <w:rPr>
          <w:rFonts w:ascii="Times New Roman"/>
        </w:rPr>
        <w:t>动态起动特性测试，在参比电压Un、cosφ=1、表3规定的起动电流的条件下，电能表应在规定时间t内起动，并连续记录，其中规定时间t按式（17）确定</w:t>
      </w:r>
      <w:r>
        <w:rPr>
          <w:rFonts w:hint="eastAsia" w:ascii="Times New Roman"/>
        </w:rPr>
        <w:t>。</w:t>
      </w:r>
    </w:p>
    <w:p>
      <w:pPr>
        <w:pStyle w:val="112"/>
        <w:spacing w:before="120" w:after="120"/>
      </w:pPr>
      <w:r>
        <w:rPr>
          <w:rFonts w:hint="eastAsia"/>
        </w:rPr>
        <w:t>电能表动态起动电流</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361"/>
        <w:gridCol w:w="30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361" w:type="dxa"/>
            <w:tcBorders>
              <w:top w:val="single" w:color="auto" w:sz="8" w:space="0"/>
              <w:bottom w:val="single" w:color="auto" w:sz="8" w:space="0"/>
            </w:tcBorders>
            <w:shd w:val="clear" w:color="auto" w:fill="auto"/>
            <w:vAlign w:val="center"/>
          </w:tcPr>
          <w:p>
            <w:pPr>
              <w:widowControl/>
              <w:adjustRightInd/>
              <w:spacing w:line="240" w:lineRule="auto"/>
              <w:jc w:val="center"/>
              <w:rPr>
                <w:rFonts w:ascii="宋体" w:hAnsi="宋体"/>
                <w:color w:val="000000"/>
                <w:kern w:val="0"/>
                <w:sz w:val="18"/>
                <w:szCs w:val="18"/>
              </w:rPr>
            </w:pPr>
            <w:r>
              <w:rPr>
                <w:rFonts w:hint="eastAsia" w:ascii="宋体" w:hAnsi="宋体"/>
                <w:color w:val="000000"/>
                <w:kern w:val="0"/>
                <w:sz w:val="18"/>
                <w:szCs w:val="18"/>
              </w:rPr>
              <w:t>类别</w:t>
            </w:r>
          </w:p>
        </w:tc>
        <w:tc>
          <w:tcPr>
            <w:tcW w:w="3076" w:type="dxa"/>
            <w:tcBorders>
              <w:top w:val="single" w:color="auto" w:sz="8" w:space="0"/>
              <w:bottom w:val="single" w:color="auto" w:sz="8" w:space="0"/>
            </w:tcBorders>
            <w:shd w:val="clear" w:color="auto" w:fill="auto"/>
            <w:vAlign w:val="center"/>
          </w:tcPr>
          <w:p>
            <w:pPr>
              <w:adjustRightInd/>
              <w:spacing w:line="240" w:lineRule="auto"/>
              <w:jc w:val="center"/>
              <w:rPr>
                <w:rFonts w:ascii="宋体" w:hAnsi="宋体"/>
                <w:color w:val="000000"/>
                <w:kern w:val="0"/>
                <w:sz w:val="18"/>
                <w:szCs w:val="18"/>
              </w:rPr>
            </w:pPr>
            <w:r>
              <w:rPr>
                <w:rFonts w:hint="eastAsia" w:ascii="宋体" w:hAnsi="宋体"/>
                <w:color w:val="000000"/>
                <w:kern w:val="0"/>
                <w:sz w:val="18"/>
                <w:szCs w:val="18"/>
              </w:rPr>
              <w:t>起动电流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3361" w:type="dxa"/>
            <w:tcBorders>
              <w:top w:val="single" w:color="auto" w:sz="8" w:space="0"/>
            </w:tcBorders>
            <w:shd w:val="clear" w:color="auto" w:fill="auto"/>
            <w:vAlign w:val="center"/>
          </w:tcPr>
          <w:p>
            <w:pPr>
              <w:widowControl/>
              <w:adjustRightInd/>
              <w:spacing w:line="240" w:lineRule="auto"/>
              <w:jc w:val="center"/>
              <w:rPr>
                <w:rFonts w:ascii="宋体" w:hAnsi="宋体"/>
                <w:color w:val="000000"/>
                <w:kern w:val="0"/>
                <w:sz w:val="18"/>
                <w:szCs w:val="18"/>
              </w:rPr>
            </w:pPr>
            <w:r>
              <w:rPr>
                <w:rFonts w:hint="eastAsia" w:ascii="宋体" w:hAnsi="宋体"/>
                <w:color w:val="000000"/>
                <w:kern w:val="0"/>
                <w:sz w:val="18"/>
                <w:szCs w:val="18"/>
              </w:rPr>
              <w:t>直接接入的电能表</w:t>
            </w:r>
          </w:p>
        </w:tc>
        <w:tc>
          <w:tcPr>
            <w:tcW w:w="3076" w:type="dxa"/>
            <w:tcBorders>
              <w:top w:val="single" w:color="auto" w:sz="8" w:space="0"/>
            </w:tcBorders>
            <w:shd w:val="clear" w:color="auto" w:fill="auto"/>
            <w:vAlign w:val="center"/>
          </w:tcPr>
          <w:p>
            <w:pPr>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4/24 </w:t>
            </w:r>
            <w:r>
              <w:rPr>
                <w:rFonts w:ascii="Times New Roman" w:hAnsi="Times New Roman"/>
                <w:sz w:val="18"/>
                <w:szCs w:val="18"/>
              </w:rPr>
              <w:t>×10</w:t>
            </w:r>
            <w:r>
              <w:rPr>
                <w:rFonts w:ascii="Times New Roman" w:hAnsi="Times New Roman"/>
                <w:i/>
                <w:sz w:val="18"/>
                <w:szCs w:val="18"/>
              </w:rPr>
              <w:t>I</w:t>
            </w:r>
            <w:r>
              <w:rPr>
                <w:rFonts w:ascii="Times New Roman" w:hAnsi="Times New Roman"/>
                <w:sz w:val="18"/>
                <w:szCs w:val="18"/>
                <w:vertAlign w:val="subscript"/>
              </w:rPr>
              <w:t>tr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3361" w:type="dxa"/>
            <w:shd w:val="clear" w:color="auto" w:fill="auto"/>
            <w:vAlign w:val="center"/>
          </w:tcPr>
          <w:p>
            <w:pPr>
              <w:widowControl/>
              <w:adjustRightInd/>
              <w:spacing w:line="240" w:lineRule="auto"/>
              <w:jc w:val="center"/>
              <w:rPr>
                <w:rFonts w:ascii="宋体" w:hAnsi="宋体"/>
                <w:color w:val="000000"/>
                <w:kern w:val="0"/>
                <w:sz w:val="18"/>
                <w:szCs w:val="18"/>
              </w:rPr>
            </w:pPr>
            <w:r>
              <w:rPr>
                <w:rFonts w:hint="eastAsia" w:ascii="宋体" w:hAnsi="宋体"/>
                <w:color w:val="000000"/>
                <w:kern w:val="0"/>
                <w:sz w:val="18"/>
                <w:szCs w:val="18"/>
              </w:rPr>
              <w:t>经互感器接入的电能表</w:t>
            </w:r>
          </w:p>
        </w:tc>
        <w:tc>
          <w:tcPr>
            <w:tcW w:w="3076" w:type="dxa"/>
            <w:shd w:val="clear" w:color="auto" w:fill="auto"/>
            <w:vAlign w:val="center"/>
          </w:tcPr>
          <w:p>
            <w:pPr>
              <w:adjustRightInd/>
              <w:spacing w:line="240" w:lineRule="auto"/>
              <w:jc w:val="center"/>
              <w:rPr>
                <w:rFonts w:ascii="Times New Roman" w:hAnsi="Times New Roman"/>
                <w:i/>
                <w:color w:val="000000"/>
                <w:kern w:val="0"/>
                <w:sz w:val="18"/>
                <w:szCs w:val="18"/>
              </w:rPr>
            </w:pPr>
            <w:r>
              <w:rPr>
                <w:rFonts w:ascii="Times New Roman" w:hAnsi="Times New Roman"/>
                <w:color w:val="000000"/>
                <w:kern w:val="0"/>
                <w:sz w:val="18"/>
                <w:szCs w:val="18"/>
              </w:rPr>
              <w:t>4/24</w:t>
            </w:r>
            <w:r>
              <w:rPr>
                <w:rFonts w:ascii="Times New Roman" w:hAnsi="Times New Roman"/>
                <w:sz w:val="18"/>
                <w:szCs w:val="18"/>
              </w:rPr>
              <w:t xml:space="preserve"> ×10</w:t>
            </w:r>
            <w:r>
              <w:rPr>
                <w:rFonts w:ascii="Times New Roman" w:hAnsi="Times New Roman"/>
                <w:i/>
                <w:sz w:val="18"/>
                <w:szCs w:val="18"/>
              </w:rPr>
              <w:t>I</w:t>
            </w:r>
            <w:r>
              <w:rPr>
                <w:rFonts w:hint="eastAsia" w:ascii="Times New Roman" w:hAnsi="Times New Roman"/>
                <w:sz w:val="18"/>
                <w:szCs w:val="18"/>
                <w:vertAlign w:val="subscript"/>
              </w:rPr>
              <w:t>tr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6437" w:type="dxa"/>
            <w:gridSpan w:val="2"/>
            <w:shd w:val="clear" w:color="auto" w:fill="auto"/>
            <w:vAlign w:val="center"/>
          </w:tcPr>
          <w:p>
            <w:pPr>
              <w:adjustRightInd/>
              <w:spacing w:line="240" w:lineRule="auto"/>
              <w:rPr>
                <w:rFonts w:ascii="宋体" w:hAnsi="宋体"/>
                <w:color w:val="000000"/>
                <w:kern w:val="0"/>
                <w:sz w:val="18"/>
                <w:szCs w:val="18"/>
              </w:rPr>
            </w:pPr>
            <w:r>
              <w:rPr>
                <w:rFonts w:hint="eastAsia" w:ascii="宋体" w:hAnsi="宋体"/>
                <w:color w:val="000000"/>
                <w:kern w:val="0"/>
                <w:sz w:val="18"/>
                <w:szCs w:val="18"/>
              </w:rPr>
              <w:t>注：4/2</w:t>
            </w:r>
            <w:r>
              <w:rPr>
                <w:rFonts w:ascii="宋体" w:hAnsi="宋体"/>
                <w:color w:val="000000"/>
                <w:kern w:val="0"/>
                <w:sz w:val="18"/>
                <w:szCs w:val="18"/>
              </w:rPr>
              <w:t>4</w:t>
            </w:r>
            <w:r>
              <w:rPr>
                <w:rFonts w:hint="eastAsia" w:ascii="宋体" w:hAnsi="宋体"/>
                <w:color w:val="000000"/>
                <w:kern w:val="0"/>
                <w:sz w:val="18"/>
                <w:szCs w:val="18"/>
              </w:rPr>
              <w:t>为动态鉴别阈值，表示电流导通4个工频周期、关断20个工频周期。</w:t>
            </w:r>
          </w:p>
        </w:tc>
      </w:tr>
    </w:tbl>
    <w:p>
      <w:pPr>
        <w:pStyle w:val="113"/>
      </w:pPr>
      <w:r>
        <w:tab/>
      </w:r>
      <w:r>
        <w:rPr>
          <w:rFonts w:ascii="Times New Roman" w:hAnsi="Times New Roman"/>
          <w:szCs w:val="24"/>
        </w:rPr>
        <w:object>
          <v:shape id="_x0000_i1147" o:spt="75" type="#_x0000_t75" style="height:63.85pt;width:210.25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6"/>
        <w:ind w:firstLine="420"/>
        <w:rPr>
          <w:rFonts w:ascii="Times New Roman"/>
          <w:szCs w:val="24"/>
        </w:rPr>
      </w:pPr>
      <w:r>
        <w:rPr>
          <w:rFonts w:ascii="Times New Roman"/>
        </w:rPr>
        <w:t>式中</w:t>
      </w:r>
      <w:r>
        <w:rPr>
          <w:rFonts w:hint="eastAsia" w:ascii="Times New Roman"/>
        </w:rPr>
        <w:t>，</w:t>
      </w:r>
      <w:r>
        <w:rPr>
          <w:rFonts w:ascii="Times New Roman"/>
          <w:i/>
          <w:szCs w:val="24"/>
        </w:rPr>
        <w:t>k</w:t>
      </w:r>
      <w:r>
        <w:rPr>
          <w:rFonts w:ascii="Times New Roman"/>
          <w:szCs w:val="24"/>
        </w:rPr>
        <w:t>为动态鉴别阈值的倒数，即24/4；</w:t>
      </w:r>
      <w:r>
        <w:rPr>
          <w:rFonts w:ascii="Times New Roman"/>
          <w:i/>
          <w:szCs w:val="24"/>
        </w:rPr>
        <w:t>C</w:t>
      </w:r>
      <w:r>
        <w:rPr>
          <w:rFonts w:ascii="Times New Roman"/>
          <w:szCs w:val="24"/>
        </w:rPr>
        <w:t>为电能表脉冲常数，单位imp/kWh；</w:t>
      </w:r>
      <w:r>
        <w:rPr>
          <w:rFonts w:ascii="Times New Roman"/>
          <w:i/>
          <w:szCs w:val="24"/>
        </w:rPr>
        <w:t>m</w:t>
      </w:r>
      <w:r>
        <w:rPr>
          <w:rFonts w:ascii="Times New Roman"/>
          <w:szCs w:val="24"/>
        </w:rPr>
        <w:t>为系数，对单相电能表，</w:t>
      </w:r>
      <w:r>
        <w:rPr>
          <w:rFonts w:ascii="Times New Roman"/>
          <w:i/>
          <w:szCs w:val="24"/>
        </w:rPr>
        <w:t>m</w:t>
      </w:r>
      <w:r>
        <w:rPr>
          <w:rFonts w:ascii="Times New Roman"/>
          <w:szCs w:val="24"/>
        </w:rPr>
        <w:t>=1；对三相四线电能表，</w:t>
      </w:r>
      <w:r>
        <w:rPr>
          <w:rFonts w:ascii="Times New Roman"/>
          <w:i/>
          <w:szCs w:val="24"/>
        </w:rPr>
        <w:t>m</w:t>
      </w:r>
      <w:r>
        <w:rPr>
          <w:rFonts w:ascii="Times New Roman"/>
          <w:szCs w:val="24"/>
        </w:rPr>
        <w:t>=3；对三相三线电能表，</w:t>
      </w:r>
      <w:r>
        <w:rPr>
          <w:rFonts w:ascii="Times New Roman"/>
          <w:szCs w:val="24"/>
        </w:rPr>
        <w:object>
          <v:shape id="_x0000_i1148" o:spt="75" type="#_x0000_t75" style="height:16.05pt;width:35.1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ascii="Times New Roman"/>
          <w:szCs w:val="24"/>
        </w:rPr>
        <w:t>。</w:t>
      </w:r>
    </w:p>
    <w:p>
      <w:pPr>
        <w:pStyle w:val="174"/>
        <w:rPr>
          <w:rFonts w:ascii="Times New Roman"/>
        </w:rPr>
      </w:pPr>
      <w:r>
        <w:rPr>
          <w:rFonts w:ascii="Times New Roman"/>
        </w:rPr>
        <w:t>动态误差测试，调定测试电压、电流与功率因数后，根据表2选定试验负载点，按表2中规定的循环周期个数开展测试，测试期间无需等待热平衡</w:t>
      </w:r>
      <w:r>
        <w:rPr>
          <w:rFonts w:hint="eastAsia" w:ascii="Times New Roman"/>
        </w:rPr>
        <w:t>。</w:t>
      </w:r>
    </w:p>
    <w:p>
      <w:pPr>
        <w:pStyle w:val="174"/>
        <w:rPr>
          <w:rFonts w:ascii="Times New Roman"/>
        </w:rPr>
      </w:pPr>
      <w:r>
        <w:rPr>
          <w:rFonts w:ascii="Times New Roman"/>
        </w:rPr>
        <w:t>试验后，准确度应采用读取电能表寄存器数值的方式来计算，每一个负载点下，应至少记录两次测量数据，并取其平均值作为实测值。</w:t>
      </w:r>
    </w:p>
    <w:p>
      <w:pPr>
        <w:pStyle w:val="174"/>
        <w:numPr>
          <w:ilvl w:val="0"/>
          <w:numId w:val="0"/>
        </w:numPr>
        <w:ind w:left="851"/>
      </w:pPr>
    </w:p>
    <w:p>
      <w:pPr>
        <w:pStyle w:val="174"/>
        <w:numPr>
          <w:ilvl w:val="0"/>
          <w:numId w:val="0"/>
        </w:numPr>
        <w:ind w:left="851"/>
        <w:sectPr>
          <w:pgSz w:w="11906" w:h="16838"/>
          <w:pgMar w:top="1928" w:right="1134" w:bottom="1134" w:left="1134" w:header="1418" w:footer="1134" w:gutter="284"/>
          <w:pgNumType w:start="1"/>
          <w:cols w:space="425" w:num="1"/>
          <w:formProt w:val="0"/>
          <w:docGrid w:linePitch="312" w:charSpace="0"/>
        </w:sectPr>
      </w:pPr>
    </w:p>
    <w:bookmarkEnd w:id="24"/>
    <w:p>
      <w:pPr>
        <w:pStyle w:val="198"/>
        <w:rPr>
          <w:vanish w:val="0"/>
        </w:rPr>
      </w:pPr>
      <w:bookmarkStart w:id="125" w:name="BookMark5"/>
    </w:p>
    <w:p>
      <w:pPr>
        <w:pStyle w:val="199"/>
        <w:rPr>
          <w:vanish w:val="0"/>
        </w:rPr>
      </w:pPr>
    </w:p>
    <w:p>
      <w:pPr>
        <w:pStyle w:val="76"/>
        <w:spacing w:after="120"/>
      </w:pPr>
      <w:r>
        <w:br w:type="textWrapping"/>
      </w:r>
      <w:bookmarkStart w:id="126" w:name="_Toc136445070"/>
      <w:r>
        <w:rPr>
          <w:rFonts w:hint="eastAsia"/>
        </w:rPr>
        <w:t>（资料性）</w:t>
      </w:r>
      <w:r>
        <w:br w:type="textWrapping"/>
      </w:r>
      <w:r>
        <w:rPr>
          <w:rFonts w:hint="eastAsia"/>
        </w:rPr>
        <w:t>电流幅度游程的示例</w:t>
      </w:r>
      <w:bookmarkEnd w:id="126"/>
    </w:p>
    <w:p>
      <w:pPr>
        <w:pStyle w:val="56"/>
        <w:ind w:firstLine="420"/>
      </w:pPr>
      <w:r>
        <w:rPr>
          <w:rFonts w:ascii="Calibri" w:hAnsi="Calibri"/>
          <w:kern w:val="2"/>
          <w:szCs w:val="21"/>
        </w:rPr>
        <w:drawing>
          <wp:inline distT="0" distB="0" distL="0" distR="0">
            <wp:extent cx="5651500" cy="219329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6">
                      <a:grayscl/>
                      <a:extLst>
                        <a:ext uri="{28A0092B-C50C-407E-A947-70E740481C1C}">
                          <a14:useLocalDpi xmlns:a14="http://schemas.microsoft.com/office/drawing/2010/main" val="0"/>
                        </a:ext>
                      </a:extLst>
                    </a:blip>
                    <a:srcRect/>
                    <a:stretch>
                      <a:fillRect/>
                    </a:stretch>
                  </pic:blipFill>
                  <pic:spPr>
                    <a:xfrm>
                      <a:off x="0" y="0"/>
                      <a:ext cx="5651500" cy="2193290"/>
                    </a:xfrm>
                    <a:prstGeom prst="rect">
                      <a:avLst/>
                    </a:prstGeom>
                    <a:noFill/>
                    <a:ln>
                      <a:noFill/>
                    </a:ln>
                  </pic:spPr>
                </pic:pic>
              </a:graphicData>
            </a:graphic>
          </wp:inline>
        </w:drawing>
      </w:r>
    </w:p>
    <w:p>
      <w:pPr>
        <w:pStyle w:val="83"/>
        <w:spacing w:before="120" w:after="120"/>
      </w:pPr>
      <w:r>
        <w:rPr>
          <w:rFonts w:hint="eastAsia"/>
        </w:rPr>
        <w:t>电流幅度游程的示例</w:t>
      </w:r>
    </w:p>
    <w:p>
      <w:pPr>
        <w:pStyle w:val="56"/>
        <w:ind w:firstLine="420"/>
      </w:pPr>
    </w:p>
    <w:p>
      <w:pPr>
        <w:pStyle w:val="56"/>
        <w:ind w:firstLine="420"/>
        <w:sectPr>
          <w:pgSz w:w="11906" w:h="16838"/>
          <w:pgMar w:top="1928" w:right="1134" w:bottom="1134" w:left="1134" w:header="1418" w:footer="1134" w:gutter="284"/>
          <w:cols w:space="425" w:num="1"/>
          <w:formProt w:val="0"/>
          <w:docGrid w:linePitch="312" w:charSpace="0"/>
        </w:sectPr>
      </w:pPr>
    </w:p>
    <w:p>
      <w:pPr>
        <w:pStyle w:val="198"/>
        <w:rPr>
          <w:vanish w:val="0"/>
        </w:rPr>
      </w:pPr>
    </w:p>
    <w:p>
      <w:pPr>
        <w:pStyle w:val="199"/>
        <w:rPr>
          <w:vanish w:val="0"/>
        </w:rPr>
      </w:pPr>
    </w:p>
    <w:p>
      <w:pPr>
        <w:pStyle w:val="76"/>
        <w:spacing w:after="120"/>
      </w:pPr>
      <w:r>
        <w:br w:type="textWrapping"/>
      </w:r>
      <w:bookmarkStart w:id="127" w:name="_Toc136445071"/>
      <w:r>
        <w:rPr>
          <w:rFonts w:hint="eastAsia"/>
        </w:rPr>
        <w:t>（资料性）</w:t>
      </w:r>
      <w:r>
        <w:br w:type="textWrapping"/>
      </w:r>
      <w:r>
        <w:rPr>
          <w:rFonts w:hint="eastAsia"/>
        </w:rPr>
        <w:t>典型电力动态负荷场景下电能表性能测试表格规范</w:t>
      </w:r>
      <w:bookmarkEnd w:id="127"/>
    </w:p>
    <w:p>
      <w:pPr>
        <w:pStyle w:val="56"/>
        <w:ind w:firstLine="420"/>
      </w:pPr>
      <w:r>
        <w:rPr>
          <w:rFonts w:hint="eastAsia"/>
        </w:rPr>
        <w:t>附录B规定了典型动态负荷下电能表测试记录表格的规范。</w:t>
      </w:r>
    </w:p>
    <w:p>
      <w:pPr>
        <w:pStyle w:val="77"/>
        <w:spacing w:before="120" w:after="120"/>
      </w:pPr>
      <w:r>
        <w:t>典型</w:t>
      </w:r>
      <w:r>
        <w:rPr>
          <w:rFonts w:hint="eastAsia"/>
        </w:rPr>
        <w:t>电力</w:t>
      </w:r>
      <w:r>
        <w:t>动态负荷</w:t>
      </w:r>
      <w:r>
        <w:rPr>
          <w:rFonts w:hint="eastAsia"/>
        </w:rPr>
        <w:t>场景</w:t>
      </w:r>
      <w:r>
        <w:t>下电能表</w:t>
      </w:r>
      <w:r>
        <w:rPr>
          <w:rFonts w:hint="eastAsia"/>
        </w:rPr>
        <w:t>性能</w:t>
      </w:r>
      <w:r>
        <w:t>测试</w:t>
      </w:r>
      <w:r>
        <w:rPr>
          <w:rFonts w:hint="eastAsia"/>
        </w:rPr>
        <w:t>记录</w:t>
      </w:r>
      <w:r>
        <w:t>表格</w:t>
      </w:r>
    </w:p>
    <w:tbl>
      <w:tblPr>
        <w:tblStyle w:val="26"/>
        <w:tblW w:w="887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32"/>
        <w:gridCol w:w="1698"/>
        <w:gridCol w:w="1201"/>
        <w:gridCol w:w="784"/>
        <w:gridCol w:w="280"/>
        <w:gridCol w:w="734"/>
        <w:gridCol w:w="970"/>
        <w:gridCol w:w="44"/>
        <w:gridCol w:w="1014"/>
        <w:gridCol w:w="10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871" w:type="dxa"/>
            <w:gridSpan w:val="10"/>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XXX型三相三线智能电能表</w:t>
            </w:r>
            <w:r>
              <w:rPr>
                <w:rFonts w:ascii="宋体" w:hAnsi="宋体"/>
                <w:bCs/>
                <w:sz w:val="18"/>
                <w:szCs w:val="18"/>
              </w:rPr>
              <w:t>动态误差测试数据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32" w:type="dxa"/>
            <w:shd w:val="clear" w:color="auto" w:fill="auto"/>
            <w:vAlign w:val="center"/>
          </w:tcPr>
          <w:p>
            <w:pPr>
              <w:spacing w:line="240" w:lineRule="auto"/>
              <w:ind w:left="-145" w:leftChars="-69" w:right="-145" w:rightChars="-69"/>
              <w:jc w:val="center"/>
              <w:rPr>
                <w:rFonts w:ascii="宋体" w:hAnsi="宋体"/>
                <w:bCs/>
                <w:sz w:val="18"/>
                <w:szCs w:val="18"/>
              </w:rPr>
            </w:pPr>
            <w:r>
              <w:rPr>
                <w:rFonts w:ascii="宋体" w:hAnsi="宋体"/>
                <w:bCs/>
                <w:sz w:val="18"/>
                <w:szCs w:val="18"/>
              </w:rPr>
              <w:t>被测</w:t>
            </w:r>
            <w:r>
              <w:rPr>
                <w:rFonts w:hint="eastAsia" w:ascii="宋体" w:hAnsi="宋体"/>
                <w:bCs/>
                <w:sz w:val="18"/>
                <w:szCs w:val="18"/>
              </w:rPr>
              <w:t>电能</w:t>
            </w:r>
            <w:r>
              <w:rPr>
                <w:rFonts w:ascii="宋体" w:hAnsi="宋体"/>
                <w:bCs/>
                <w:sz w:val="18"/>
                <w:szCs w:val="18"/>
              </w:rPr>
              <w:t>表</w:t>
            </w:r>
            <w:r>
              <w:rPr>
                <w:rFonts w:hint="eastAsia" w:ascii="宋体" w:hAnsi="宋体"/>
                <w:bCs/>
                <w:sz w:val="18"/>
                <w:szCs w:val="18"/>
              </w:rPr>
              <w:t>型号/生产厂家</w:t>
            </w:r>
          </w:p>
        </w:tc>
        <w:tc>
          <w:tcPr>
            <w:tcW w:w="3963" w:type="dxa"/>
            <w:gridSpan w:val="4"/>
            <w:shd w:val="clear" w:color="auto" w:fill="auto"/>
            <w:vAlign w:val="center"/>
          </w:tcPr>
          <w:p>
            <w:pPr>
              <w:spacing w:line="240" w:lineRule="auto"/>
              <w:jc w:val="center"/>
              <w:rPr>
                <w:rFonts w:ascii="宋体" w:hAnsi="宋体"/>
                <w:bCs/>
                <w:sz w:val="18"/>
                <w:szCs w:val="18"/>
              </w:rPr>
            </w:pPr>
          </w:p>
        </w:tc>
        <w:tc>
          <w:tcPr>
            <w:tcW w:w="1704" w:type="dxa"/>
            <w:gridSpan w:val="2"/>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电能</w:t>
            </w:r>
            <w:r>
              <w:rPr>
                <w:rFonts w:ascii="宋体" w:hAnsi="宋体"/>
                <w:bCs/>
                <w:sz w:val="18"/>
                <w:szCs w:val="18"/>
              </w:rPr>
              <w:t>表常数</w:t>
            </w:r>
          </w:p>
          <w:p>
            <w:pPr>
              <w:spacing w:line="240" w:lineRule="auto"/>
              <w:jc w:val="center"/>
              <w:rPr>
                <w:rFonts w:ascii="宋体" w:hAnsi="宋体"/>
                <w:bCs/>
                <w:sz w:val="18"/>
                <w:szCs w:val="18"/>
              </w:rPr>
            </w:pPr>
            <w:r>
              <w:rPr>
                <w:rFonts w:hint="eastAsia" w:ascii="宋体" w:hAnsi="宋体"/>
                <w:bCs/>
                <w:sz w:val="18"/>
                <w:szCs w:val="18"/>
              </w:rPr>
              <w:t>/误差等级</w:t>
            </w:r>
          </w:p>
        </w:tc>
        <w:tc>
          <w:tcPr>
            <w:tcW w:w="2072" w:type="dxa"/>
            <w:gridSpan w:val="3"/>
            <w:shd w:val="clear" w:color="auto" w:fill="auto"/>
            <w:vAlign w:val="center"/>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测试条件</w:t>
            </w:r>
          </w:p>
        </w:tc>
        <w:tc>
          <w:tcPr>
            <w:tcW w:w="7739" w:type="dxa"/>
            <w:gridSpan w:val="9"/>
            <w:shd w:val="clear" w:color="auto" w:fill="auto"/>
            <w:vAlign w:val="center"/>
          </w:tcPr>
          <w:p>
            <w:pPr>
              <w:spacing w:line="240" w:lineRule="auto"/>
              <w:ind w:left="-105" w:leftChars="-50" w:right="-136" w:rightChars="-65"/>
              <w:jc w:val="left"/>
              <w:rPr>
                <w:rFonts w:ascii="宋体" w:hAnsi="宋体"/>
                <w:bCs/>
                <w:sz w:val="18"/>
                <w:szCs w:val="18"/>
              </w:rPr>
            </w:pPr>
            <w:r>
              <w:rPr>
                <w:rFonts w:hint="eastAsia" w:ascii="宋体" w:hAnsi="宋体"/>
                <w:bCs/>
                <w:sz w:val="18"/>
                <w:szCs w:val="18"/>
              </w:rPr>
              <w:t>测试</w:t>
            </w:r>
            <w:r>
              <w:rPr>
                <w:rFonts w:ascii="宋体" w:hAnsi="宋体"/>
                <w:bCs/>
                <w:sz w:val="18"/>
                <w:szCs w:val="18"/>
              </w:rPr>
              <w:t>电压：</w:t>
            </w:r>
            <w:r>
              <w:rPr>
                <w:rFonts w:hint="eastAsia" w:ascii="宋体" w:hAnsi="宋体"/>
                <w:bCs/>
                <w:sz w:val="18"/>
                <w:szCs w:val="18"/>
              </w:rPr>
              <w:t xml:space="preserve"> </w:t>
            </w:r>
            <w:r>
              <w:rPr>
                <w:rFonts w:ascii="宋体" w:hAnsi="宋体"/>
                <w:bCs/>
                <w:sz w:val="18"/>
                <w:szCs w:val="18"/>
              </w:rPr>
              <w:t xml:space="preserve">    </w:t>
            </w:r>
            <w:r>
              <w:rPr>
                <w:rFonts w:hint="eastAsia" w:ascii="宋体" w:hAnsi="宋体"/>
                <w:bCs/>
                <w:sz w:val="18"/>
                <w:szCs w:val="18"/>
              </w:rPr>
              <w:t>测试</w:t>
            </w:r>
            <w:r>
              <w:rPr>
                <w:rFonts w:ascii="宋体" w:hAnsi="宋体"/>
                <w:bCs/>
                <w:sz w:val="18"/>
                <w:szCs w:val="18"/>
              </w:rPr>
              <w:t>电流：</w:t>
            </w:r>
            <w:r>
              <w:rPr>
                <w:rFonts w:hint="eastAsia" w:ascii="宋体" w:hAnsi="宋体"/>
                <w:bCs/>
                <w:sz w:val="18"/>
                <w:szCs w:val="18"/>
              </w:rPr>
              <w:t xml:space="preserve"> </w:t>
            </w:r>
            <w:r>
              <w:rPr>
                <w:rFonts w:ascii="宋体" w:hAnsi="宋体"/>
                <w:bCs/>
                <w:sz w:val="18"/>
                <w:szCs w:val="18"/>
              </w:rPr>
              <w:t xml:space="preserve">   </w:t>
            </w:r>
            <w:r>
              <w:rPr>
                <w:rFonts w:hint="eastAsia" w:ascii="宋体" w:hAnsi="宋体"/>
                <w:bCs/>
                <w:sz w:val="18"/>
                <w:szCs w:val="18"/>
              </w:rPr>
              <w:t>信号</w:t>
            </w:r>
            <w:r>
              <w:rPr>
                <w:rFonts w:ascii="宋体" w:hAnsi="宋体"/>
                <w:bCs/>
                <w:sz w:val="18"/>
                <w:szCs w:val="18"/>
              </w:rPr>
              <w:t xml:space="preserve">频率： </w:t>
            </w:r>
            <w:r>
              <w:rPr>
                <w:rFonts w:hint="eastAsia" w:ascii="宋体" w:hAnsi="宋体"/>
                <w:bCs/>
                <w:sz w:val="18"/>
                <w:szCs w:val="18"/>
              </w:rPr>
              <w:t xml:space="preserve"> </w:t>
            </w:r>
            <w:r>
              <w:rPr>
                <w:rFonts w:ascii="宋体" w:hAnsi="宋体"/>
                <w:bCs/>
                <w:sz w:val="18"/>
                <w:szCs w:val="18"/>
              </w:rPr>
              <w:t xml:space="preserve">   调制深度：</w:t>
            </w:r>
            <w:r>
              <w:rPr>
                <w:rFonts w:hint="eastAsia" w:ascii="宋体" w:hAnsi="宋体"/>
                <w:bCs/>
                <w:sz w:val="18"/>
                <w:szCs w:val="18"/>
              </w:rPr>
              <w:t xml:space="preserve"> </w:t>
            </w:r>
            <w:r>
              <w:rPr>
                <w:rFonts w:ascii="宋体" w:hAnsi="宋体"/>
                <w:bCs/>
                <w:sz w:val="18"/>
                <w:szCs w:val="18"/>
              </w:rPr>
              <w:t xml:space="preserve">        </w:t>
            </w:r>
          </w:p>
          <w:p>
            <w:pPr>
              <w:spacing w:line="240" w:lineRule="auto"/>
              <w:ind w:left="-105" w:leftChars="-50" w:right="-136" w:rightChars="-65"/>
              <w:jc w:val="left"/>
              <w:rPr>
                <w:rFonts w:ascii="宋体" w:hAnsi="宋体"/>
                <w:bCs/>
                <w:sz w:val="18"/>
                <w:szCs w:val="18"/>
              </w:rPr>
            </w:pPr>
            <w:r>
              <w:rPr>
                <w:rFonts w:ascii="宋体" w:hAnsi="宋体"/>
                <w:bCs/>
                <w:sz w:val="18"/>
                <w:szCs w:val="18"/>
              </w:rPr>
              <w:t>功率因数</w:t>
            </w:r>
            <w:r>
              <w:rPr>
                <w:rFonts w:hint="eastAsia" w:ascii="宋体" w:hAnsi="宋体"/>
                <w:bCs/>
                <w:sz w:val="18"/>
                <w:szCs w:val="18"/>
              </w:rPr>
              <w:t>：</w:t>
            </w:r>
            <w:r>
              <w:rPr>
                <w:rFonts w:ascii="宋体" w:hAnsi="宋体"/>
                <w:bCs/>
                <w:sz w:val="18"/>
                <w:szCs w:val="18"/>
              </w:rPr>
              <w:t xml:space="preserve">   测试时间</w:t>
            </w:r>
            <w:r>
              <w:rPr>
                <w:rFonts w:hint="eastAsia" w:ascii="宋体" w:hAnsi="宋体"/>
                <w:bCs/>
                <w:sz w:val="18"/>
                <w:szCs w:val="18"/>
              </w:rPr>
              <w:t xml:space="preserve">： </w:t>
            </w:r>
            <w:r>
              <w:rPr>
                <w:rFonts w:ascii="宋体" w:hAnsi="宋体"/>
                <w:bCs/>
                <w:sz w:val="18"/>
                <w:szCs w:val="18"/>
              </w:rPr>
              <w:t xml:space="preserve">   设置被试表动态误差测试</w:t>
            </w:r>
            <w:r>
              <w:rPr>
                <w:rFonts w:hint="eastAsia" w:ascii="宋体" w:hAnsi="宋体"/>
                <w:bCs/>
                <w:sz w:val="18"/>
                <w:szCs w:val="18"/>
              </w:rPr>
              <w:t>的</w:t>
            </w:r>
            <w:r>
              <w:rPr>
                <w:rFonts w:ascii="宋体" w:hAnsi="宋体"/>
                <w:bCs/>
                <w:sz w:val="18"/>
                <w:szCs w:val="18"/>
              </w:rPr>
              <w:t>输出脉冲数：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32" w:type="dxa"/>
            <w:shd w:val="clear" w:color="auto" w:fill="auto"/>
            <w:vAlign w:val="center"/>
          </w:tcPr>
          <w:p>
            <w:pPr>
              <w:spacing w:line="240" w:lineRule="auto"/>
              <w:ind w:left="-145" w:leftChars="-69" w:right="-145" w:rightChars="-69"/>
              <w:jc w:val="center"/>
              <w:rPr>
                <w:rFonts w:ascii="宋体" w:hAnsi="宋体"/>
                <w:bCs/>
                <w:sz w:val="18"/>
                <w:szCs w:val="18"/>
              </w:rPr>
            </w:pPr>
          </w:p>
        </w:tc>
        <w:tc>
          <w:tcPr>
            <w:tcW w:w="3683" w:type="dxa"/>
            <w:gridSpan w:val="3"/>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测试信号的其他参数</w:t>
            </w:r>
          </w:p>
        </w:tc>
        <w:tc>
          <w:tcPr>
            <w:tcW w:w="2028" w:type="dxa"/>
            <w:gridSpan w:val="4"/>
            <w:shd w:val="clear" w:color="auto" w:fill="auto"/>
            <w:vAlign w:val="center"/>
          </w:tcPr>
          <w:p>
            <w:pPr>
              <w:spacing w:line="240" w:lineRule="auto"/>
              <w:jc w:val="center"/>
              <w:rPr>
                <w:rFonts w:ascii="宋体" w:hAnsi="宋体"/>
                <w:bCs/>
                <w:sz w:val="18"/>
                <w:szCs w:val="18"/>
              </w:rPr>
            </w:pPr>
            <w:r>
              <w:rPr>
                <w:rFonts w:ascii="宋体" w:hAnsi="宋体"/>
                <w:bCs/>
                <w:sz w:val="18"/>
                <w:szCs w:val="18"/>
              </w:rPr>
              <w:t>表1动态误差</w:t>
            </w:r>
            <w:r>
              <w:rPr>
                <w:rFonts w:ascii="宋体" w:hAnsi="宋体"/>
                <w:bCs/>
                <w:sz w:val="18"/>
                <w:szCs w:val="18"/>
              </w:rPr>
              <w:fldChar w:fldCharType="begin"/>
            </w:r>
            <w:r>
              <w:rPr>
                <w:rFonts w:ascii="宋体" w:hAnsi="宋体"/>
                <w:bCs/>
                <w:sz w:val="18"/>
                <w:szCs w:val="18"/>
              </w:rPr>
              <w:instrText xml:space="preserve"> QUOTE </w:instrText>
            </w:r>
            <w:r>
              <w:rPr>
                <w:rFonts w:ascii="Cambria Math" w:hAnsi="Cambria Math"/>
                <w:sz w:val="18"/>
                <w:szCs w:val="18"/>
              </w:rPr>
              <w:instrText xml:space="preserve">γi</w:instrText>
            </w:r>
            <w:r>
              <w:rPr>
                <w:rFonts w:ascii="宋体" w:hAnsi="宋体"/>
                <w:bCs/>
                <w:sz w:val="18"/>
                <w:szCs w:val="18"/>
              </w:rPr>
              <w:instrText xml:space="preserve"> </w:instrText>
            </w:r>
            <w:r>
              <w:rPr>
                <w:rFonts w:ascii="宋体" w:hAnsi="宋体"/>
                <w:bCs/>
                <w:sz w:val="18"/>
                <w:szCs w:val="18"/>
              </w:rPr>
              <w:fldChar w:fldCharType="end"/>
            </w:r>
            <w:r>
              <w:rPr>
                <w:rFonts w:ascii="宋体" w:hAnsi="宋体"/>
                <w:bCs/>
                <w:sz w:val="18"/>
                <w:szCs w:val="18"/>
              </w:rPr>
              <w:t xml:space="preserve"> (%)</w:t>
            </w:r>
          </w:p>
        </w:tc>
        <w:tc>
          <w:tcPr>
            <w:tcW w:w="2028" w:type="dxa"/>
            <w:gridSpan w:val="2"/>
            <w:shd w:val="clear" w:color="auto" w:fill="auto"/>
            <w:vAlign w:val="center"/>
          </w:tcPr>
          <w:p>
            <w:pPr>
              <w:spacing w:line="240" w:lineRule="auto"/>
              <w:jc w:val="center"/>
              <w:rPr>
                <w:rFonts w:ascii="宋体" w:hAnsi="宋体"/>
                <w:bCs/>
                <w:sz w:val="18"/>
                <w:szCs w:val="18"/>
              </w:rPr>
            </w:pPr>
            <w:r>
              <w:rPr>
                <w:rFonts w:ascii="宋体" w:hAnsi="宋体"/>
                <w:bCs/>
                <w:sz w:val="18"/>
                <w:szCs w:val="18"/>
              </w:rPr>
              <w:t>表2动态误差</w:t>
            </w:r>
            <w:r>
              <w:rPr>
                <w:rFonts w:ascii="宋体" w:hAnsi="宋体"/>
                <w:bCs/>
                <w:sz w:val="18"/>
                <w:szCs w:val="18"/>
              </w:rPr>
              <w:fldChar w:fldCharType="begin"/>
            </w:r>
            <w:r>
              <w:rPr>
                <w:rFonts w:ascii="宋体" w:hAnsi="宋体"/>
                <w:bCs/>
                <w:sz w:val="18"/>
                <w:szCs w:val="18"/>
              </w:rPr>
              <w:instrText xml:space="preserve"> QUOTE </w:instrText>
            </w:r>
            <w:r>
              <w:rPr>
                <w:rFonts w:ascii="Cambria Math" w:hAnsi="Cambria Math"/>
                <w:sz w:val="18"/>
                <w:szCs w:val="18"/>
              </w:rPr>
              <w:instrText xml:space="preserve">γi</w:instrText>
            </w:r>
            <w:r>
              <w:rPr>
                <w:rFonts w:ascii="宋体" w:hAnsi="宋体"/>
                <w:bCs/>
                <w:sz w:val="18"/>
                <w:szCs w:val="18"/>
              </w:rPr>
              <w:instrText xml:space="preserve"> </w:instrText>
            </w:r>
            <w:r>
              <w:rPr>
                <w:rFonts w:ascii="宋体" w:hAnsi="宋体"/>
                <w:bCs/>
                <w:sz w:val="18"/>
                <w:szCs w:val="18"/>
              </w:rPr>
              <w:fldChar w:fldCharType="end"/>
            </w:r>
            <w:r>
              <w:rPr>
                <w:rFonts w:ascii="宋体" w:hAnsi="宋体"/>
                <w:bCs/>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ind w:left="-145" w:leftChars="-69" w:right="-145" w:rightChars="-69"/>
              <w:jc w:val="center"/>
              <w:rPr>
                <w:rFonts w:ascii="宋体" w:hAnsi="宋体"/>
                <w:bCs/>
                <w:sz w:val="18"/>
                <w:szCs w:val="18"/>
              </w:rPr>
            </w:pPr>
            <w:r>
              <w:rPr>
                <w:rFonts w:ascii="宋体" w:hAnsi="宋体"/>
                <w:bCs/>
                <w:sz w:val="18"/>
                <w:szCs w:val="18"/>
              </w:rPr>
              <w:t>测试序号</w:t>
            </w:r>
          </w:p>
        </w:tc>
        <w:tc>
          <w:tcPr>
            <w:tcW w:w="1698"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调制模式</w:t>
            </w:r>
            <w:r>
              <w:rPr>
                <w:rFonts w:hint="eastAsia" w:ascii="宋体" w:hAnsi="宋体"/>
                <w:bCs/>
                <w:sz w:val="18"/>
                <w:szCs w:val="18"/>
              </w:rPr>
              <w:t>与波形</w:t>
            </w:r>
          </w:p>
        </w:tc>
        <w:tc>
          <w:tcPr>
            <w:tcW w:w="1985" w:type="dxa"/>
            <w:gridSpan w:val="2"/>
            <w:shd w:val="clear" w:color="auto" w:fill="auto"/>
            <w:vAlign w:val="center"/>
          </w:tcPr>
          <w:p>
            <w:pPr>
              <w:spacing w:line="240" w:lineRule="auto"/>
              <w:jc w:val="center"/>
              <w:rPr>
                <w:rFonts w:ascii="宋体" w:hAnsi="宋体"/>
                <w:bCs/>
                <w:sz w:val="18"/>
                <w:szCs w:val="18"/>
              </w:rPr>
            </w:pPr>
            <w:r>
              <w:rPr>
                <w:rFonts w:ascii="宋体" w:hAnsi="宋体"/>
                <w:bCs/>
                <w:sz w:val="18"/>
                <w:szCs w:val="18"/>
              </w:rPr>
              <w:t>通</w:t>
            </w:r>
            <w:r>
              <w:rPr>
                <w:rFonts w:hint="eastAsia" w:ascii="宋体" w:hAnsi="宋体"/>
                <w:bCs/>
                <w:sz w:val="18"/>
                <w:szCs w:val="18"/>
              </w:rPr>
              <w:t>/</w:t>
            </w:r>
            <w:r>
              <w:rPr>
                <w:rFonts w:ascii="宋体" w:hAnsi="宋体"/>
                <w:bCs/>
                <w:sz w:val="18"/>
                <w:szCs w:val="18"/>
              </w:rPr>
              <w:t>断</w:t>
            </w:r>
            <w:r>
              <w:rPr>
                <w:rFonts w:hint="eastAsia" w:ascii="宋体" w:hAnsi="宋体"/>
                <w:bCs/>
                <w:sz w:val="18"/>
                <w:szCs w:val="18"/>
              </w:rPr>
              <w:t>周期</w:t>
            </w:r>
            <w:r>
              <w:rPr>
                <w:rFonts w:ascii="宋体" w:hAnsi="宋体"/>
                <w:bCs/>
                <w:sz w:val="18"/>
                <w:szCs w:val="18"/>
              </w:rPr>
              <w:t>游程比</w:t>
            </w:r>
          </w:p>
        </w:tc>
        <w:tc>
          <w:tcPr>
            <w:tcW w:w="1014" w:type="dxa"/>
            <w:gridSpan w:val="2"/>
            <w:shd w:val="clear" w:color="auto" w:fill="auto"/>
            <w:vAlign w:val="center"/>
          </w:tcPr>
          <w:p>
            <w:pPr>
              <w:spacing w:line="240" w:lineRule="auto"/>
              <w:jc w:val="center"/>
              <w:rPr>
                <w:rFonts w:ascii="Times New Roman" w:hAnsi="Times New Roman"/>
                <w:bCs/>
                <w:sz w:val="18"/>
                <w:szCs w:val="18"/>
              </w:rPr>
            </w:pPr>
            <w:r>
              <w:rPr>
                <w:rFonts w:ascii="Times New Roman" w:hAnsi="Times New Roman"/>
                <w:bCs/>
                <w:sz w:val="18"/>
                <w:szCs w:val="18"/>
              </w:rPr>
              <w:t>1.0</w:t>
            </w:r>
          </w:p>
        </w:tc>
        <w:tc>
          <w:tcPr>
            <w:tcW w:w="1014" w:type="dxa"/>
            <w:gridSpan w:val="2"/>
            <w:shd w:val="clear" w:color="auto" w:fill="auto"/>
            <w:vAlign w:val="center"/>
          </w:tcPr>
          <w:p>
            <w:pPr>
              <w:spacing w:line="240" w:lineRule="auto"/>
              <w:jc w:val="center"/>
              <w:rPr>
                <w:rFonts w:ascii="Times New Roman" w:hAnsi="Times New Roman"/>
                <w:bCs/>
                <w:sz w:val="18"/>
                <w:szCs w:val="18"/>
              </w:rPr>
            </w:pPr>
            <w:r>
              <w:rPr>
                <w:rFonts w:ascii="Times New Roman" w:hAnsi="Times New Roman"/>
                <w:bCs/>
                <w:sz w:val="18"/>
                <w:szCs w:val="18"/>
              </w:rPr>
              <w:t>0.5L</w:t>
            </w:r>
          </w:p>
        </w:tc>
        <w:tc>
          <w:tcPr>
            <w:tcW w:w="1014" w:type="dxa"/>
            <w:shd w:val="clear" w:color="auto" w:fill="auto"/>
            <w:vAlign w:val="center"/>
          </w:tcPr>
          <w:p>
            <w:pPr>
              <w:spacing w:line="240" w:lineRule="auto"/>
              <w:jc w:val="center"/>
              <w:rPr>
                <w:rFonts w:ascii="Times New Roman" w:hAnsi="Times New Roman"/>
                <w:bCs/>
                <w:sz w:val="18"/>
                <w:szCs w:val="18"/>
              </w:rPr>
            </w:pPr>
            <w:r>
              <w:rPr>
                <w:rFonts w:ascii="Times New Roman" w:hAnsi="Times New Roman"/>
                <w:bCs/>
                <w:sz w:val="18"/>
                <w:szCs w:val="18"/>
              </w:rPr>
              <w:t>1.0</w:t>
            </w:r>
          </w:p>
        </w:tc>
        <w:tc>
          <w:tcPr>
            <w:tcW w:w="1014" w:type="dxa"/>
            <w:shd w:val="clear" w:color="auto" w:fill="auto"/>
            <w:vAlign w:val="center"/>
          </w:tcPr>
          <w:p>
            <w:pPr>
              <w:spacing w:line="240" w:lineRule="auto"/>
              <w:jc w:val="center"/>
              <w:rPr>
                <w:rFonts w:ascii="Times New Roman" w:hAnsi="Times New Roman"/>
                <w:bCs/>
                <w:sz w:val="18"/>
                <w:szCs w:val="18"/>
              </w:rPr>
            </w:pPr>
            <w:r>
              <w:rPr>
                <w:rFonts w:ascii="Times New Roman" w:hAnsi="Times New Roman"/>
                <w:bCs/>
                <w:sz w:val="18"/>
                <w:szCs w:val="18"/>
              </w:rPr>
              <w:t>0.5L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1</w:t>
            </w:r>
          </w:p>
        </w:tc>
        <w:tc>
          <w:tcPr>
            <w:tcW w:w="1698" w:type="dxa"/>
            <w:vMerge w:val="restart"/>
            <w:shd w:val="clear" w:color="auto" w:fill="auto"/>
          </w:tcPr>
          <w:p>
            <w:pPr>
              <w:spacing w:line="240" w:lineRule="auto"/>
              <w:jc w:val="left"/>
              <w:rPr>
                <w:rFonts w:ascii="宋体" w:hAnsi="宋体"/>
                <w:bCs/>
                <w:sz w:val="18"/>
                <w:szCs w:val="18"/>
              </w:rPr>
            </w:pPr>
            <w:r>
              <w:rPr>
                <w:rFonts w:hint="eastAsia" w:ascii="宋体" w:hAnsi="宋体"/>
                <w:bCs/>
                <w:sz w:val="18"/>
                <w:szCs w:val="18"/>
              </w:rPr>
              <w:t>1）三相电压与电流为正弦波形；</w:t>
            </w:r>
          </w:p>
          <w:p>
            <w:pPr>
              <w:spacing w:line="240" w:lineRule="auto"/>
              <w:jc w:val="left"/>
              <w:rPr>
                <w:rFonts w:ascii="宋体" w:hAnsi="宋体"/>
                <w:bCs/>
                <w:sz w:val="18"/>
                <w:szCs w:val="18"/>
              </w:rPr>
            </w:pPr>
            <w:r>
              <w:rPr>
                <w:rFonts w:ascii="宋体" w:hAnsi="宋体"/>
                <w:bCs/>
                <w:sz w:val="18"/>
                <w:szCs w:val="18"/>
              </w:rPr>
              <w:t>2</w:t>
            </w:r>
            <w:r>
              <w:rPr>
                <w:rFonts w:hint="eastAsia" w:ascii="宋体" w:hAnsi="宋体"/>
                <w:bCs/>
                <w:sz w:val="18"/>
                <w:szCs w:val="18"/>
              </w:rPr>
              <w:t>）电流幅度调制信号为方波信号波形，即</w:t>
            </w:r>
            <w:r>
              <w:rPr>
                <w:rFonts w:ascii="宋体" w:hAnsi="宋体"/>
                <w:bCs/>
                <w:sz w:val="18"/>
                <w:szCs w:val="18"/>
              </w:rPr>
              <w:t>OOK电流幅度调制</w:t>
            </w:r>
            <w:r>
              <w:rPr>
                <w:rFonts w:hint="eastAsia" w:ascii="宋体" w:hAnsi="宋体"/>
                <w:bCs/>
                <w:sz w:val="18"/>
                <w:szCs w:val="18"/>
              </w:rPr>
              <w:t>；</w:t>
            </w:r>
          </w:p>
          <w:p>
            <w:pPr>
              <w:spacing w:line="240" w:lineRule="auto"/>
              <w:jc w:val="left"/>
              <w:rPr>
                <w:rFonts w:ascii="宋体" w:hAnsi="宋体"/>
                <w:bCs/>
                <w:sz w:val="18"/>
                <w:szCs w:val="18"/>
              </w:rPr>
            </w:pPr>
            <w:r>
              <w:rPr>
                <w:rFonts w:ascii="宋体" w:hAnsi="宋体"/>
                <w:bCs/>
                <w:sz w:val="18"/>
                <w:szCs w:val="18"/>
              </w:rPr>
              <w:t>3</w:t>
            </w:r>
            <w:r>
              <w:rPr>
                <w:rFonts w:hint="eastAsia" w:ascii="宋体" w:hAnsi="宋体"/>
                <w:bCs/>
                <w:sz w:val="18"/>
                <w:szCs w:val="18"/>
              </w:rPr>
              <w:t>）电压信号为稳态正弦信号。</w:t>
            </w:r>
          </w:p>
          <w:p>
            <w:pPr>
              <w:spacing w:line="240" w:lineRule="auto"/>
              <w:jc w:val="left"/>
              <w:rPr>
                <w:rFonts w:ascii="宋体" w:hAnsi="宋体"/>
                <w:bCs/>
                <w:sz w:val="18"/>
                <w:szCs w:val="18"/>
              </w:rPr>
            </w:pPr>
            <w:r>
              <w:rPr>
                <w:rFonts w:hint="eastAsia" w:ascii="宋体" w:hAnsi="宋体"/>
                <w:bCs/>
                <w:sz w:val="18"/>
                <w:szCs w:val="18"/>
              </w:rPr>
              <w:t>4）电压与电流信号的有效值见测试条件一栏。</w:t>
            </w: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4</w:t>
            </w:r>
            <w:r>
              <w:rPr>
                <w:rFonts w:hint="eastAsia" w:ascii="宋体" w:hAnsi="宋体"/>
                <w:bCs/>
                <w:sz w:val="18"/>
                <w:szCs w:val="18"/>
              </w:rPr>
              <w:t>周期</w:t>
            </w:r>
            <w:r>
              <w:rPr>
                <w:rFonts w:ascii="宋体" w:hAnsi="宋体"/>
                <w:bCs/>
                <w:sz w:val="18"/>
                <w:szCs w:val="18"/>
              </w:rPr>
              <w:t>/4</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2</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16</w:t>
            </w:r>
            <w:r>
              <w:rPr>
                <w:rFonts w:hint="eastAsia" w:ascii="宋体" w:hAnsi="宋体"/>
                <w:bCs/>
                <w:sz w:val="18"/>
                <w:szCs w:val="18"/>
              </w:rPr>
              <w:t>周期</w:t>
            </w:r>
            <w:r>
              <w:rPr>
                <w:rFonts w:ascii="宋体" w:hAnsi="宋体"/>
                <w:bCs/>
                <w:sz w:val="18"/>
                <w:szCs w:val="18"/>
              </w:rPr>
              <w:t>/16</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3</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32</w:t>
            </w:r>
            <w:r>
              <w:rPr>
                <w:rFonts w:hint="eastAsia" w:ascii="宋体" w:hAnsi="宋体"/>
                <w:bCs/>
                <w:sz w:val="18"/>
                <w:szCs w:val="18"/>
              </w:rPr>
              <w:t>周期</w:t>
            </w:r>
            <w:r>
              <w:rPr>
                <w:rFonts w:ascii="宋体" w:hAnsi="宋体"/>
                <w:bCs/>
                <w:sz w:val="18"/>
                <w:szCs w:val="18"/>
              </w:rPr>
              <w:t>/32</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4</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96</w:t>
            </w:r>
            <w:r>
              <w:rPr>
                <w:rFonts w:hint="eastAsia" w:ascii="宋体" w:hAnsi="宋体"/>
                <w:bCs/>
                <w:sz w:val="18"/>
                <w:szCs w:val="18"/>
              </w:rPr>
              <w:t>周期</w:t>
            </w:r>
            <w:r>
              <w:rPr>
                <w:rFonts w:ascii="宋体" w:hAnsi="宋体"/>
                <w:bCs/>
                <w:sz w:val="18"/>
                <w:szCs w:val="18"/>
              </w:rPr>
              <w:t>/96</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5</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250</w:t>
            </w:r>
            <w:r>
              <w:rPr>
                <w:rFonts w:hint="eastAsia" w:ascii="宋体" w:hAnsi="宋体"/>
                <w:bCs/>
                <w:sz w:val="18"/>
                <w:szCs w:val="18"/>
              </w:rPr>
              <w:t>周期</w:t>
            </w:r>
            <w:r>
              <w:rPr>
                <w:rFonts w:ascii="宋体" w:hAnsi="宋体"/>
                <w:bCs/>
                <w:sz w:val="18"/>
                <w:szCs w:val="18"/>
              </w:rPr>
              <w:t>/25</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6</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250</w:t>
            </w:r>
            <w:r>
              <w:rPr>
                <w:rFonts w:hint="eastAsia" w:ascii="宋体" w:hAnsi="宋体"/>
                <w:bCs/>
                <w:sz w:val="18"/>
                <w:szCs w:val="18"/>
              </w:rPr>
              <w:t>周期</w:t>
            </w:r>
            <w:r>
              <w:rPr>
                <w:rFonts w:ascii="宋体" w:hAnsi="宋体"/>
                <w:bCs/>
                <w:sz w:val="18"/>
                <w:szCs w:val="18"/>
              </w:rPr>
              <w:t>/250</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7</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ascii="宋体" w:hAnsi="宋体"/>
                <w:bCs/>
                <w:sz w:val="18"/>
                <w:szCs w:val="18"/>
              </w:rPr>
              <w:t>500</w:t>
            </w:r>
            <w:r>
              <w:rPr>
                <w:rFonts w:hint="eastAsia" w:ascii="宋体" w:hAnsi="宋体"/>
                <w:bCs/>
                <w:sz w:val="18"/>
                <w:szCs w:val="18"/>
              </w:rPr>
              <w:t>周期</w:t>
            </w:r>
            <w:r>
              <w:rPr>
                <w:rFonts w:ascii="宋体" w:hAnsi="宋体"/>
                <w:bCs/>
                <w:sz w:val="18"/>
                <w:szCs w:val="18"/>
              </w:rPr>
              <w:t>500</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ascii="宋体" w:hAnsi="宋体"/>
                <w:bCs/>
                <w:sz w:val="18"/>
                <w:szCs w:val="18"/>
              </w:rPr>
              <w:t>8</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hint="eastAsia" w:ascii="宋体" w:hAnsi="宋体"/>
                <w:bCs/>
                <w:sz w:val="18"/>
                <w:szCs w:val="18"/>
              </w:rPr>
              <w:t>m序列：</w:t>
            </w:r>
            <w:r>
              <w:rPr>
                <w:rFonts w:ascii="宋体" w:hAnsi="宋体"/>
                <w:bCs/>
                <w:sz w:val="18"/>
                <w:szCs w:val="18"/>
              </w:rPr>
              <w:t>49152</w:t>
            </w:r>
            <w:r>
              <w:rPr>
                <w:rFonts w:hint="eastAsia" w:ascii="宋体" w:hAnsi="宋体"/>
                <w:bCs/>
                <w:sz w:val="18"/>
                <w:szCs w:val="18"/>
              </w:rPr>
              <w:t>周期</w:t>
            </w:r>
            <w:r>
              <w:rPr>
                <w:rFonts w:ascii="宋体" w:hAnsi="宋体"/>
                <w:bCs/>
                <w:sz w:val="18"/>
                <w:szCs w:val="18"/>
              </w:rPr>
              <w:t>/49128</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9</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宋体" w:hAnsi="宋体"/>
                <w:bCs/>
                <w:sz w:val="18"/>
                <w:szCs w:val="18"/>
              </w:rPr>
            </w:pPr>
            <w:r>
              <w:rPr>
                <w:rFonts w:hint="eastAsia" w:ascii="宋体" w:hAnsi="宋体"/>
                <w:bCs/>
                <w:sz w:val="18"/>
                <w:szCs w:val="18"/>
              </w:rPr>
              <w:t>CS序列：</w:t>
            </w:r>
            <w:r>
              <w:rPr>
                <w:rFonts w:ascii="Times New Roman" w:hAnsi="Times New Roman"/>
                <w:color w:val="000000"/>
                <w:kern w:val="0"/>
                <w:sz w:val="18"/>
                <w:szCs w:val="18"/>
              </w:rPr>
              <w:t>45056</w:t>
            </w:r>
            <w:r>
              <w:rPr>
                <w:rFonts w:hint="eastAsia" w:ascii="宋体" w:hAnsi="宋体"/>
                <w:bCs/>
                <w:sz w:val="18"/>
                <w:szCs w:val="18"/>
              </w:rPr>
              <w:t>周期</w:t>
            </w:r>
            <w:r>
              <w:rPr>
                <w:rFonts w:ascii="宋体" w:hAnsi="宋体"/>
                <w:bCs/>
                <w:sz w:val="18"/>
                <w:szCs w:val="18"/>
              </w:rPr>
              <w:t>/</w:t>
            </w:r>
            <w:r>
              <w:rPr>
                <w:rFonts w:ascii="Times New Roman" w:hAnsi="Times New Roman"/>
                <w:color w:val="000000"/>
                <w:kern w:val="0"/>
                <w:sz w:val="18"/>
                <w:szCs w:val="18"/>
              </w:rPr>
              <w:t>45056</w:t>
            </w:r>
            <w:r>
              <w:rPr>
                <w:rFonts w:hint="eastAsia" w:ascii="宋体" w:hAnsi="宋体"/>
                <w:bCs/>
                <w:sz w:val="18"/>
                <w:szCs w:val="18"/>
              </w:rPr>
              <w:t>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1</w:t>
            </w:r>
            <w:r>
              <w:rPr>
                <w:rFonts w:ascii="宋体" w:hAnsi="宋体"/>
                <w:bCs/>
                <w:sz w:val="18"/>
                <w:szCs w:val="18"/>
              </w:rPr>
              <w:t>0</w:t>
            </w:r>
          </w:p>
        </w:tc>
        <w:tc>
          <w:tcPr>
            <w:tcW w:w="1698" w:type="dxa"/>
            <w:vMerge w:val="restart"/>
            <w:shd w:val="clear" w:color="auto" w:fill="auto"/>
          </w:tcPr>
          <w:p>
            <w:pPr>
              <w:spacing w:line="240" w:lineRule="auto"/>
              <w:jc w:val="left"/>
              <w:rPr>
                <w:rFonts w:ascii="宋体" w:hAnsi="宋体"/>
                <w:bCs/>
                <w:sz w:val="18"/>
                <w:szCs w:val="18"/>
              </w:rPr>
            </w:pPr>
            <w:r>
              <w:rPr>
                <w:rFonts w:hint="eastAsia" w:ascii="宋体" w:hAnsi="宋体"/>
                <w:bCs/>
                <w:sz w:val="18"/>
                <w:szCs w:val="18"/>
              </w:rPr>
              <w:t>5）电流幅度调制信号为正弦波信号波形</w:t>
            </w:r>
          </w:p>
        </w:tc>
        <w:tc>
          <w:tcPr>
            <w:tcW w:w="1985" w:type="dxa"/>
            <w:gridSpan w:val="2"/>
            <w:shd w:val="clear" w:color="auto" w:fill="auto"/>
          </w:tcPr>
          <w:p>
            <w:pPr>
              <w:spacing w:line="240" w:lineRule="auto"/>
              <w:jc w:val="center"/>
              <w:rPr>
                <w:rFonts w:ascii="Times New Roman" w:hAnsi="Times New Roman"/>
                <w:bCs/>
                <w:sz w:val="18"/>
                <w:szCs w:val="18"/>
              </w:rPr>
            </w:pPr>
            <w:r>
              <w:rPr>
                <w:rFonts w:ascii="Times New Roman" w:hAnsi="Times New Roman"/>
                <w:bCs/>
                <w:sz w:val="18"/>
                <w:szCs w:val="18"/>
              </w:rPr>
              <w:t>96周期/96周期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1</w:t>
            </w:r>
            <w:r>
              <w:rPr>
                <w:rFonts w:ascii="宋体" w:hAnsi="宋体"/>
                <w:bCs/>
                <w:sz w:val="18"/>
                <w:szCs w:val="18"/>
              </w:rPr>
              <w:t>1</w:t>
            </w:r>
          </w:p>
        </w:tc>
        <w:tc>
          <w:tcPr>
            <w:tcW w:w="1698" w:type="dxa"/>
            <w:vMerge w:val="continue"/>
            <w:shd w:val="clear" w:color="auto" w:fill="auto"/>
          </w:tcPr>
          <w:p>
            <w:pPr>
              <w:spacing w:line="240" w:lineRule="auto"/>
              <w:jc w:val="left"/>
              <w:rPr>
                <w:rFonts w:ascii="宋体" w:hAnsi="宋体"/>
                <w:bCs/>
                <w:sz w:val="18"/>
                <w:szCs w:val="18"/>
              </w:rPr>
            </w:pPr>
          </w:p>
        </w:tc>
        <w:tc>
          <w:tcPr>
            <w:tcW w:w="1985" w:type="dxa"/>
            <w:gridSpan w:val="2"/>
            <w:shd w:val="clear" w:color="auto" w:fill="auto"/>
          </w:tcPr>
          <w:p>
            <w:pPr>
              <w:spacing w:line="240" w:lineRule="auto"/>
              <w:jc w:val="center"/>
              <w:rPr>
                <w:rFonts w:ascii="Times New Roman" w:hAnsi="Times New Roman"/>
                <w:bCs/>
                <w:sz w:val="18"/>
                <w:szCs w:val="18"/>
              </w:rPr>
            </w:pPr>
            <w:r>
              <w:rPr>
                <w:rFonts w:ascii="Times New Roman" w:hAnsi="Times New Roman"/>
                <w:bCs/>
                <w:sz w:val="18"/>
                <w:szCs w:val="18"/>
              </w:rPr>
              <w:t>250周期/250周期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132"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1</w:t>
            </w:r>
            <w:r>
              <w:rPr>
                <w:rFonts w:ascii="宋体" w:hAnsi="宋体"/>
                <w:bCs/>
                <w:sz w:val="18"/>
                <w:szCs w:val="18"/>
              </w:rPr>
              <w:t>2</w:t>
            </w:r>
          </w:p>
        </w:tc>
        <w:tc>
          <w:tcPr>
            <w:tcW w:w="1698" w:type="dxa"/>
            <w:vMerge w:val="continue"/>
            <w:shd w:val="clear" w:color="auto" w:fill="auto"/>
          </w:tcPr>
          <w:p>
            <w:pPr>
              <w:spacing w:line="240" w:lineRule="auto"/>
              <w:jc w:val="center"/>
              <w:rPr>
                <w:rFonts w:ascii="宋体" w:hAnsi="宋体"/>
                <w:bCs/>
                <w:sz w:val="18"/>
                <w:szCs w:val="18"/>
              </w:rPr>
            </w:pPr>
          </w:p>
        </w:tc>
        <w:tc>
          <w:tcPr>
            <w:tcW w:w="1985" w:type="dxa"/>
            <w:gridSpan w:val="2"/>
            <w:shd w:val="clear" w:color="auto" w:fill="auto"/>
          </w:tcPr>
          <w:p>
            <w:pPr>
              <w:spacing w:line="240" w:lineRule="auto"/>
              <w:jc w:val="center"/>
              <w:rPr>
                <w:rFonts w:ascii="Times New Roman" w:hAnsi="Times New Roman"/>
                <w:bCs/>
                <w:sz w:val="18"/>
                <w:szCs w:val="18"/>
              </w:rPr>
            </w:pPr>
            <w:r>
              <w:rPr>
                <w:rFonts w:ascii="Times New Roman" w:hAnsi="Times New Roman"/>
                <w:bCs/>
                <w:sz w:val="18"/>
                <w:szCs w:val="18"/>
              </w:rPr>
              <w:t>500周期/500周期</w:t>
            </w:r>
          </w:p>
        </w:tc>
        <w:tc>
          <w:tcPr>
            <w:tcW w:w="1014" w:type="dxa"/>
            <w:gridSpan w:val="2"/>
            <w:shd w:val="clear" w:color="auto" w:fill="auto"/>
          </w:tcPr>
          <w:p>
            <w:pPr>
              <w:spacing w:line="240" w:lineRule="auto"/>
              <w:jc w:val="center"/>
              <w:rPr>
                <w:rFonts w:ascii="宋体" w:hAnsi="宋体"/>
                <w:bCs/>
                <w:sz w:val="18"/>
                <w:szCs w:val="18"/>
              </w:rPr>
            </w:pPr>
          </w:p>
        </w:tc>
        <w:tc>
          <w:tcPr>
            <w:tcW w:w="1014" w:type="dxa"/>
            <w:gridSpan w:val="2"/>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c>
          <w:tcPr>
            <w:tcW w:w="1014" w:type="dxa"/>
            <w:shd w:val="clear" w:color="auto" w:fill="auto"/>
          </w:tcPr>
          <w:p>
            <w:pPr>
              <w:spacing w:line="240" w:lineRule="auto"/>
              <w:jc w:val="center"/>
              <w:rPr>
                <w:rFonts w:ascii="宋体" w:hAnsi="宋体"/>
                <w:bCs/>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2830" w:type="dxa"/>
            <w:gridSpan w:val="2"/>
            <w:shd w:val="clear" w:color="auto" w:fill="auto"/>
            <w:vAlign w:val="center"/>
          </w:tcPr>
          <w:p>
            <w:pPr>
              <w:spacing w:line="240" w:lineRule="auto"/>
              <w:jc w:val="center"/>
              <w:rPr>
                <w:rFonts w:ascii="宋体" w:hAnsi="宋体"/>
                <w:bCs/>
                <w:sz w:val="18"/>
                <w:szCs w:val="18"/>
              </w:rPr>
            </w:pPr>
            <w:r>
              <w:rPr>
                <w:rFonts w:ascii="宋体" w:hAnsi="宋体"/>
                <w:bCs/>
                <w:sz w:val="18"/>
                <w:szCs w:val="18"/>
              </w:rPr>
              <w:t>动态误差平均值</w:t>
            </w:r>
            <m:oMath>
              <m:acc>
                <m:accPr>
                  <m:chr m:val="̅"/>
                  <m:ctrlPr>
                    <w:rPr>
                      <w:rFonts w:ascii="Cambria Math" w:hAnsi="Cambria Math"/>
                      <w:sz w:val="18"/>
                      <w:szCs w:val="18"/>
                    </w:rPr>
                  </m:ctrlPr>
                </m:accPr>
                <m:e>
                  <m:r>
                    <m:rPr/>
                    <w:rPr>
                      <w:rFonts w:ascii="Cambria Math" w:hAnsi="Cambria Math"/>
                      <w:sz w:val="18"/>
                      <w:szCs w:val="18"/>
                    </w:rPr>
                    <m:t>γ</m:t>
                  </m:r>
                  <m:ctrlPr>
                    <w:rPr>
                      <w:rFonts w:ascii="Cambria Math" w:hAnsi="Cambria Math"/>
                      <w:sz w:val="18"/>
                      <w:szCs w:val="18"/>
                    </w:rPr>
                  </m:ctrlPr>
                </m:e>
              </m:acc>
            </m:oMath>
          </w:p>
        </w:tc>
        <w:tc>
          <w:tcPr>
            <w:tcW w:w="1201"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w:t>
            </w:r>
          </w:p>
        </w:tc>
        <w:tc>
          <w:tcPr>
            <w:tcW w:w="784" w:type="dxa"/>
            <w:shd w:val="clear" w:color="auto" w:fill="auto"/>
            <w:vAlign w:val="center"/>
          </w:tcPr>
          <w:p>
            <w:pPr>
              <w:spacing w:line="240" w:lineRule="auto"/>
              <w:jc w:val="center"/>
              <w:rPr>
                <w:rFonts w:ascii="宋体" w:hAnsi="宋体"/>
                <w:bCs/>
                <w:sz w:val="18"/>
                <w:szCs w:val="18"/>
              </w:rPr>
            </w:pPr>
            <w:r>
              <w:rPr>
                <w:rFonts w:hint="eastAsia" w:ascii="宋体" w:hAnsi="宋体"/>
                <w:bCs/>
                <w:sz w:val="18"/>
                <w:szCs w:val="18"/>
              </w:rPr>
              <w:t>/</w:t>
            </w:r>
          </w:p>
        </w:tc>
        <w:tc>
          <w:tcPr>
            <w:tcW w:w="1014" w:type="dxa"/>
            <w:gridSpan w:val="2"/>
            <w:shd w:val="clear" w:color="auto" w:fill="auto"/>
            <w:vAlign w:val="center"/>
          </w:tcPr>
          <w:p>
            <w:pPr>
              <w:spacing w:line="240" w:lineRule="auto"/>
              <w:jc w:val="center"/>
              <w:rPr>
                <w:rFonts w:ascii="宋体" w:hAnsi="宋体"/>
                <w:bCs/>
                <w:sz w:val="18"/>
                <w:szCs w:val="18"/>
              </w:rPr>
            </w:pPr>
          </w:p>
        </w:tc>
        <w:tc>
          <w:tcPr>
            <w:tcW w:w="1014" w:type="dxa"/>
            <w:gridSpan w:val="2"/>
            <w:shd w:val="clear" w:color="auto" w:fill="auto"/>
            <w:vAlign w:val="center"/>
          </w:tcPr>
          <w:p>
            <w:pPr>
              <w:spacing w:line="240" w:lineRule="auto"/>
              <w:jc w:val="center"/>
              <w:rPr>
                <w:rFonts w:ascii="宋体" w:hAnsi="宋体"/>
                <w:bCs/>
                <w:sz w:val="18"/>
                <w:szCs w:val="18"/>
              </w:rPr>
            </w:pPr>
          </w:p>
        </w:tc>
        <w:tc>
          <w:tcPr>
            <w:tcW w:w="1014" w:type="dxa"/>
            <w:shd w:val="clear" w:color="auto" w:fill="auto"/>
            <w:vAlign w:val="center"/>
          </w:tcPr>
          <w:p>
            <w:pPr>
              <w:spacing w:line="240" w:lineRule="auto"/>
              <w:jc w:val="center"/>
              <w:rPr>
                <w:rFonts w:ascii="宋体" w:hAnsi="宋体"/>
                <w:bCs/>
                <w:sz w:val="18"/>
                <w:szCs w:val="18"/>
              </w:rPr>
            </w:pPr>
          </w:p>
        </w:tc>
        <w:tc>
          <w:tcPr>
            <w:tcW w:w="1014" w:type="dxa"/>
            <w:shd w:val="clear" w:color="auto" w:fill="auto"/>
            <w:vAlign w:val="center"/>
          </w:tcPr>
          <w:p>
            <w:pPr>
              <w:spacing w:line="240" w:lineRule="auto"/>
              <w:jc w:val="center"/>
              <w:rPr>
                <w:rFonts w:ascii="宋体" w:hAnsi="宋体"/>
                <w:bCs/>
                <w:sz w:val="18"/>
                <w:szCs w:val="18"/>
              </w:rPr>
            </w:pPr>
          </w:p>
        </w:tc>
      </w:tr>
      <w:bookmarkEnd w:id="125"/>
    </w:tbl>
    <w:p>
      <w:pPr>
        <w:pStyle w:val="56"/>
        <w:ind w:firstLine="0" w:firstLineChars="0"/>
        <w:jc w:val="center"/>
      </w:pPr>
      <w:bookmarkStart w:id="128" w:name="BookMark8"/>
      <w:r>
        <w:rPr>
          <w:rFonts w:hint="eastAsia"/>
        </w:rPr>
        <w:drawing>
          <wp:inline distT="0" distB="0" distL="0" distR="0">
            <wp:extent cx="1485900" cy="317500"/>
            <wp:effectExtent l="0" t="0" r="0" b="635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5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8"/>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T/CIMA 0094—     </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T/CIMA 0094—     </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49016CB"/>
    <w:multiLevelType w:val="multilevel"/>
    <w:tmpl w:val="149016CB"/>
    <w:lvl w:ilvl="0" w:tentative="0">
      <w:start w:val="1"/>
      <w:numFmt w:val="lowerLetter"/>
      <w:lvlText w:val="%1）"/>
      <w:lvlJc w:val="left"/>
      <w:pPr>
        <w:ind w:left="785" w:hanging="360"/>
      </w:pPr>
      <w:rPr>
        <w:rFonts w:hint="default"/>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8">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1FC91163"/>
    <w:multiLevelType w:val="multilevel"/>
    <w:tmpl w:val="1FC91163"/>
    <w:lvl w:ilvl="0" w:tentative="0">
      <w:start w:val="1"/>
      <w:numFmt w:val="decimal"/>
      <w:pStyle w:val="232"/>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1"/>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30"/>
      <w:suff w:val="nothing"/>
      <w:lvlText w:val="%1.%2.%3　"/>
      <w:lvlJc w:val="left"/>
      <w:pPr>
        <w:ind w:left="1418" w:firstLine="0"/>
      </w:pPr>
      <w:rPr>
        <w:rFonts w:hint="eastAsia" w:ascii="黑体" w:hAnsi="Times New Roman" w:eastAsia="黑体"/>
        <w:b w:val="0"/>
        <w:i w:val="0"/>
        <w:sz w:val="21"/>
      </w:rPr>
    </w:lvl>
    <w:lvl w:ilvl="3" w:tentative="0">
      <w:start w:val="1"/>
      <w:numFmt w:val="decimal"/>
      <w:suff w:val="nothing"/>
      <w:lvlText w:val="%1.%2.%3.%4　"/>
      <w:lvlJc w:val="left"/>
      <w:pPr>
        <w:ind w:left="71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4">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9">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5">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7">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56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5"/>
  </w:num>
  <w:num w:numId="5">
    <w:abstractNumId w:val="20"/>
  </w:num>
  <w:num w:numId="6">
    <w:abstractNumId w:val="15"/>
  </w:num>
  <w:num w:numId="7">
    <w:abstractNumId w:val="9"/>
  </w:num>
  <w:num w:numId="8">
    <w:abstractNumId w:val="3"/>
  </w:num>
  <w:num w:numId="9">
    <w:abstractNumId w:val="10"/>
  </w:num>
  <w:num w:numId="10">
    <w:abstractNumId w:val="18"/>
  </w:num>
  <w:num w:numId="11">
    <w:abstractNumId w:val="27"/>
  </w:num>
  <w:num w:numId="12">
    <w:abstractNumId w:val="13"/>
  </w:num>
  <w:num w:numId="13">
    <w:abstractNumId w:val="14"/>
  </w:num>
  <w:num w:numId="14">
    <w:abstractNumId w:val="8"/>
  </w:num>
  <w:num w:numId="15">
    <w:abstractNumId w:val="21"/>
  </w:num>
  <w:num w:numId="16">
    <w:abstractNumId w:val="23"/>
  </w:num>
  <w:num w:numId="17">
    <w:abstractNumId w:val="19"/>
  </w:num>
  <w:num w:numId="18">
    <w:abstractNumId w:val="31"/>
  </w:num>
  <w:num w:numId="19">
    <w:abstractNumId w:val="17"/>
  </w:num>
  <w:num w:numId="20">
    <w:abstractNumId w:val="1"/>
  </w:num>
  <w:num w:numId="21">
    <w:abstractNumId w:val="12"/>
  </w:num>
  <w:num w:numId="22">
    <w:abstractNumId w:val="32"/>
  </w:num>
  <w:num w:numId="23">
    <w:abstractNumId w:val="22"/>
  </w:num>
  <w:num w:numId="24">
    <w:abstractNumId w:val="6"/>
  </w:num>
  <w:num w:numId="25">
    <w:abstractNumId w:val="28"/>
  </w:num>
  <w:num w:numId="26">
    <w:abstractNumId w:val="30"/>
  </w:num>
  <w:num w:numId="27">
    <w:abstractNumId w:val="2"/>
  </w:num>
  <w:num w:numId="28">
    <w:abstractNumId w:val="4"/>
  </w:num>
  <w:num w:numId="29">
    <w:abstractNumId w:val="16"/>
  </w:num>
  <w:num w:numId="30">
    <w:abstractNumId w:val="26"/>
  </w:num>
  <w:num w:numId="31">
    <w:abstractNumId w:val="24"/>
  </w:num>
  <w:num w:numId="32">
    <w:abstractNumId w:val="11"/>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attachedTemplate r:id="rId1"/>
  <w:documentProtection w:edit="forms" w:enforcement="1" w:cryptProviderType="rsaAES" w:cryptAlgorithmClass="hash" w:cryptAlgorithmType="typeAny" w:cryptAlgorithmSid="14" w:cryptSpinCount="100000" w:hash="chxnDvM49zsalSrvO8OYpLwUYJd4Hfo5rI3VIgJF0dLzm6ib/mDEcrztstC8gG6auR/cpY/HsqWEILxwOrJkFQ==" w:salt="roUbw0ZN3zVaKJ/R2YpK/A=="/>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zYWQwMjAyNGM5ODI4NGZlMTZkOGZiODcxNmNhZjIifQ=="/>
  </w:docVars>
  <w:rsids>
    <w:rsidRoot w:val="0062167D"/>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3723"/>
    <w:rsid w:val="00044286"/>
    <w:rsid w:val="00047F28"/>
    <w:rsid w:val="000503AA"/>
    <w:rsid w:val="000506A1"/>
    <w:rsid w:val="000515DD"/>
    <w:rsid w:val="0005265A"/>
    <w:rsid w:val="000539DD"/>
    <w:rsid w:val="00053BD3"/>
    <w:rsid w:val="0005480D"/>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105C"/>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6F8D"/>
    <w:rsid w:val="000D753B"/>
    <w:rsid w:val="000E4C9E"/>
    <w:rsid w:val="000E5DB4"/>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0126"/>
    <w:rsid w:val="001852C9"/>
    <w:rsid w:val="00187A0B"/>
    <w:rsid w:val="00190087"/>
    <w:rsid w:val="001913C4"/>
    <w:rsid w:val="0019348F"/>
    <w:rsid w:val="00193A07"/>
    <w:rsid w:val="00194C95"/>
    <w:rsid w:val="00195C34"/>
    <w:rsid w:val="00196EF5"/>
    <w:rsid w:val="001A1A53"/>
    <w:rsid w:val="001A234A"/>
    <w:rsid w:val="001A4CF3"/>
    <w:rsid w:val="001A6696"/>
    <w:rsid w:val="001A7254"/>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1FAB"/>
    <w:rsid w:val="00202AA4"/>
    <w:rsid w:val="002031F7"/>
    <w:rsid w:val="002040E6"/>
    <w:rsid w:val="0020527B"/>
    <w:rsid w:val="00205F2C"/>
    <w:rsid w:val="00210B15"/>
    <w:rsid w:val="00212C79"/>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23BA"/>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B6C"/>
    <w:rsid w:val="00302F5F"/>
    <w:rsid w:val="0030441D"/>
    <w:rsid w:val="00306063"/>
    <w:rsid w:val="0031294F"/>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4E3D"/>
    <w:rsid w:val="003D6D61"/>
    <w:rsid w:val="003E019F"/>
    <w:rsid w:val="003E091D"/>
    <w:rsid w:val="003E1C53"/>
    <w:rsid w:val="003E2A69"/>
    <w:rsid w:val="003E2D49"/>
    <w:rsid w:val="003E2FD4"/>
    <w:rsid w:val="003E4541"/>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3D70"/>
    <w:rsid w:val="00434305"/>
    <w:rsid w:val="00435DF7"/>
    <w:rsid w:val="0044083F"/>
    <w:rsid w:val="00441AE7"/>
    <w:rsid w:val="00444FCF"/>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2795"/>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167D"/>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1D72"/>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D770D"/>
    <w:rsid w:val="007E0BF1"/>
    <w:rsid w:val="007F0ED8"/>
    <w:rsid w:val="007F0F63"/>
    <w:rsid w:val="007F17E9"/>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4B5F"/>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97918"/>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0D73"/>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593D"/>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019"/>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A1D"/>
    <w:rsid w:val="00BC5DC7"/>
    <w:rsid w:val="00BC6B8B"/>
    <w:rsid w:val="00BC73D8"/>
    <w:rsid w:val="00BD52D7"/>
    <w:rsid w:val="00BD5AD2"/>
    <w:rsid w:val="00BD6C05"/>
    <w:rsid w:val="00BE22F3"/>
    <w:rsid w:val="00BE5B52"/>
    <w:rsid w:val="00BE7B8D"/>
    <w:rsid w:val="00BF0993"/>
    <w:rsid w:val="00BF10A9"/>
    <w:rsid w:val="00BF1703"/>
    <w:rsid w:val="00BF231C"/>
    <w:rsid w:val="00BF51E5"/>
    <w:rsid w:val="00BF74A6"/>
    <w:rsid w:val="00C013AD"/>
    <w:rsid w:val="00C046C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4694F"/>
    <w:rsid w:val="00C521D6"/>
    <w:rsid w:val="00C55232"/>
    <w:rsid w:val="00C553A4"/>
    <w:rsid w:val="00C55A06"/>
    <w:rsid w:val="00C55D03"/>
    <w:rsid w:val="00C601BC"/>
    <w:rsid w:val="00C6329F"/>
    <w:rsid w:val="00C63340"/>
    <w:rsid w:val="00C643F9"/>
    <w:rsid w:val="00C64E95"/>
    <w:rsid w:val="00C71372"/>
    <w:rsid w:val="00C71863"/>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2CD"/>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4195"/>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50F"/>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7CE"/>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44DEE"/>
    <w:rsid w:val="00E502C1"/>
    <w:rsid w:val="00E502DD"/>
    <w:rsid w:val="00E50D3A"/>
    <w:rsid w:val="00E51387"/>
    <w:rsid w:val="00E51E68"/>
    <w:rsid w:val="00E52EFD"/>
    <w:rsid w:val="00E53390"/>
    <w:rsid w:val="00E5408A"/>
    <w:rsid w:val="00E56800"/>
    <w:rsid w:val="00E60C63"/>
    <w:rsid w:val="00E62FF9"/>
    <w:rsid w:val="00E635D6"/>
    <w:rsid w:val="00E639BC"/>
    <w:rsid w:val="00E664CC"/>
    <w:rsid w:val="00E70388"/>
    <w:rsid w:val="00E70F92"/>
    <w:rsid w:val="00E71B2B"/>
    <w:rsid w:val="00E74313"/>
    <w:rsid w:val="00E74C54"/>
    <w:rsid w:val="00E77A03"/>
    <w:rsid w:val="00E822E8"/>
    <w:rsid w:val="00E82554"/>
    <w:rsid w:val="00E82606"/>
    <w:rsid w:val="00E831C1"/>
    <w:rsid w:val="00E846C8"/>
    <w:rsid w:val="00E84957"/>
    <w:rsid w:val="00E84A55"/>
    <w:rsid w:val="00E85BFF"/>
    <w:rsid w:val="00E90391"/>
    <w:rsid w:val="00E906C2"/>
    <w:rsid w:val="00E92F34"/>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35F6"/>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3B232A1D"/>
    <w:rsid w:val="3BEE61D7"/>
    <w:rsid w:val="42485A94"/>
    <w:rsid w:val="4E992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Body Text"/>
    <w:basedOn w:val="1"/>
    <w:link w:val="86"/>
    <w:uiPriority w:val="0"/>
    <w:pPr>
      <w:spacing w:after="120"/>
    </w:pPr>
  </w:style>
  <w:style w:type="paragraph" w:styleId="14">
    <w:name w:val="toc 5"/>
    <w:basedOn w:val="1"/>
    <w:next w:val="1"/>
    <w:unhideWhenUsed/>
    <w:uiPriority w:val="39"/>
    <w:pPr>
      <w:ind w:left="839"/>
    </w:pPr>
    <w:rPr>
      <w:rFonts w:ascii="宋体"/>
    </w:rPr>
  </w:style>
  <w:style w:type="paragraph" w:styleId="15">
    <w:name w:val="toc 3"/>
    <w:basedOn w:val="1"/>
    <w:next w:val="1"/>
    <w:unhideWhenUsed/>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uiPriority w:val="99"/>
    <w:pPr>
      <w:tabs>
        <w:tab w:val="center" w:pos="4153"/>
        <w:tab w:val="right" w:pos="8306"/>
      </w:tabs>
      <w:adjustRightInd/>
      <w:snapToGrid w:val="0"/>
      <w:jc w:val="center"/>
    </w:pPr>
    <w:rPr>
      <w:sz w:val="18"/>
      <w:szCs w:val="18"/>
    </w:rPr>
  </w:style>
  <w:style w:type="paragraph" w:styleId="19">
    <w:name w:val="toc 1"/>
    <w:basedOn w:val="1"/>
    <w:next w:val="1"/>
    <w:unhideWhenUsed/>
    <w:uiPriority w:val="39"/>
    <w:rPr>
      <w:rFonts w:ascii="宋体"/>
    </w:rPr>
  </w:style>
  <w:style w:type="paragraph" w:styleId="20">
    <w:name w:val="toc 4"/>
    <w:basedOn w:val="1"/>
    <w:next w:val="1"/>
    <w:unhideWhenUsed/>
    <w:uiPriority w:val="39"/>
    <w:pPr>
      <w:tabs>
        <w:tab w:val="right" w:leader="dot" w:pos="9344"/>
      </w:tabs>
      <w:spacing w:line="300" w:lineRule="exact"/>
      <w:ind w:left="629"/>
    </w:pPr>
    <w:rPr>
      <w:rFonts w:ascii="宋体"/>
    </w:rPr>
  </w:style>
  <w:style w:type="paragraph" w:styleId="21">
    <w:name w:val="footnote text"/>
    <w:basedOn w:val="1"/>
    <w:next w:val="1"/>
    <w:link w:val="99"/>
    <w:semiHidden/>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unhideWhenUsed/>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uiPriority w:val="0"/>
    <w:pPr>
      <w:ind w:left="198"/>
    </w:pPr>
    <w:rPr>
      <w:rFonts w:ascii="宋体" w:hAnsi="Times New Roman" w:eastAsia="宋体" w:cs="Times New Roman"/>
      <w:sz w:val="18"/>
      <w:lang w:val="en-US" w:eastAsia="zh-CN" w:bidi="ar-SA"/>
    </w:rPr>
  </w:style>
  <w:style w:type="paragraph" w:customStyle="1" w:styleId="52">
    <w:name w:val="标准文件_页脚奇数页"/>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uiPriority w:val="0"/>
    <w:pPr>
      <w:spacing w:line="0" w:lineRule="atLeast"/>
    </w:pPr>
    <w:rPr>
      <w:rFonts w:ascii="黑体" w:hAnsi="宋体" w:eastAsia="黑体"/>
    </w:rPr>
  </w:style>
  <w:style w:type="paragraph" w:customStyle="1" w:styleId="55">
    <w:name w:val="标准文件_标准正文"/>
    <w:basedOn w:val="1"/>
    <w:next w:val="56"/>
    <w:uiPriority w:val="0"/>
    <w:pPr>
      <w:snapToGrid w:val="0"/>
      <w:ind w:firstLine="200" w:firstLineChars="200"/>
    </w:pPr>
    <w:rPr>
      <w:kern w:val="0"/>
    </w:rPr>
  </w:style>
  <w:style w:type="paragraph" w:customStyle="1" w:styleId="56">
    <w:name w:val="标准文件_段"/>
    <w:link w:val="184"/>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uiPriority w:val="0"/>
    <w:pPr>
      <w:numPr>
        <w:ilvl w:val="3"/>
        <w:numId w:val="20"/>
      </w:numPr>
      <w:adjustRightInd/>
      <w:spacing w:line="240" w:lineRule="auto"/>
    </w:pPr>
    <w:rPr>
      <w:rFonts w:ascii="宋体" w:hAnsi="宋体"/>
      <w:szCs w:val="24"/>
    </w:rPr>
  </w:style>
  <w:style w:type="paragraph" w:customStyle="1" w:styleId="119">
    <w:name w:val="发布部门"/>
    <w:next w:val="56"/>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uiPriority w:val="0"/>
    <w:pPr>
      <w:outlineLvl w:val="4"/>
    </w:pPr>
  </w:style>
  <w:style w:type="paragraph" w:customStyle="1" w:styleId="130">
    <w:name w:val="附录四级无标题条"/>
    <w:basedOn w:val="129"/>
    <w:next w:val="56"/>
    <w:uiPriority w:val="0"/>
    <w:pPr>
      <w:outlineLvl w:val="5"/>
    </w:pPr>
  </w:style>
  <w:style w:type="paragraph" w:customStyle="1" w:styleId="131">
    <w:name w:val="附录图"/>
    <w:next w:val="56"/>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uiPriority w:val="0"/>
    <w:pPr>
      <w:outlineLvl w:val="6"/>
    </w:pPr>
  </w:style>
  <w:style w:type="paragraph" w:customStyle="1" w:styleId="134">
    <w:name w:val="附录性质"/>
    <w:basedOn w:val="1"/>
    <w:uiPriority w:val="0"/>
    <w:pPr>
      <w:widowControl/>
      <w:adjustRightInd/>
      <w:jc w:val="center"/>
    </w:pPr>
    <w:rPr>
      <w:rFonts w:ascii="黑体" w:eastAsia="黑体"/>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uiPriority w:val="0"/>
    <w:rPr>
      <w:rFonts w:ascii="Arial" w:hAnsi="Arial" w:eastAsia="宋体" w:cs="Arial"/>
      <w:color w:val="auto"/>
      <w:spacing w:val="0"/>
      <w:sz w:val="20"/>
    </w:rPr>
  </w:style>
  <w:style w:type="character" w:customStyle="1" w:styleId="137">
    <w:name w:val="个人撰写风格"/>
    <w:uiPriority w:val="0"/>
    <w:rPr>
      <w:rFonts w:ascii="Arial" w:hAnsi="Arial" w:eastAsia="宋体" w:cs="Arial"/>
      <w:color w:val="auto"/>
      <w:spacing w:val="0"/>
      <w:sz w:val="20"/>
    </w:rPr>
  </w:style>
  <w:style w:type="paragraph" w:customStyle="1" w:styleId="138">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uiPriority w:val="0"/>
    <w:pPr>
      <w:adjustRightInd/>
      <w:spacing w:line="240" w:lineRule="auto"/>
      <w:jc w:val="left"/>
    </w:pPr>
    <w:rPr>
      <w:bCs/>
      <w:iCs/>
    </w:rPr>
  </w:style>
  <w:style w:type="paragraph" w:customStyle="1" w:styleId="143">
    <w:name w:val="目录 31"/>
    <w:basedOn w:val="1"/>
    <w:next w:val="1"/>
    <w:semiHidden/>
    <w:uiPriority w:val="0"/>
    <w:pPr>
      <w:spacing w:line="240" w:lineRule="auto"/>
    </w:pPr>
    <w:rPr>
      <w:rFonts w:ascii="宋体" w:hAnsi="宋体"/>
      <w:iCs/>
    </w:rPr>
  </w:style>
  <w:style w:type="paragraph" w:customStyle="1" w:styleId="144">
    <w:name w:val="目录 41"/>
    <w:basedOn w:val="1"/>
    <w:next w:val="1"/>
    <w:semiHidden/>
    <w:uiPriority w:val="0"/>
    <w:pPr>
      <w:adjustRightInd/>
      <w:spacing w:line="240" w:lineRule="auto"/>
      <w:jc w:val="left"/>
    </w:pPr>
  </w:style>
  <w:style w:type="paragraph" w:customStyle="1" w:styleId="145">
    <w:name w:val="目录 51"/>
    <w:basedOn w:val="1"/>
    <w:next w:val="1"/>
    <w:semiHidden/>
    <w:uiPriority w:val="0"/>
    <w:pPr>
      <w:spacing w:line="240" w:lineRule="auto"/>
    </w:pPr>
    <w:rPr>
      <w:rFonts w:ascii="宋体" w:hAnsi="宋体"/>
    </w:rPr>
  </w:style>
  <w:style w:type="paragraph" w:customStyle="1" w:styleId="146">
    <w:name w:val="目录 61"/>
    <w:basedOn w:val="1"/>
    <w:next w:val="1"/>
    <w:semiHidden/>
    <w:uiPriority w:val="0"/>
    <w:pPr>
      <w:adjustRightInd/>
      <w:spacing w:line="240" w:lineRule="auto"/>
      <w:jc w:val="left"/>
    </w:pPr>
  </w:style>
  <w:style w:type="paragraph" w:customStyle="1" w:styleId="147">
    <w:name w:val="目录 71"/>
    <w:basedOn w:val="146"/>
    <w:semiHidden/>
    <w:uiPriority w:val="0"/>
    <w:pPr>
      <w:ind w:left="1260"/>
    </w:pPr>
  </w:style>
  <w:style w:type="paragraph" w:customStyle="1" w:styleId="148">
    <w:name w:val="目录 81"/>
    <w:basedOn w:val="147"/>
    <w:semiHidden/>
    <w:uiPriority w:val="0"/>
    <w:pPr>
      <w:ind w:left="1470"/>
    </w:pPr>
  </w:style>
  <w:style w:type="paragraph" w:customStyle="1" w:styleId="149">
    <w:name w:val="目录 91"/>
    <w:basedOn w:val="148"/>
    <w:semiHidden/>
    <w:uiPriority w:val="0"/>
    <w:pPr>
      <w:ind w:left="1680"/>
    </w:pPr>
  </w:style>
  <w:style w:type="paragraph" w:customStyle="1" w:styleId="150">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uiPriority w:val="0"/>
    <w:pPr>
      <w:framePr w:wrap="around"/>
      <w:spacing w:line="0" w:lineRule="atLeast"/>
    </w:pPr>
    <w:rPr>
      <w:rFonts w:ascii="黑体" w:eastAsia="黑体"/>
      <w:b w:val="0"/>
    </w:rPr>
  </w:style>
  <w:style w:type="paragraph" w:customStyle="1" w:styleId="152">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uiPriority w:val="0"/>
    <w:pPr>
      <w:numPr>
        <w:ilvl w:val="4"/>
        <w:numId w:val="20"/>
      </w:numPr>
      <w:adjustRightInd/>
      <w:spacing w:line="240" w:lineRule="auto"/>
    </w:pPr>
    <w:rPr>
      <w:rFonts w:ascii="宋体" w:hAnsi="宋体"/>
      <w:szCs w:val="24"/>
    </w:rPr>
  </w:style>
  <w:style w:type="paragraph" w:customStyle="1" w:styleId="154">
    <w:name w:val="实施日期"/>
    <w:basedOn w:val="120"/>
    <w:uiPriority w:val="0"/>
    <w:pPr>
      <w:framePr w:hSpace="0" w:wrap="around" w:xAlign="right"/>
      <w:jc w:val="right"/>
    </w:pPr>
  </w:style>
  <w:style w:type="paragraph" w:customStyle="1" w:styleId="155">
    <w:name w:val="四级无标题条"/>
    <w:basedOn w:val="1"/>
    <w:uiPriority w:val="0"/>
    <w:pPr>
      <w:numPr>
        <w:ilvl w:val="5"/>
        <w:numId w:val="20"/>
      </w:numPr>
      <w:adjustRightInd/>
      <w:spacing w:line="240" w:lineRule="auto"/>
    </w:pPr>
    <w:rPr>
      <w:rFonts w:ascii="宋体" w:hAnsi="宋体"/>
      <w:szCs w:val="24"/>
    </w:rPr>
  </w:style>
  <w:style w:type="paragraph" w:customStyle="1" w:styleId="156">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uiPriority w:val="0"/>
    <w:pPr>
      <w:jc w:val="both"/>
    </w:pPr>
    <w:rPr>
      <w:rFonts w:ascii="宋体" w:hAnsi="宋体" w:eastAsia="宋体" w:cs="Times New Roman"/>
      <w:sz w:val="21"/>
      <w:lang w:val="en-US" w:eastAsia="zh-CN" w:bidi="ar-SA"/>
    </w:rPr>
  </w:style>
  <w:style w:type="paragraph" w:customStyle="1" w:styleId="158">
    <w:name w:val="五级无标题条"/>
    <w:basedOn w:val="1"/>
    <w:uiPriority w:val="0"/>
    <w:pPr>
      <w:numPr>
        <w:ilvl w:val="6"/>
        <w:numId w:val="20"/>
      </w:numPr>
      <w:adjustRightInd/>
    </w:pPr>
    <w:rPr>
      <w:szCs w:val="24"/>
    </w:rPr>
  </w:style>
  <w:style w:type="paragraph" w:customStyle="1" w:styleId="159">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0">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uiPriority w:val="0"/>
    <w:rPr>
      <w:rFonts w:ascii="宋体" w:hAnsi="Times New Roman" w:eastAsia="宋体" w:cs="Times New Roman"/>
      <w:sz w:val="21"/>
      <w:lang w:val="en-US" w:eastAsia="zh-CN" w:bidi="ar-SA"/>
    </w:rPr>
  </w:style>
  <w:style w:type="paragraph" w:customStyle="1" w:styleId="172">
    <w:name w:val="标准文件_三级项"/>
    <w:basedOn w:val="1"/>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uiPriority w:val="0"/>
    <w:rPr>
      <w:rFonts w:ascii="黑体" w:eastAsia="黑体"/>
      <w:spacing w:val="85"/>
      <w:w w:val="100"/>
      <w:position w:val="3"/>
      <w:sz w:val="28"/>
      <w:szCs w:val="28"/>
    </w:rPr>
  </w:style>
  <w:style w:type="paragraph" w:customStyle="1" w:styleId="230">
    <w:name w:val="二级条标题"/>
    <w:basedOn w:val="231"/>
    <w:next w:val="1"/>
    <w:qFormat/>
    <w:uiPriority w:val="0"/>
    <w:pPr>
      <w:numPr>
        <w:ilvl w:val="2"/>
      </w:numPr>
      <w:spacing w:before="50" w:after="50"/>
      <w:outlineLvl w:val="3"/>
    </w:pPr>
  </w:style>
  <w:style w:type="paragraph" w:customStyle="1" w:styleId="231">
    <w:name w:val="一级条标题"/>
    <w:next w:val="1"/>
    <w:qFormat/>
    <w:uiPriority w:val="0"/>
    <w:pPr>
      <w:numPr>
        <w:ilvl w:val="1"/>
        <w:numId w:val="32"/>
      </w:numPr>
      <w:spacing w:beforeLines="50" w:afterLines="50"/>
      <w:outlineLvl w:val="2"/>
    </w:pPr>
    <w:rPr>
      <w:rFonts w:ascii="黑体" w:hAnsi="Times New Roman" w:eastAsia="黑体" w:cs="Times New Roman"/>
      <w:sz w:val="21"/>
      <w:szCs w:val="21"/>
      <w:lang w:val="en-US" w:eastAsia="zh-CN" w:bidi="ar-SA"/>
    </w:rPr>
  </w:style>
  <w:style w:type="paragraph" w:customStyle="1" w:styleId="232">
    <w:name w:val="章标题"/>
    <w:next w:val="1"/>
    <w:link w:val="233"/>
    <w:qFormat/>
    <w:uiPriority w:val="0"/>
    <w:pPr>
      <w:numPr>
        <w:ilvl w:val="0"/>
        <w:numId w:val="32"/>
      </w:numPr>
      <w:spacing w:beforeLines="100" w:afterLines="100"/>
      <w:jc w:val="both"/>
      <w:outlineLvl w:val="1"/>
    </w:pPr>
    <w:rPr>
      <w:rFonts w:ascii="黑体" w:hAnsi="Times New Roman" w:eastAsia="黑体" w:cs="Times New Roman"/>
      <w:sz w:val="21"/>
      <w:lang w:val="en-US" w:eastAsia="zh-CN" w:bidi="ar-SA"/>
    </w:rPr>
  </w:style>
  <w:style w:type="character" w:customStyle="1" w:styleId="233">
    <w:name w:val="章标题 Char"/>
    <w:link w:val="232"/>
    <w:uiPriority w:val="0"/>
    <w:rPr>
      <w:rFonts w:ascii="黑体" w:hAnsi="Times New Roman" w:eastAsia="黑体"/>
      <w:sz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43.wmf"/><Relationship Id="rId97" Type="http://schemas.openxmlformats.org/officeDocument/2006/relationships/oleObject" Target="embeddings/oleObject41.bin"/><Relationship Id="rId96" Type="http://schemas.openxmlformats.org/officeDocument/2006/relationships/image" Target="media/image42.png"/><Relationship Id="rId95" Type="http://schemas.openxmlformats.org/officeDocument/2006/relationships/image" Target="media/image41.wmf"/><Relationship Id="rId94" Type="http://schemas.openxmlformats.org/officeDocument/2006/relationships/oleObject" Target="embeddings/oleObject40.bin"/><Relationship Id="rId93" Type="http://schemas.openxmlformats.org/officeDocument/2006/relationships/image" Target="media/image40.wmf"/><Relationship Id="rId92" Type="http://schemas.openxmlformats.org/officeDocument/2006/relationships/oleObject" Target="embeddings/oleObject39.bin"/><Relationship Id="rId91" Type="http://schemas.openxmlformats.org/officeDocument/2006/relationships/image" Target="media/image39.wmf"/><Relationship Id="rId90" Type="http://schemas.openxmlformats.org/officeDocument/2006/relationships/oleObject" Target="embeddings/oleObject38.bin"/><Relationship Id="rId9" Type="http://schemas.openxmlformats.org/officeDocument/2006/relationships/footer" Target="footer2.xml"/><Relationship Id="rId89" Type="http://schemas.openxmlformats.org/officeDocument/2006/relationships/image" Target="media/image38.wmf"/><Relationship Id="rId88" Type="http://schemas.openxmlformats.org/officeDocument/2006/relationships/oleObject" Target="embeddings/oleObject37.bin"/><Relationship Id="rId87" Type="http://schemas.openxmlformats.org/officeDocument/2006/relationships/image" Target="media/image37.wmf"/><Relationship Id="rId86" Type="http://schemas.openxmlformats.org/officeDocument/2006/relationships/oleObject" Target="embeddings/oleObject36.bin"/><Relationship Id="rId85" Type="http://schemas.openxmlformats.org/officeDocument/2006/relationships/image" Target="media/image36.wmf"/><Relationship Id="rId84" Type="http://schemas.openxmlformats.org/officeDocument/2006/relationships/oleObject" Target="embeddings/oleObject35.bin"/><Relationship Id="rId83" Type="http://schemas.openxmlformats.org/officeDocument/2006/relationships/image" Target="media/image35.wmf"/><Relationship Id="rId82" Type="http://schemas.openxmlformats.org/officeDocument/2006/relationships/oleObject" Target="embeddings/oleObject34.bin"/><Relationship Id="rId81" Type="http://schemas.openxmlformats.org/officeDocument/2006/relationships/image" Target="media/image34.wmf"/><Relationship Id="rId80" Type="http://schemas.openxmlformats.org/officeDocument/2006/relationships/oleObject" Target="embeddings/oleObject33.bin"/><Relationship Id="rId8" Type="http://schemas.openxmlformats.org/officeDocument/2006/relationships/footer" Target="footer1.xml"/><Relationship Id="rId79" Type="http://schemas.openxmlformats.org/officeDocument/2006/relationships/image" Target="media/image33.wmf"/><Relationship Id="rId78" Type="http://schemas.openxmlformats.org/officeDocument/2006/relationships/oleObject" Target="embeddings/oleObject32.bin"/><Relationship Id="rId77" Type="http://schemas.openxmlformats.org/officeDocument/2006/relationships/image" Target="media/image32.wmf"/><Relationship Id="rId76" Type="http://schemas.openxmlformats.org/officeDocument/2006/relationships/oleObject" Target="embeddings/oleObject31.bin"/><Relationship Id="rId75" Type="http://schemas.openxmlformats.org/officeDocument/2006/relationships/image" Target="media/image31.wmf"/><Relationship Id="rId74" Type="http://schemas.openxmlformats.org/officeDocument/2006/relationships/oleObject" Target="embeddings/oleObject30.bin"/><Relationship Id="rId73" Type="http://schemas.openxmlformats.org/officeDocument/2006/relationships/image" Target="media/image30.wmf"/><Relationship Id="rId72" Type="http://schemas.openxmlformats.org/officeDocument/2006/relationships/oleObject" Target="embeddings/oleObject29.bin"/><Relationship Id="rId71" Type="http://schemas.openxmlformats.org/officeDocument/2006/relationships/image" Target="media/image29.wmf"/><Relationship Id="rId70" Type="http://schemas.openxmlformats.org/officeDocument/2006/relationships/oleObject" Target="embeddings/oleObject28.bin"/><Relationship Id="rId7" Type="http://schemas.openxmlformats.org/officeDocument/2006/relationships/header" Target="header3.xml"/><Relationship Id="rId69" Type="http://schemas.openxmlformats.org/officeDocument/2006/relationships/image" Target="media/image28.wmf"/><Relationship Id="rId68" Type="http://schemas.openxmlformats.org/officeDocument/2006/relationships/oleObject" Target="embeddings/oleObject27.bin"/><Relationship Id="rId67" Type="http://schemas.openxmlformats.org/officeDocument/2006/relationships/image" Target="media/image27.wmf"/><Relationship Id="rId66" Type="http://schemas.openxmlformats.org/officeDocument/2006/relationships/oleObject" Target="embeddings/oleObject26.bin"/><Relationship Id="rId65" Type="http://schemas.openxmlformats.org/officeDocument/2006/relationships/image" Target="media/image26.wmf"/><Relationship Id="rId64" Type="http://schemas.openxmlformats.org/officeDocument/2006/relationships/oleObject" Target="embeddings/oleObject25.bin"/><Relationship Id="rId63" Type="http://schemas.openxmlformats.org/officeDocument/2006/relationships/image" Target="media/image25.wmf"/><Relationship Id="rId62" Type="http://schemas.openxmlformats.org/officeDocument/2006/relationships/oleObject" Target="embeddings/oleObject24.bin"/><Relationship Id="rId61" Type="http://schemas.openxmlformats.org/officeDocument/2006/relationships/image" Target="media/image24.wmf"/><Relationship Id="rId60" Type="http://schemas.openxmlformats.org/officeDocument/2006/relationships/oleObject" Target="embeddings/oleObject23.bin"/><Relationship Id="rId6" Type="http://schemas.openxmlformats.org/officeDocument/2006/relationships/header" Target="header2.xml"/><Relationship Id="rId59" Type="http://schemas.openxmlformats.org/officeDocument/2006/relationships/image" Target="media/image23.wmf"/><Relationship Id="rId58" Type="http://schemas.openxmlformats.org/officeDocument/2006/relationships/oleObject" Target="embeddings/oleObject22.bin"/><Relationship Id="rId57" Type="http://schemas.openxmlformats.org/officeDocument/2006/relationships/image" Target="media/image22.wmf"/><Relationship Id="rId56" Type="http://schemas.openxmlformats.org/officeDocument/2006/relationships/oleObject" Target="embeddings/oleObject21.bin"/><Relationship Id="rId55" Type="http://schemas.openxmlformats.org/officeDocument/2006/relationships/image" Target="media/image21.wmf"/><Relationship Id="rId54" Type="http://schemas.openxmlformats.org/officeDocument/2006/relationships/oleObject" Target="embeddings/oleObject20.bin"/><Relationship Id="rId53" Type="http://schemas.openxmlformats.org/officeDocument/2006/relationships/image" Target="media/image20.wmf"/><Relationship Id="rId52" Type="http://schemas.openxmlformats.org/officeDocument/2006/relationships/oleObject" Target="embeddings/oleObject19.bin"/><Relationship Id="rId51" Type="http://schemas.openxmlformats.org/officeDocument/2006/relationships/image" Target="media/image19.wmf"/><Relationship Id="rId50" Type="http://schemas.openxmlformats.org/officeDocument/2006/relationships/oleObject" Target="embeddings/oleObject18.bin"/><Relationship Id="rId5" Type="http://schemas.openxmlformats.org/officeDocument/2006/relationships/header" Target="header1.xml"/><Relationship Id="rId49" Type="http://schemas.openxmlformats.org/officeDocument/2006/relationships/image" Target="media/image18.wmf"/><Relationship Id="rId48" Type="http://schemas.openxmlformats.org/officeDocument/2006/relationships/oleObject" Target="embeddings/oleObject17.bin"/><Relationship Id="rId47" Type="http://schemas.openxmlformats.org/officeDocument/2006/relationships/image" Target="media/image17.wmf"/><Relationship Id="rId46" Type="http://schemas.openxmlformats.org/officeDocument/2006/relationships/oleObject" Target="embeddings/oleObject16.bin"/><Relationship Id="rId45" Type="http://schemas.openxmlformats.org/officeDocument/2006/relationships/image" Target="media/image16.wmf"/><Relationship Id="rId44" Type="http://schemas.openxmlformats.org/officeDocument/2006/relationships/oleObject" Target="embeddings/oleObject15.bin"/><Relationship Id="rId43" Type="http://schemas.openxmlformats.org/officeDocument/2006/relationships/image" Target="media/image15.wmf"/><Relationship Id="rId42" Type="http://schemas.openxmlformats.org/officeDocument/2006/relationships/oleObject" Target="embeddings/oleObject14.bin"/><Relationship Id="rId41" Type="http://schemas.openxmlformats.org/officeDocument/2006/relationships/image" Target="media/image14.wmf"/><Relationship Id="rId40" Type="http://schemas.openxmlformats.org/officeDocument/2006/relationships/oleObject" Target="embeddings/oleObject13.bin"/><Relationship Id="rId4" Type="http://schemas.openxmlformats.org/officeDocument/2006/relationships/endnotes" Target="endnotes.xml"/><Relationship Id="rId39" Type="http://schemas.openxmlformats.org/officeDocument/2006/relationships/image" Target="media/image13.wmf"/><Relationship Id="rId38" Type="http://schemas.openxmlformats.org/officeDocument/2006/relationships/oleObject" Target="embeddings/oleObject12.bin"/><Relationship Id="rId37" Type="http://schemas.openxmlformats.org/officeDocument/2006/relationships/image" Target="media/image12.wmf"/><Relationship Id="rId36" Type="http://schemas.openxmlformats.org/officeDocument/2006/relationships/oleObject" Target="embeddings/oleObject11.bin"/><Relationship Id="rId35" Type="http://schemas.openxmlformats.org/officeDocument/2006/relationships/oleObject" Target="embeddings/oleObject10.bin"/><Relationship Id="rId34" Type="http://schemas.openxmlformats.org/officeDocument/2006/relationships/image" Target="media/image11.wmf"/><Relationship Id="rId33" Type="http://schemas.openxmlformats.org/officeDocument/2006/relationships/oleObject" Target="embeddings/oleObject9.bin"/><Relationship Id="rId32" Type="http://schemas.openxmlformats.org/officeDocument/2006/relationships/image" Target="media/image10.wmf"/><Relationship Id="rId31" Type="http://schemas.openxmlformats.org/officeDocument/2006/relationships/oleObject" Target="embeddings/oleObject8.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8.wmf"/><Relationship Id="rId27" Type="http://schemas.openxmlformats.org/officeDocument/2006/relationships/oleObject" Target="embeddings/oleObject6.bin"/><Relationship Id="rId262" Type="http://schemas.openxmlformats.org/officeDocument/2006/relationships/glossaryDocument" Target="glossary/document.xml"/><Relationship Id="rId261" Type="http://schemas.openxmlformats.org/officeDocument/2006/relationships/fontTable" Target="fontTable.xml"/><Relationship Id="rId260" Type="http://schemas.openxmlformats.org/officeDocument/2006/relationships/customXml" Target="../customXml/item2.xml"/><Relationship Id="rId26" Type="http://schemas.openxmlformats.org/officeDocument/2006/relationships/image" Target="media/image7.wmf"/><Relationship Id="rId259" Type="http://schemas.openxmlformats.org/officeDocument/2006/relationships/numbering" Target="numbering.xml"/><Relationship Id="rId258" Type="http://schemas.openxmlformats.org/officeDocument/2006/relationships/customXml" Target="../customXml/item1.xml"/><Relationship Id="rId257" Type="http://schemas.openxmlformats.org/officeDocument/2006/relationships/image" Target="media/image119.jpeg"/><Relationship Id="rId256" Type="http://schemas.openxmlformats.org/officeDocument/2006/relationships/image" Target="media/image118.emf"/><Relationship Id="rId255" Type="http://schemas.openxmlformats.org/officeDocument/2006/relationships/image" Target="media/image117.wmf"/><Relationship Id="rId254" Type="http://schemas.openxmlformats.org/officeDocument/2006/relationships/oleObject" Target="embeddings/oleObject122.bin"/><Relationship Id="rId253" Type="http://schemas.openxmlformats.org/officeDocument/2006/relationships/image" Target="media/image116.wmf"/><Relationship Id="rId252" Type="http://schemas.openxmlformats.org/officeDocument/2006/relationships/oleObject" Target="embeddings/oleObject121.bin"/><Relationship Id="rId251" Type="http://schemas.openxmlformats.org/officeDocument/2006/relationships/image" Target="media/image115.wmf"/><Relationship Id="rId250" Type="http://schemas.openxmlformats.org/officeDocument/2006/relationships/oleObject" Target="embeddings/oleObject120.bin"/><Relationship Id="rId25" Type="http://schemas.openxmlformats.org/officeDocument/2006/relationships/oleObject" Target="embeddings/oleObject5.bin"/><Relationship Id="rId249" Type="http://schemas.openxmlformats.org/officeDocument/2006/relationships/image" Target="media/image114.wmf"/><Relationship Id="rId248" Type="http://schemas.openxmlformats.org/officeDocument/2006/relationships/oleObject" Target="embeddings/oleObject119.bin"/><Relationship Id="rId247" Type="http://schemas.openxmlformats.org/officeDocument/2006/relationships/image" Target="media/image113.wmf"/><Relationship Id="rId246" Type="http://schemas.openxmlformats.org/officeDocument/2006/relationships/oleObject" Target="embeddings/oleObject118.bin"/><Relationship Id="rId245" Type="http://schemas.openxmlformats.org/officeDocument/2006/relationships/image" Target="media/image112.wmf"/><Relationship Id="rId244" Type="http://schemas.openxmlformats.org/officeDocument/2006/relationships/oleObject" Target="embeddings/oleObject117.bin"/><Relationship Id="rId243" Type="http://schemas.openxmlformats.org/officeDocument/2006/relationships/image" Target="media/image111.wmf"/><Relationship Id="rId242" Type="http://schemas.openxmlformats.org/officeDocument/2006/relationships/oleObject" Target="embeddings/oleObject116.bin"/><Relationship Id="rId241" Type="http://schemas.openxmlformats.org/officeDocument/2006/relationships/image" Target="media/image110.wmf"/><Relationship Id="rId240" Type="http://schemas.openxmlformats.org/officeDocument/2006/relationships/oleObject" Target="embeddings/oleObject115.bin"/><Relationship Id="rId24" Type="http://schemas.openxmlformats.org/officeDocument/2006/relationships/image" Target="media/image6.wmf"/><Relationship Id="rId239" Type="http://schemas.openxmlformats.org/officeDocument/2006/relationships/image" Target="media/image109.wmf"/><Relationship Id="rId238" Type="http://schemas.openxmlformats.org/officeDocument/2006/relationships/oleObject" Target="embeddings/oleObject114.bin"/><Relationship Id="rId237" Type="http://schemas.openxmlformats.org/officeDocument/2006/relationships/image" Target="media/image108.wmf"/><Relationship Id="rId236" Type="http://schemas.openxmlformats.org/officeDocument/2006/relationships/oleObject" Target="embeddings/oleObject113.bin"/><Relationship Id="rId235" Type="http://schemas.openxmlformats.org/officeDocument/2006/relationships/image" Target="media/image107.wmf"/><Relationship Id="rId234" Type="http://schemas.openxmlformats.org/officeDocument/2006/relationships/oleObject" Target="embeddings/oleObject112.bin"/><Relationship Id="rId233" Type="http://schemas.openxmlformats.org/officeDocument/2006/relationships/image" Target="media/image106.wmf"/><Relationship Id="rId232" Type="http://schemas.openxmlformats.org/officeDocument/2006/relationships/oleObject" Target="embeddings/oleObject111.bin"/><Relationship Id="rId231" Type="http://schemas.openxmlformats.org/officeDocument/2006/relationships/image" Target="media/image105.wmf"/><Relationship Id="rId230" Type="http://schemas.openxmlformats.org/officeDocument/2006/relationships/oleObject" Target="embeddings/oleObject110.bin"/><Relationship Id="rId23" Type="http://schemas.openxmlformats.org/officeDocument/2006/relationships/oleObject" Target="embeddings/oleObject4.bin"/><Relationship Id="rId229" Type="http://schemas.openxmlformats.org/officeDocument/2006/relationships/image" Target="media/image104.wmf"/><Relationship Id="rId228" Type="http://schemas.openxmlformats.org/officeDocument/2006/relationships/oleObject" Target="embeddings/oleObject109.bin"/><Relationship Id="rId227" Type="http://schemas.openxmlformats.org/officeDocument/2006/relationships/image" Target="media/image103.wmf"/><Relationship Id="rId226" Type="http://schemas.openxmlformats.org/officeDocument/2006/relationships/oleObject" Target="embeddings/oleObject108.bin"/><Relationship Id="rId225" Type="http://schemas.openxmlformats.org/officeDocument/2006/relationships/oleObject" Target="embeddings/oleObject107.bin"/><Relationship Id="rId224" Type="http://schemas.openxmlformats.org/officeDocument/2006/relationships/image" Target="media/image102.wmf"/><Relationship Id="rId223" Type="http://schemas.openxmlformats.org/officeDocument/2006/relationships/oleObject" Target="embeddings/oleObject106.bin"/><Relationship Id="rId222" Type="http://schemas.openxmlformats.org/officeDocument/2006/relationships/image" Target="media/image101.wmf"/><Relationship Id="rId221" Type="http://schemas.openxmlformats.org/officeDocument/2006/relationships/oleObject" Target="embeddings/oleObject105.bin"/><Relationship Id="rId220" Type="http://schemas.openxmlformats.org/officeDocument/2006/relationships/image" Target="media/image100.wmf"/><Relationship Id="rId22" Type="http://schemas.openxmlformats.org/officeDocument/2006/relationships/image" Target="media/image5.wmf"/><Relationship Id="rId219" Type="http://schemas.openxmlformats.org/officeDocument/2006/relationships/oleObject" Target="embeddings/oleObject104.bin"/><Relationship Id="rId218" Type="http://schemas.openxmlformats.org/officeDocument/2006/relationships/oleObject" Target="embeddings/oleObject103.bin"/><Relationship Id="rId217" Type="http://schemas.openxmlformats.org/officeDocument/2006/relationships/oleObject" Target="embeddings/oleObject102.bin"/><Relationship Id="rId216" Type="http://schemas.openxmlformats.org/officeDocument/2006/relationships/image" Target="media/image99.wmf"/><Relationship Id="rId215" Type="http://schemas.openxmlformats.org/officeDocument/2006/relationships/oleObject" Target="embeddings/oleObject101.bin"/><Relationship Id="rId214" Type="http://schemas.openxmlformats.org/officeDocument/2006/relationships/image" Target="media/image98.wmf"/><Relationship Id="rId213" Type="http://schemas.openxmlformats.org/officeDocument/2006/relationships/oleObject" Target="embeddings/oleObject100.bin"/><Relationship Id="rId212" Type="http://schemas.openxmlformats.org/officeDocument/2006/relationships/image" Target="media/image97.wmf"/><Relationship Id="rId211" Type="http://schemas.openxmlformats.org/officeDocument/2006/relationships/oleObject" Target="embeddings/oleObject99.bin"/><Relationship Id="rId210" Type="http://schemas.openxmlformats.org/officeDocument/2006/relationships/image" Target="media/image96.wmf"/><Relationship Id="rId21" Type="http://schemas.openxmlformats.org/officeDocument/2006/relationships/oleObject" Target="embeddings/oleObject3.bin"/><Relationship Id="rId209" Type="http://schemas.openxmlformats.org/officeDocument/2006/relationships/oleObject" Target="embeddings/oleObject98.bin"/><Relationship Id="rId208" Type="http://schemas.openxmlformats.org/officeDocument/2006/relationships/image" Target="media/image95.wmf"/><Relationship Id="rId207" Type="http://schemas.openxmlformats.org/officeDocument/2006/relationships/oleObject" Target="embeddings/oleObject97.bin"/><Relationship Id="rId206" Type="http://schemas.openxmlformats.org/officeDocument/2006/relationships/image" Target="media/image94.wmf"/><Relationship Id="rId205" Type="http://schemas.openxmlformats.org/officeDocument/2006/relationships/oleObject" Target="embeddings/oleObject96.bin"/><Relationship Id="rId204" Type="http://schemas.openxmlformats.org/officeDocument/2006/relationships/image" Target="media/image93.wmf"/><Relationship Id="rId203" Type="http://schemas.openxmlformats.org/officeDocument/2006/relationships/oleObject" Target="embeddings/oleObject95.bin"/><Relationship Id="rId202" Type="http://schemas.openxmlformats.org/officeDocument/2006/relationships/image" Target="media/image92.wmf"/><Relationship Id="rId201" Type="http://schemas.openxmlformats.org/officeDocument/2006/relationships/oleObject" Target="embeddings/oleObject94.bin"/><Relationship Id="rId200" Type="http://schemas.openxmlformats.org/officeDocument/2006/relationships/image" Target="media/image91.wmf"/><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90.wmf"/><Relationship Id="rId197" Type="http://schemas.openxmlformats.org/officeDocument/2006/relationships/oleObject" Target="embeddings/oleObject92.bin"/><Relationship Id="rId196" Type="http://schemas.openxmlformats.org/officeDocument/2006/relationships/image" Target="media/image89.wmf"/><Relationship Id="rId195" Type="http://schemas.openxmlformats.org/officeDocument/2006/relationships/oleObject" Target="embeddings/oleObject91.bin"/><Relationship Id="rId194" Type="http://schemas.openxmlformats.org/officeDocument/2006/relationships/oleObject" Target="embeddings/oleObject90.bin"/><Relationship Id="rId193" Type="http://schemas.openxmlformats.org/officeDocument/2006/relationships/image" Target="media/image88.wmf"/><Relationship Id="rId192" Type="http://schemas.openxmlformats.org/officeDocument/2006/relationships/oleObject" Target="embeddings/oleObject89.bin"/><Relationship Id="rId191" Type="http://schemas.openxmlformats.org/officeDocument/2006/relationships/image" Target="media/image87.wmf"/><Relationship Id="rId190" Type="http://schemas.openxmlformats.org/officeDocument/2006/relationships/oleObject" Target="embeddings/oleObject88.bin"/><Relationship Id="rId19" Type="http://schemas.openxmlformats.org/officeDocument/2006/relationships/oleObject" Target="embeddings/oleObject2.bin"/><Relationship Id="rId189" Type="http://schemas.openxmlformats.org/officeDocument/2006/relationships/image" Target="media/image86.wmf"/><Relationship Id="rId188" Type="http://schemas.openxmlformats.org/officeDocument/2006/relationships/oleObject" Target="embeddings/oleObject87.bin"/><Relationship Id="rId187" Type="http://schemas.openxmlformats.org/officeDocument/2006/relationships/image" Target="media/image85.wmf"/><Relationship Id="rId186" Type="http://schemas.openxmlformats.org/officeDocument/2006/relationships/oleObject" Target="embeddings/oleObject86.bin"/><Relationship Id="rId185" Type="http://schemas.openxmlformats.org/officeDocument/2006/relationships/image" Target="media/image84.wmf"/><Relationship Id="rId184" Type="http://schemas.openxmlformats.org/officeDocument/2006/relationships/oleObject" Target="embeddings/oleObject85.bin"/><Relationship Id="rId183" Type="http://schemas.openxmlformats.org/officeDocument/2006/relationships/image" Target="media/image83.wmf"/><Relationship Id="rId182" Type="http://schemas.openxmlformats.org/officeDocument/2006/relationships/oleObject" Target="embeddings/oleObject84.bin"/><Relationship Id="rId181" Type="http://schemas.openxmlformats.org/officeDocument/2006/relationships/image" Target="media/image82.wmf"/><Relationship Id="rId180" Type="http://schemas.openxmlformats.org/officeDocument/2006/relationships/oleObject" Target="embeddings/oleObject83.bin"/><Relationship Id="rId18" Type="http://schemas.openxmlformats.org/officeDocument/2006/relationships/image" Target="media/image3.wmf"/><Relationship Id="rId179" Type="http://schemas.openxmlformats.org/officeDocument/2006/relationships/image" Target="media/image81.wmf"/><Relationship Id="rId178" Type="http://schemas.openxmlformats.org/officeDocument/2006/relationships/oleObject" Target="embeddings/oleObject82.bin"/><Relationship Id="rId177" Type="http://schemas.openxmlformats.org/officeDocument/2006/relationships/image" Target="media/image80.wmf"/><Relationship Id="rId176" Type="http://schemas.openxmlformats.org/officeDocument/2006/relationships/oleObject" Target="embeddings/oleObject81.bin"/><Relationship Id="rId175" Type="http://schemas.openxmlformats.org/officeDocument/2006/relationships/image" Target="media/image79.wmf"/><Relationship Id="rId174" Type="http://schemas.openxmlformats.org/officeDocument/2006/relationships/oleObject" Target="embeddings/oleObject80.bin"/><Relationship Id="rId173" Type="http://schemas.openxmlformats.org/officeDocument/2006/relationships/oleObject" Target="embeddings/oleObject79.bin"/><Relationship Id="rId172" Type="http://schemas.openxmlformats.org/officeDocument/2006/relationships/image" Target="media/image78.wmf"/><Relationship Id="rId171" Type="http://schemas.openxmlformats.org/officeDocument/2006/relationships/oleObject" Target="embeddings/oleObject78.bin"/><Relationship Id="rId170" Type="http://schemas.openxmlformats.org/officeDocument/2006/relationships/oleObject" Target="embeddings/oleObject77.bin"/><Relationship Id="rId17" Type="http://schemas.openxmlformats.org/officeDocument/2006/relationships/oleObject" Target="embeddings/oleObject1.bin"/><Relationship Id="rId169" Type="http://schemas.openxmlformats.org/officeDocument/2006/relationships/oleObject" Target="embeddings/oleObject76.bin"/><Relationship Id="rId168" Type="http://schemas.openxmlformats.org/officeDocument/2006/relationships/image" Target="media/image77.wmf"/><Relationship Id="rId167" Type="http://schemas.openxmlformats.org/officeDocument/2006/relationships/oleObject" Target="embeddings/oleObject75.bin"/><Relationship Id="rId166" Type="http://schemas.openxmlformats.org/officeDocument/2006/relationships/image" Target="media/image76.wmf"/><Relationship Id="rId165" Type="http://schemas.openxmlformats.org/officeDocument/2006/relationships/oleObject" Target="embeddings/oleObject74.bin"/><Relationship Id="rId164" Type="http://schemas.openxmlformats.org/officeDocument/2006/relationships/oleObject" Target="embeddings/oleObject73.bin"/><Relationship Id="rId163" Type="http://schemas.openxmlformats.org/officeDocument/2006/relationships/image" Target="media/image75.wmf"/><Relationship Id="rId162" Type="http://schemas.openxmlformats.org/officeDocument/2006/relationships/oleObject" Target="embeddings/oleObject72.bin"/><Relationship Id="rId161" Type="http://schemas.openxmlformats.org/officeDocument/2006/relationships/image" Target="media/image74.wmf"/><Relationship Id="rId160" Type="http://schemas.openxmlformats.org/officeDocument/2006/relationships/oleObject" Target="embeddings/oleObject71.bin"/><Relationship Id="rId16" Type="http://schemas.openxmlformats.org/officeDocument/2006/relationships/image" Target="media/image2.png"/><Relationship Id="rId159" Type="http://schemas.openxmlformats.org/officeDocument/2006/relationships/image" Target="media/image73.emf"/><Relationship Id="rId158" Type="http://schemas.openxmlformats.org/officeDocument/2006/relationships/oleObject" Target="embeddings/Microsoft_Visio_2003-2010___2.vsd"/><Relationship Id="rId157" Type="http://schemas.openxmlformats.org/officeDocument/2006/relationships/image" Target="media/image72.emf"/><Relationship Id="rId156" Type="http://schemas.openxmlformats.org/officeDocument/2006/relationships/oleObject" Target="embeddings/Microsoft_Visio_2003-2010___1.vsd"/><Relationship Id="rId155" Type="http://schemas.openxmlformats.org/officeDocument/2006/relationships/image" Target="media/image71.wmf"/><Relationship Id="rId154" Type="http://schemas.openxmlformats.org/officeDocument/2006/relationships/oleObject" Target="embeddings/oleObject70.bin"/><Relationship Id="rId153" Type="http://schemas.openxmlformats.org/officeDocument/2006/relationships/oleObject" Target="embeddings/oleObject69.bin"/><Relationship Id="rId152" Type="http://schemas.openxmlformats.org/officeDocument/2006/relationships/image" Target="media/image70.wmf"/><Relationship Id="rId151" Type="http://schemas.openxmlformats.org/officeDocument/2006/relationships/oleObject" Target="embeddings/oleObject68.bin"/><Relationship Id="rId150" Type="http://schemas.openxmlformats.org/officeDocument/2006/relationships/image" Target="media/image69.wmf"/><Relationship Id="rId15" Type="http://schemas.openxmlformats.org/officeDocument/2006/relationships/image" Target="media/image1.png"/><Relationship Id="rId149" Type="http://schemas.openxmlformats.org/officeDocument/2006/relationships/oleObject" Target="embeddings/oleObject67.bin"/><Relationship Id="rId148" Type="http://schemas.openxmlformats.org/officeDocument/2006/relationships/image" Target="media/image68.wmf"/><Relationship Id="rId147" Type="http://schemas.openxmlformats.org/officeDocument/2006/relationships/oleObject" Target="embeddings/oleObject66.bin"/><Relationship Id="rId146" Type="http://schemas.openxmlformats.org/officeDocument/2006/relationships/oleObject" Target="embeddings/oleObject65.bin"/><Relationship Id="rId145" Type="http://schemas.openxmlformats.org/officeDocument/2006/relationships/image" Target="media/image67.png"/><Relationship Id="rId144" Type="http://schemas.openxmlformats.org/officeDocument/2006/relationships/image" Target="media/image66.wmf"/><Relationship Id="rId143" Type="http://schemas.openxmlformats.org/officeDocument/2006/relationships/oleObject" Target="embeddings/oleObject64.bin"/><Relationship Id="rId142" Type="http://schemas.openxmlformats.org/officeDocument/2006/relationships/image" Target="media/image65.wmf"/><Relationship Id="rId141" Type="http://schemas.openxmlformats.org/officeDocument/2006/relationships/oleObject" Target="embeddings/oleObject63.bin"/><Relationship Id="rId140" Type="http://schemas.openxmlformats.org/officeDocument/2006/relationships/oleObject" Target="embeddings/oleObject62.bin"/><Relationship Id="rId14" Type="http://schemas.openxmlformats.org/officeDocument/2006/relationships/theme" Target="theme/theme1.xml"/><Relationship Id="rId139" Type="http://schemas.openxmlformats.org/officeDocument/2006/relationships/image" Target="media/image64.wmf"/><Relationship Id="rId138" Type="http://schemas.openxmlformats.org/officeDocument/2006/relationships/oleObject" Target="embeddings/oleObject61.bin"/><Relationship Id="rId137" Type="http://schemas.openxmlformats.org/officeDocument/2006/relationships/image" Target="media/image63.png"/><Relationship Id="rId136" Type="http://schemas.openxmlformats.org/officeDocument/2006/relationships/image" Target="media/image62.wmf"/><Relationship Id="rId135" Type="http://schemas.openxmlformats.org/officeDocument/2006/relationships/oleObject" Target="embeddings/oleObject60.bin"/><Relationship Id="rId134" Type="http://schemas.openxmlformats.org/officeDocument/2006/relationships/image" Target="media/image61.wmf"/><Relationship Id="rId133" Type="http://schemas.openxmlformats.org/officeDocument/2006/relationships/oleObject" Target="embeddings/oleObject59.bin"/><Relationship Id="rId132" Type="http://schemas.openxmlformats.org/officeDocument/2006/relationships/image" Target="media/image60.wmf"/><Relationship Id="rId131" Type="http://schemas.openxmlformats.org/officeDocument/2006/relationships/oleObject" Target="embeddings/oleObject58.bin"/><Relationship Id="rId130" Type="http://schemas.openxmlformats.org/officeDocument/2006/relationships/image" Target="media/image59.wmf"/><Relationship Id="rId13" Type="http://schemas.openxmlformats.org/officeDocument/2006/relationships/footer" Target="footer4.xml"/><Relationship Id="rId129" Type="http://schemas.openxmlformats.org/officeDocument/2006/relationships/oleObject" Target="embeddings/oleObject57.bin"/><Relationship Id="rId128" Type="http://schemas.openxmlformats.org/officeDocument/2006/relationships/image" Target="media/image58.wmf"/><Relationship Id="rId127" Type="http://schemas.openxmlformats.org/officeDocument/2006/relationships/oleObject" Target="embeddings/oleObject56.bin"/><Relationship Id="rId126" Type="http://schemas.openxmlformats.org/officeDocument/2006/relationships/image" Target="media/image57.wmf"/><Relationship Id="rId125" Type="http://schemas.openxmlformats.org/officeDocument/2006/relationships/oleObject" Target="embeddings/oleObject55.bin"/><Relationship Id="rId124" Type="http://schemas.openxmlformats.org/officeDocument/2006/relationships/image" Target="media/image56.wmf"/><Relationship Id="rId123" Type="http://schemas.openxmlformats.org/officeDocument/2006/relationships/oleObject" Target="embeddings/oleObject54.bin"/><Relationship Id="rId122" Type="http://schemas.openxmlformats.org/officeDocument/2006/relationships/image" Target="media/image55.wmf"/><Relationship Id="rId121" Type="http://schemas.openxmlformats.org/officeDocument/2006/relationships/oleObject" Target="embeddings/oleObject53.bin"/><Relationship Id="rId120" Type="http://schemas.openxmlformats.org/officeDocument/2006/relationships/image" Target="media/image54.wmf"/><Relationship Id="rId12" Type="http://schemas.openxmlformats.org/officeDocument/2006/relationships/header" Target="header5.xml"/><Relationship Id="rId119" Type="http://schemas.openxmlformats.org/officeDocument/2006/relationships/oleObject" Target="embeddings/oleObject52.bin"/><Relationship Id="rId118" Type="http://schemas.openxmlformats.org/officeDocument/2006/relationships/image" Target="media/image53.wmf"/><Relationship Id="rId117" Type="http://schemas.openxmlformats.org/officeDocument/2006/relationships/oleObject" Target="embeddings/oleObject51.bin"/><Relationship Id="rId116" Type="http://schemas.openxmlformats.org/officeDocument/2006/relationships/image" Target="media/image52.wmf"/><Relationship Id="rId115" Type="http://schemas.openxmlformats.org/officeDocument/2006/relationships/oleObject" Target="embeddings/oleObject50.bin"/><Relationship Id="rId114" Type="http://schemas.openxmlformats.org/officeDocument/2006/relationships/image" Target="media/image51.wmf"/><Relationship Id="rId113" Type="http://schemas.openxmlformats.org/officeDocument/2006/relationships/oleObject" Target="embeddings/oleObject49.bin"/><Relationship Id="rId112" Type="http://schemas.openxmlformats.org/officeDocument/2006/relationships/image" Target="media/image50.wmf"/><Relationship Id="rId111" Type="http://schemas.openxmlformats.org/officeDocument/2006/relationships/oleObject" Target="embeddings/oleObject48.bin"/><Relationship Id="rId110" Type="http://schemas.openxmlformats.org/officeDocument/2006/relationships/image" Target="media/image49.wmf"/><Relationship Id="rId11" Type="http://schemas.openxmlformats.org/officeDocument/2006/relationships/header" Target="header4.xml"/><Relationship Id="rId109" Type="http://schemas.openxmlformats.org/officeDocument/2006/relationships/oleObject" Target="embeddings/oleObject47.bin"/><Relationship Id="rId108" Type="http://schemas.openxmlformats.org/officeDocument/2006/relationships/image" Target="media/image48.wmf"/><Relationship Id="rId107" Type="http://schemas.openxmlformats.org/officeDocument/2006/relationships/oleObject" Target="embeddings/oleObject46.bin"/><Relationship Id="rId106" Type="http://schemas.openxmlformats.org/officeDocument/2006/relationships/image" Target="media/image47.wmf"/><Relationship Id="rId105" Type="http://schemas.openxmlformats.org/officeDocument/2006/relationships/oleObject" Target="embeddings/oleObject45.bin"/><Relationship Id="rId104" Type="http://schemas.openxmlformats.org/officeDocument/2006/relationships/image" Target="media/image46.wmf"/><Relationship Id="rId103" Type="http://schemas.openxmlformats.org/officeDocument/2006/relationships/oleObject" Target="embeddings/oleObject44.bin"/><Relationship Id="rId102" Type="http://schemas.openxmlformats.org/officeDocument/2006/relationships/image" Target="media/image45.wmf"/><Relationship Id="rId101" Type="http://schemas.openxmlformats.org/officeDocument/2006/relationships/oleObject" Target="embeddings/oleObject43.bin"/><Relationship Id="rId100" Type="http://schemas.openxmlformats.org/officeDocument/2006/relationships/image" Target="media/image44.wmf"/><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305C22D60814B719D25B71C34B6BEF0"/>
        <w:style w:val=""/>
        <w:category>
          <w:name w:val="常规"/>
          <w:gallery w:val="placeholder"/>
        </w:category>
        <w:types>
          <w:type w:val="bbPlcHdr"/>
        </w:types>
        <w:behaviors>
          <w:behavior w:val="content"/>
        </w:behaviors>
        <w:description w:val=""/>
        <w:guid w:val="{036E78DF-84DA-458C-B3A7-6BD3B4EFE86B}"/>
      </w:docPartPr>
      <w:docPartBody>
        <w:p>
          <w:pPr>
            <w:pStyle w:val="5"/>
          </w:pPr>
          <w:r>
            <w:rPr>
              <w:rStyle w:val="4"/>
              <w:rFonts w:hint="eastAsia"/>
            </w:rPr>
            <w:t>单击或点击此处输入文字。</w:t>
          </w:r>
        </w:p>
      </w:docPartBody>
    </w:docPart>
    <w:docPart>
      <w:docPartPr>
        <w:name w:val="573E4A590A5C4E8AA95040AB6325A600"/>
        <w:style w:val=""/>
        <w:category>
          <w:name w:val="常规"/>
          <w:gallery w:val="placeholder"/>
        </w:category>
        <w:types>
          <w:type w:val="bbPlcHdr"/>
        </w:types>
        <w:behaviors>
          <w:behavior w:val="content"/>
        </w:behaviors>
        <w:description w:val=""/>
        <w:guid w:val="{980314C7-7303-4E0B-B051-666A74133E48}"/>
      </w:docPartPr>
      <w:docPartBody>
        <w:p>
          <w:pPr>
            <w:pStyle w:val="6"/>
          </w:pPr>
          <w:r>
            <w:rPr>
              <w:rStyle w:val="4"/>
              <w:rFonts w:hint="eastAsia"/>
            </w:rPr>
            <w:t>选择一项。</w:t>
          </w:r>
        </w:p>
      </w:docPartBody>
    </w:docPart>
    <w:docPart>
      <w:docPartPr>
        <w:name w:val="64D6DBB132E848E098B24D6F94DF3985"/>
        <w:style w:val=""/>
        <w:category>
          <w:name w:val="常规"/>
          <w:gallery w:val="placeholder"/>
        </w:category>
        <w:types>
          <w:type w:val="bbPlcHdr"/>
        </w:types>
        <w:behaviors>
          <w:behavior w:val="content"/>
        </w:behaviors>
        <w:description w:val=""/>
        <w:guid w:val="{AFD7E977-5CBB-46FF-B8A8-71A36BE5F08A}"/>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4C7"/>
    <w:rsid w:val="00243CF4"/>
    <w:rsid w:val="002A6380"/>
    <w:rsid w:val="003E777A"/>
    <w:rsid w:val="004610A0"/>
    <w:rsid w:val="00BD0B23"/>
    <w:rsid w:val="00CB1FBC"/>
    <w:rsid w:val="00EC44C7"/>
    <w:rsid w:val="00EF4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6305C22D60814B719D25B71C34B6BE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73E4A590A5C4E8AA95040AB6325A6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64D6DBB132E848E098B24D6F94DF3985"/>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3A7BA3-2974-4E52-AA93-DE7ADDEA8BBA}">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17</Pages>
  <Words>8944</Words>
  <Characters>10316</Characters>
  <Lines>119</Lines>
  <Paragraphs>33</Paragraphs>
  <TotalTime>23</TotalTime>
  <ScaleCrop>false</ScaleCrop>
  <LinksUpToDate>false</LinksUpToDate>
  <CharactersWithSpaces>10703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2023-06-29T01:58:00Z</dcterms:created>
  <dc:creator>wang</dc:creator>
  <dc:description>&lt;config cover="true" show_menu="true" version="1.0.0" doctype="SDKXY"&gt;_x000d_
&lt;/config&gt;</dc:description>
  <cp:lastModifiedBy>User1</cp:lastModifiedBy>
  <cp:lastPrinted>2021-02-02T08:22:00Z</cp:lastPrinted>
  <dcterms:modified xsi:type="dcterms:W3CDTF">2023-06-30T00:37:37Z</dcterms:modified>
  <dc:title>团体标准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2</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MTWinEqns">
    <vt:bool>true</vt:bool>
  </property>
  <property fmtid="{D5CDD505-2E9C-101B-9397-08002B2CF9AE}" pid="15" name="KSOProductBuildVer">
    <vt:lpwstr>2052-11.1.0.14309</vt:lpwstr>
  </property>
  <property fmtid="{D5CDD505-2E9C-101B-9397-08002B2CF9AE}" pid="16" name="ICV">
    <vt:lpwstr>B9F45CBBA7A044CD800D08AFE748694F_13</vt:lpwstr>
  </property>
</Properties>
</file>