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framePr w:wrap="around"/>
        <w:rPr>
          <w:rFonts w:ascii="Times New Roman"/>
        </w:rPr>
      </w:pPr>
      <w:r>
        <w:rPr>
          <w:rFonts w:ascii="Times New Roman"/>
        </w:rPr>
        <w:t>ICS </w:t>
      </w:r>
      <w:bookmarkStart w:id="0"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ascii="Times New Roman"/>
        </w:rPr>
        <w:t>17.220.20</w:t>
      </w:r>
      <w:r>
        <w:rPr>
          <w:rFonts w:ascii="Times New Roman"/>
        </w:rPr>
        <w:fldChar w:fldCharType="end"/>
      </w:r>
      <w:bookmarkEnd w:id="0"/>
    </w:p>
    <w:p>
      <w:pPr>
        <w:pStyle w:val="131"/>
        <w:framePr w:wrap="around"/>
        <w:rPr>
          <w:rFonts w:ascii="Times New Roman"/>
        </w:rPr>
      </w:pPr>
      <w:r>
        <w:rPr>
          <w:rFonts w:ascii="Times New Roman"/>
        </w:rPr>
        <w:t>N 2</w:t>
      </w:r>
      <w:r>
        <w:rPr>
          <w:rFonts w:hint="eastAsia" w:ascii="Times New Roman"/>
        </w:rPr>
        <w:t>2</w:t>
      </w:r>
      <w:r>
        <w:rPr>
          <w:rFonts w:ascii="Times New Roman"/>
        </w:rPr>
        <w:t xml:space="preserve"> </w:t>
      </w:r>
    </w:p>
    <w:p>
      <w:pPr>
        <w:pStyle w:val="103"/>
        <w:framePr w:wrap="around"/>
        <w:rPr>
          <w:rFonts w:ascii="Times New Roman" w:hAnsi="Times New Roman"/>
          <w:b/>
        </w:rPr>
      </w:pPr>
      <w:r>
        <w:rPr>
          <w:rFonts w:ascii="Times New Roman" w:hAnsi="Times New Roman"/>
          <w:b/>
        </w:rPr>
        <w:t>团体标准</w:t>
      </w:r>
    </w:p>
    <w:p>
      <w:pPr>
        <w:pStyle w:val="109"/>
        <w:framePr w:wrap="around"/>
        <w:rPr>
          <w:rFonts w:ascii="Times New Roman"/>
        </w:rPr>
      </w:pPr>
      <w:bookmarkStart w:id="1" w:name="StdNo0"/>
      <w:bookmarkStart w:id="2" w:name="StdNo1"/>
      <w:r>
        <w:rPr>
          <w:rFonts w:ascii="Times New Roman"/>
        </w:rPr>
        <w:t>T/CI</w:t>
      </w:r>
      <w:bookmarkEnd w:id="1"/>
      <w:r>
        <w:rPr>
          <w:rFonts w:ascii="Times New Roman"/>
        </w:rPr>
        <w:t xml:space="preserve">MA  </w:t>
      </w:r>
      <w:bookmarkEnd w:id="2"/>
      <w:r>
        <w:rPr>
          <w:rFonts w:hint="eastAsia" w:ascii="Times New Roman"/>
        </w:rPr>
        <w:t>0098-XXXX</w:t>
      </w:r>
    </w:p>
    <w:tbl>
      <w:tblPr>
        <w:tblStyle w:val="4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95"/>
              <w:framePr w:wrap="around"/>
              <w:rPr>
                <w:rFonts w:ascii="Times New Roman"/>
              </w:rPr>
            </w:pPr>
            <w:bookmarkStart w:id="3" w:name="DT"/>
            <w:r>
              <w:rPr>
                <w:rFonts w:ascii="Times New Roman"/>
              </w:rPr>
              <w:pict>
                <v:rect id="_x0000_s1026" o:spid="_x0000_s1026" o:spt="1" style="position:absolute;left:0pt;margin-left:372.8pt;margin-top:2.7pt;height:18pt;width:90pt;z-index:-251657216;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Ul45IZAgAAJgQAAA4AAABkcnMvZTJvRG9jLnhtbK1TwY7T&#10;MBC9I/EPlu80SSnLNmq6WrUqQlpgpYUPcB2nsXA8Zuw2LT+DxG0/gs9B/AZjp1vKctkDOUQznpnn&#10;eW/Gs6t9Z9hOoddgK16Mcs6UlVBru6n4p4+rF5ec+SBsLQxYVfGD8vxq/vzZrHelGkMLplbICMT6&#10;sncVb0NwZZZ52apO+BE4ZSnYAHYikIubrEbRE3pnsnGeX2Q9YO0QpPKeTpdDkB8R8SmA0DRaqiXI&#10;badsGFBRGRGIkm+183yeum0aJcOHpvEqMFNxYhrSny4hex3/2Xwmyg0K12p5bEE8pYVHnDqhLV16&#10;glqKINgW9T9QnZYIHpowktBlA5GkCLEo8kfa3LXCqcSFpPbuJLr/f7Dy/e4Wma4rPuXMio4G/uvb&#10;/c8f39k0atM7X1LKnbvFyM67G5CfPbOwaIXdqGtE6FslauqoiPnZXwXR8VTK1v07qAlabAMkmfYN&#10;dhGQBGD7NI3DaRpqH5ikw6KYvMxzGpSk2Hh8eUF2vEKUD9UOfXijoGPRqDjStBO62N34MKQ+pKTu&#10;weh6pY1JDm7WC4NsJ2gzVuk7ovvzNGNjsoVYNiDGk0QzMhsUWkN9IJYIw3rR4yKjBfzKWU+rVXH/&#10;ZStQcWbeWlJqWkwmcReTM3n1ekwOnkfW5xFhJUFVPHA2mIsw7O/Wod60dFORSFu4JnUbnYhH5Yeu&#10;js3S+iTpjqse9/PcT1l/nvf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5g8svWAAAACAEAAA8A&#10;AAAAAAAAAQAgAAAAIgAAAGRycy9kb3ducmV2LnhtbFBLAQIUABQAAAAIAIdO4kC1JeOSGQIAACYE&#10;AAAOAAAAAAAAAAEAIAAAACUBAABkcnMvZTJvRG9jLnhtbFBLBQYAAAAABgAGAFkBAACwBQAAAAA=&#10;">
                  <v:path/>
                  <v:fill focussize="0,0"/>
                  <v:stroke on="f"/>
                  <v:imagedata o:title=""/>
                  <o:lock v:ext="edit"/>
                </v:rect>
              </w:pict>
            </w:r>
            <w:bookmarkEnd w:id="3"/>
            <w:r>
              <w:rPr>
                <w:rFonts w:ascii="Times New Roman"/>
              </w:rPr>
              <w:t xml:space="preserve"> </w:t>
            </w:r>
          </w:p>
        </w:tc>
      </w:tr>
    </w:tbl>
    <w:p>
      <w:pPr>
        <w:pStyle w:val="109"/>
        <w:framePr w:wrap="around"/>
        <w:rPr>
          <w:rFonts w:ascii="Times New Roman"/>
        </w:rPr>
      </w:pPr>
    </w:p>
    <w:p>
      <w:pPr>
        <w:pStyle w:val="109"/>
        <w:framePr w:wrap="around"/>
        <w:rPr>
          <w:rFonts w:ascii="Times New Roman"/>
        </w:rPr>
      </w:pPr>
    </w:p>
    <w:p>
      <w:pPr>
        <w:pStyle w:val="63"/>
        <w:framePr w:wrap="around" w:x="1286" w:y="5892"/>
        <w:rPr>
          <w:rFonts w:ascii="Times New Roman"/>
          <w:szCs w:val="22"/>
        </w:rPr>
      </w:pPr>
      <w:r>
        <w:rPr>
          <w:rFonts w:hint="eastAsia" w:ascii="Times New Roman"/>
          <w:szCs w:val="22"/>
        </w:rPr>
        <w:t>低压电力线载波通信故障诊断与处置方法</w:t>
      </w:r>
    </w:p>
    <w:p>
      <w:pPr>
        <w:pStyle w:val="62"/>
        <w:framePr w:wrap="around" w:x="1286" w:y="5892"/>
        <w:rPr>
          <w:u w:val="single"/>
        </w:rPr>
      </w:pPr>
      <w:r>
        <w:rPr>
          <w:rFonts w:hint="eastAsia"/>
          <w:u w:val="single"/>
        </w:rPr>
        <w:t xml:space="preserve">Fault diagnosis and treatment of low-voltage power line carrier communication </w:t>
      </w:r>
    </w:p>
    <w:p>
      <w:pPr>
        <w:pStyle w:val="61"/>
        <w:framePr w:wrap="around" w:x="1286" w:y="5892"/>
        <w:rPr>
          <w:rFonts w:ascii="Times New Roman"/>
        </w:rPr>
      </w:pPr>
    </w:p>
    <w:tbl>
      <w:tblPr>
        <w:tblStyle w:val="4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60"/>
              <w:framePr w:wrap="around" w:x="1286" w:y="5892"/>
              <w:rPr>
                <w:rFonts w:hint="eastAsia" w:ascii="Times New Roman"/>
              </w:rPr>
            </w:pPr>
            <w:r>
              <w:rPr>
                <w:rFonts w:hint="eastAsia" w:ascii="Times New Roman"/>
              </w:rPr>
              <w:t>（征求意见稿）</w:t>
            </w:r>
          </w:p>
          <w:p>
            <w:pPr>
              <w:framePr w:wrap="around" w:vAnchor="margin" w:hAnchor="text" w:x="1286" w:y="5892"/>
              <w:jc w:val="center"/>
              <w:rPr>
                <w:rFonts w:hint="default" w:eastAsia="宋体"/>
                <w:lang w:val="en-US" w:eastAsia="zh-CN"/>
              </w:rPr>
            </w:pPr>
            <w:r>
              <w:rPr>
                <w:rFonts w:hint="eastAsia"/>
              </w:rPr>
              <w:t>2023</w:t>
            </w:r>
            <w:r>
              <w:rPr>
                <w:rFonts w:hint="eastAsia"/>
                <w:lang w:val="en-US" w:eastAsia="zh-CN"/>
              </w:rPr>
              <w:t>11</w:t>
            </w:r>
            <w:bookmarkStart w:id="165" w:name="_GoBack"/>
            <w:bookmarkEnd w:id="165"/>
          </w:p>
          <w:p>
            <w:pPr>
              <w:pStyle w:val="60"/>
              <w:framePr w:wrap="around" w:x="1286" w:y="5892"/>
              <w:rPr>
                <w:rFonts w:ascii="Times New Roman"/>
                <w:i/>
              </w:rPr>
            </w:pPr>
            <w:r>
              <w:rPr>
                <w:rFonts w:ascii="Times New Roman"/>
                <w:i/>
              </w:rPr>
              <w:pict>
                <v:rect id="_x0000_s1030" o:spid="_x0000_s1030" o:spt="1" style="position:absolute;left:0pt;margin-left:102.4pt;margin-top:45.15pt;height:20pt;width:150pt;z-index:-251656192;mso-width-relative:page;mso-height-relative:page;" stroked="f" coordsize="21600,21600"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qj6CdhgCAAAmBAAADgAAAGRycy9lMm9Eb2MueG1srVPBjtMw&#10;EL0j8Q+W7zRJ1cJu1HS1alWEtMBKCx/gOk5i4XjM2G26/AwSNz6Cz0H8BmOnW8py2QM5RDOemed5&#10;b8aLq0Nv2F6h12ArXkxyzpSVUGvbVvzjh82LC858ELYWBqyq+L3y/Gr5/NlicKWaQgemVsgIxPpy&#10;cBXvQnBllnnZqV74CThlKdgA9iKQi21WoxgIvTfZNM9fZgNg7RCk8p5O12OQHxHxKYDQNFqqNchd&#10;r2wYUVEZEYiS77TzfJm6bRolw/um8SowU3FiGtKfLiF7G//ZciHKFoXrtDy2IJ7SwiNOvdCWLj1B&#10;rUUQbIf6H6heSwQPTZhI6LORSFKEWBT5I23uOuFU4kJSe3cS3f8/WPluf4tM1xWnsVvR08B/ff3+&#10;88c3dhG1GZwvKeXO3WJk590NyE+eWVh1wrbqGhGGTomaOipifvZXQXQ8lbLt8BZqgha7AEmmQ4N9&#10;BCQB2CFN4/40DXUITNJhcZnP85wGJSk2nc+iHa8Q5UO1Qx9eK+hZNCqONO2ELvY3PoypDympezC6&#10;3mhjkoPtdmWQ7QVtxiZ9R3R/nmZsTLYQy0bEeJJoRmajQluo74klwrhe9LjI6AC/cDbQalXcf94J&#10;VJyZN5aUuixms7iLyZnNX03JwfPI9jwirCSoigfORnMVxv3dOdRtRzcVibSFa1K30Yl4VH7s6tgs&#10;rU+S7rjqcT/P/ZT153k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N5h1QAAAAoBAAAPAAAA&#10;AAAAAAEAIAAAACIAAABkcnMvZG93bnJldi54bWxQSwECFAAUAAAACACHTuJAqj6CdhgCAAAmBAAA&#10;DgAAAAAAAAABACAAAAAkAQAAZHJzL2Uyb0RvYy54bWxQSwUGAAAAAAYABgBZAQAArgUAAAAA&#10;">
                  <v:path/>
                  <v:fill focussize="0,0"/>
                  <v:stroke on="f"/>
                  <v:imagedata o:title=""/>
                  <o:lock v:ext="edit"/>
                  <w10:anchorlock/>
                </v:rect>
              </w:pict>
            </w:r>
            <w:r>
              <w:rPr>
                <w:rFonts w:ascii="Times New Roman"/>
                <w:i/>
              </w:rPr>
              <w:pict>
                <v:rect id="_x0000_s1029" o:spid="_x0000_s1029" o:spt="1" style="position:absolute;left:0pt;margin-left:122.4pt;margin-top:20.15pt;height:24pt;width:100pt;z-index:-251655168;mso-width-relative:page;mso-height-relative:page;" stroked="f" coordsize="21600,21600"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IUhq68XAgAAJgQAAA4AAABkcnMvZTJvRG9jLnhtbK1TwY7T&#10;MBC9I/EPlu80SSl0iZquVq2KkBZYaeEDXMdJLByPGbtNl59B4sZH8DmI32DsdEtZLnvAB2vGM/M8&#10;73m8uDz0hu0Veg224sUk50xZCbW2bcU/ftg8u+DMB2FrYcCqit8pzy+XT58sBleqKXRgaoWMQKwv&#10;B1fxLgRXZpmXneqFn4BTloINYC8CudhmNYqB0HuTTfP8ZTYA1g5BKu/pdD0G+RERHwMITaOlWoPc&#10;9cqGERWVEYEo+U47z5ep26ZRMrxvGq8CMxUnpiHtdAnZ27hny4UoWxSu0/LYgnhMCw849UJbuvQE&#10;tRZBsB3qf6B6LRE8NGEioc9GIkkRYlHkD7S57YRTiQtJ7d1JdP//YOW7/Q0yXVd8zpkVPT34r6/f&#10;f/74xuZRm8H5klJu3Q1Gdt5dg/zkmYVVJ2yrrhBh6JSoqaMi5md/FUTHUynbDm+hJmixC5BkOjTY&#10;R0ASgB3Sa9ydXkMdApN0WEznOS3OJMWe57MLsuMVoryvdujDawU9i0bFkV47oYv9tQ9j6n1K6h6M&#10;rjfamORgu10ZZHtBk7FJ64juz9OMjckWYtmIGE8SzchsVGgL9R2xRBjHiz4XGR3gF84GGq2K+887&#10;gYoz88aSUq+K2SzOYnJmL+ZTcvA8sj2PCCsJquKBs9FchXF+dw5129FNRSJt4YrUbXQiHpUfuzo2&#10;S+OTpDuOepzPcz9l/fne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ZfSy1gAAAAkBAAAPAAAA&#10;AAAAAAEAIAAAACIAAABkcnMvZG93bnJldi54bWxQSwECFAAUAAAACACHTuJAhSGrrxcCAAAmBAAA&#10;DgAAAAAAAAABACAAAAAlAQAAZHJzL2Uyb0RvYy54bWxQSwUGAAAAAAYABgBZAQAArgUAAAAA&#10;">
                  <v:path/>
                  <v:fill focussize="0,0"/>
                  <v:stroke on="f"/>
                  <v:imagedata o:title=""/>
                  <o:lock v:ext="edit"/>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16"/>
              <w:framePr w:wrap="around" w:x="1286" w:y="5892"/>
              <w:rPr>
                <w:rFonts w:ascii="Times New Roman"/>
                <w:i/>
              </w:rPr>
            </w:pPr>
          </w:p>
        </w:tc>
      </w:tr>
    </w:tbl>
    <w:p>
      <w:pPr>
        <w:pStyle w:val="89"/>
        <w:framePr w:w="19034" w:wrap="around" w:x="233"/>
        <w:ind w:left="142" w:firstLine="140" w:firstLineChars="50"/>
      </w:pPr>
      <w:bookmarkStart w:id="4"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4"/>
      <w:r>
        <w:t>-</w:t>
      </w:r>
      <w:bookmarkStart w:id="5"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r>
        <w:pict>
          <v:line id="_x0000_s1028" o:spid="_x0000_s1028" o:spt="20" style="position:absolute;left:0pt;margin-left:-3.6pt;margin-top:727.2pt;height:0pt;width:466.1pt;mso-position-vertical-relative:page;z-index:251661312;mso-width-relative:page;mso-height-relative:page;" coordsize="21600,21600" o:gfxdata="UEsDBAoAAAAAAIdO4kAAAAAAAAAAAAAAAAAEAAAAZHJzL1BLAwQUAAAACACHTuJAAnJKGdYAAAAM&#10;AQAADwAAAGRycy9kb3ducmV2LnhtbE2PPU/DMBCGdyT+g3VILFVrN6QFQpwOQDYWShHrNTmSiPic&#10;xu4H/HqOAcF47z16P/LVyfXqQGPoPFuYzwwo4srXHTcWNi/l9AZUiMg19p7JwicFWBXnZzlmtT/y&#10;Mx3WsVFiwiFDC22MQ6Z1qFpyGGZ+IJbfux8dRjnHRtcjHsXc9ToxZqkddiwJLQ5031L1sd47C6F8&#10;pV35Nakm5u2q8ZTsHp4e0drLi7m5AxXpFP9g+Kkv1aGQTlu/5zqo3sL0OhFS9HSRpqCEuE0Wsm77&#10;K+ki1/9HFN9QSwMEFAAAAAgAh07iQPvdDm3kAQAAqgMAAA4AAABkcnMvZTJvRG9jLnhtbK1TS44T&#10;MRDdI3EHy3vSSUQCaaUzi0TDZoBIMxyg4nanLWyXZTvp5BJcAIkdrFiyn9swHIOy85kPm1nQC8uu&#10;z6t6r6qnFzuj2Vb6oNBWfNDrcyatwFrZdcU/3Vy+estZiGBr0Ghlxfcy8IvZyxfTzpVyiC3qWnpG&#10;IDaUnat4G6MriyKIVhoIPXTSkrNBbyDS06+L2kNH6EYXw35/XHToa+dRyBDIujg4+RHRPwcQm0YJ&#10;uUCxMdLGA6qXGiJRCq1ygc9yt00jRfzYNEFGpitOTGM+qQjdV+ksZlMo1x5cq8SxBXhOC084GVCW&#10;ip6hFhCBbbz6B8oo4TFgE3sCTXEgkhUhFoP+E22uW3AycyGpgzuLHv4frPiwXXqm6oqPObNgaOB3&#10;X3/9/vL9z+03Ou9+/mDjJFLnQkmxc7v0iabY2Wt3heJzYBbnLdi1zM3e7B0hDFJG8SglPYKjUqvu&#10;PdYUA5uIWbFd402CJC3YLg9mfx6M3EUmyDiaDCav39DMxMlXQHlKdD7EdxINS5eKa2WTZlDC9irE&#10;1AiUp5BktniptM5z15Z1FZ+MhqOcEFCrOjlTWPDr1Vx7toW0OfnLrMjzMMzjxtaHItoeSSeeB8VW&#10;WO+X/iQGjTB3c1y3tCMP3zn7/he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ckoZ1gAAAAwB&#10;AAAPAAAAAAAAAAEAIAAAACIAAABkcnMvZG93bnJldi54bWxQSwECFAAUAAAACACHTuJA+90ObeQB&#10;AACqAwAADgAAAAAAAAABACAAAAAlAQAAZHJzL2Uyb0RvYy54bWxQSwUGAAAAAAYABgBZAQAAewUA&#10;AAAA&#10;">
            <v:path arrowok="t"/>
            <v:fill focussize="0,0"/>
            <v:stroke/>
            <v:imagedata o:title=""/>
            <o:lock v:ext="edit"/>
            <w10:anchorlock/>
          </v:line>
        </w:pict>
      </w:r>
    </w:p>
    <w:p>
      <w:pPr>
        <w:pStyle w:val="146"/>
        <w:framePr w:wrap="around" w:hAnchor="page" w:x="7299" w:y="14140"/>
        <w:ind w:right="560" w:firstLine="840" w:firstLineChars="300"/>
        <w:jc w:val="both"/>
      </w:pPr>
      <w:bookmarkStart w:id="7"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bookmarkEnd w:id="9"/>
      <w:r>
        <w:t>实施</w:t>
      </w:r>
    </w:p>
    <w:p>
      <w:pPr>
        <w:pStyle w:val="81"/>
        <w:framePr w:wrap="around" w:y="15406"/>
        <w:ind w:firstLine="1050"/>
        <w:rPr>
          <w:rFonts w:ascii="Times New Roman"/>
        </w:rPr>
      </w:pPr>
      <w:r>
        <w:rPr>
          <w:rFonts w:ascii="Times New Roman"/>
        </w:rPr>
        <w:t>中国仪器仪表行业协会   </w:t>
      </w:r>
      <w:r>
        <w:rPr>
          <w:rStyle w:val="54"/>
          <w:rFonts w:ascii="Times New Roman"/>
        </w:rPr>
        <w:t>发布</w:t>
      </w:r>
    </w:p>
    <w:p>
      <w:pPr>
        <w:pStyle w:val="95"/>
        <w:framePr w:w="0" w:hRule="auto" w:hSpace="0" w:wrap="auto" w:vAnchor="margin" w:hAnchor="text" w:xAlign="left" w:yAlign="inline"/>
        <w:wordWrap w:val="0"/>
        <w:rPr>
          <w:rFonts w:ascii="Times New Roman"/>
        </w:rPr>
        <w:sectPr>
          <w:pgSz w:w="11906" w:h="16838"/>
          <w:pgMar w:top="567" w:right="850" w:bottom="1134" w:left="1418" w:header="0" w:footer="0" w:gutter="0"/>
          <w:pgNumType w:fmt="upperRoman" w:start="1"/>
          <w:cols w:space="720" w:num="1"/>
          <w:docGrid w:type="lines" w:linePitch="312" w:charSpace="0"/>
        </w:sectPr>
      </w:pPr>
      <w:r>
        <w:rPr>
          <w:rFonts w:ascii="Times New Roman"/>
        </w:rPr>
        <w:pict>
          <v:line id="_x0000_s1027" o:spid="_x0000_s1027" o:spt="20" style="position:absolute;left:0pt;margin-left:-3.65pt;margin-top:162.6pt;height:0pt;width:481.9pt;z-index:251662336;mso-width-relative:page;mso-height-relative:page;" coordsize="21600,21600" o:gfxdata="UEsDBAoAAAAAAIdO4kAAAAAAAAAAAAAAAAAEAAAAZHJzL1BLAwQUAAAACACHTuJA/92cUdgAAAAK&#10;AQAADwAAAGRycy9kb3ducmV2LnhtbE2PTU/DMAyG70j7D5EncZm2ZK06oDTdAeiNC9sQV68xbUXj&#10;dE32Ab+eICHB0faj189brC+2FycafedYw3KhQBDXznTcaNhtq/ktCB+QDfaOScMneViXk6sCc+PO&#10;/EKnTWhEDGGfo4Y2hCGX0tctWfQLNxDH27sbLYY4jo00I55juO1lotRKWuw4fmhxoIeW6o/N0Wrw&#10;1Ssdqq9ZPVNvaeMoOTw+P6HW19OlugcR6BL+YPjRj+pQRqe9O7Lxotcwv0kjqSFNsgREBO6yVQZi&#10;/7uRZSH/Vyi/AV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2cUdgAAAAK&#10;AQAADwAAAAAAAAABACAAAAAiAAAAZHJzL2Rvd25yZXYueG1sUEsBAhQAFAAAAAgAh07iQAM1DObj&#10;AQAAqgMAAA4AAAAAAAAAAQAgAAAAJwEAAGRycy9lMm9Eb2MueG1sUEsFBgAAAAAGAAYAWQEAAHwF&#10;AAAAAA==&#10;">
            <v:path arrowok="t"/>
            <v:fill focussize="0,0"/>
            <v:stroke/>
            <v:imagedata o:title=""/>
            <o:lock v:ext="edit"/>
          </v:line>
        </w:pict>
      </w:r>
    </w:p>
    <w:p>
      <w:r>
        <w:br w:type="page"/>
      </w:r>
    </w:p>
    <w:p>
      <w:pPr>
        <w:pStyle w:val="85"/>
        <w:rPr>
          <w:rFonts w:ascii="Times New Roman"/>
        </w:rPr>
      </w:pPr>
      <w:bookmarkStart w:id="10" w:name="_Toc31710"/>
      <w:r>
        <w:rPr>
          <w:rFonts w:ascii="Times New Roman"/>
        </w:rPr>
        <w:t>目</w:t>
      </w:r>
      <w:bookmarkStart w:id="11" w:name="BKML"/>
      <w:r>
        <w:rPr>
          <w:rFonts w:ascii="Times New Roman" w:eastAsia="MS Mincho"/>
        </w:rPr>
        <w:t>  </w:t>
      </w:r>
      <w:r>
        <w:rPr>
          <w:rFonts w:ascii="Times New Roman"/>
        </w:rPr>
        <w:t>次</w:t>
      </w:r>
      <w:bookmarkEnd w:id="10"/>
      <w:bookmarkEnd w:id="11"/>
    </w:p>
    <w:p>
      <w:pPr>
        <w:pStyle w:val="35"/>
        <w:tabs>
          <w:tab w:val="right" w:leader="dot" w:pos="9413"/>
          <w:tab w:val="clear" w:pos="9241"/>
        </w:tabs>
      </w:pPr>
      <w:r>
        <w:rPr>
          <w:rFonts w:ascii="Times New Roman"/>
          <w:highlight w:val="green"/>
        </w:rPr>
        <w:fldChar w:fldCharType="begin"/>
      </w:r>
      <w:r>
        <w:rPr>
          <w:rFonts w:ascii="Times New Roman"/>
          <w:highlight w:val="green"/>
        </w:rPr>
        <w:instrText xml:space="preserve">TOC \o "1-3" \h \u </w:instrText>
      </w:r>
      <w:r>
        <w:rPr>
          <w:rFonts w:ascii="Times New Roman"/>
          <w:highlight w:val="green"/>
        </w:rPr>
        <w:fldChar w:fldCharType="separate"/>
      </w:r>
      <w:r>
        <w:fldChar w:fldCharType="begin"/>
      </w:r>
      <w:r>
        <w:instrText xml:space="preserve"> HYPERLINK \l "_Toc8523" </w:instrText>
      </w:r>
      <w:r>
        <w:fldChar w:fldCharType="separate"/>
      </w:r>
      <w:r>
        <w:rPr>
          <w:rFonts w:ascii="Times New Roman"/>
          <w:szCs w:val="22"/>
        </w:rPr>
        <w:t>1  范围</w:t>
      </w:r>
      <w:r>
        <w:tab/>
      </w:r>
      <w:r>
        <w:fldChar w:fldCharType="begin"/>
      </w:r>
      <w:r>
        <w:instrText xml:space="preserve"> PAGEREF _Toc8523 </w:instrText>
      </w:r>
      <w:r>
        <w:fldChar w:fldCharType="separate"/>
      </w:r>
      <w:r>
        <w:t>1</w:t>
      </w:r>
      <w:r>
        <w:fldChar w:fldCharType="end"/>
      </w:r>
      <w:r>
        <w:fldChar w:fldCharType="end"/>
      </w:r>
    </w:p>
    <w:p>
      <w:pPr>
        <w:pStyle w:val="35"/>
        <w:tabs>
          <w:tab w:val="right" w:leader="dot" w:pos="9413"/>
          <w:tab w:val="clear" w:pos="9241"/>
        </w:tabs>
      </w:pPr>
      <w:r>
        <w:fldChar w:fldCharType="begin"/>
      </w:r>
      <w:r>
        <w:instrText xml:space="preserve"> HYPERLINK \l "_Toc18735" </w:instrText>
      </w:r>
      <w:r>
        <w:fldChar w:fldCharType="separate"/>
      </w:r>
      <w:r>
        <w:rPr>
          <w:rFonts w:ascii="Times New Roman"/>
          <w:szCs w:val="22"/>
        </w:rPr>
        <w:t>2　规范性引用文件</w:t>
      </w:r>
      <w:r>
        <w:tab/>
      </w:r>
      <w:r>
        <w:fldChar w:fldCharType="begin"/>
      </w:r>
      <w:r>
        <w:instrText xml:space="preserve"> PAGEREF _Toc18735 </w:instrText>
      </w:r>
      <w:r>
        <w:fldChar w:fldCharType="separate"/>
      </w:r>
      <w:r>
        <w:t>1</w:t>
      </w:r>
      <w:r>
        <w:fldChar w:fldCharType="end"/>
      </w:r>
      <w:r>
        <w:fldChar w:fldCharType="end"/>
      </w:r>
    </w:p>
    <w:p>
      <w:pPr>
        <w:pStyle w:val="35"/>
        <w:tabs>
          <w:tab w:val="right" w:leader="dot" w:pos="9413"/>
          <w:tab w:val="clear" w:pos="9241"/>
        </w:tabs>
      </w:pPr>
      <w:r>
        <w:fldChar w:fldCharType="begin"/>
      </w:r>
      <w:r>
        <w:instrText xml:space="preserve"> HYPERLINK \l "_Toc9013" </w:instrText>
      </w:r>
      <w:r>
        <w:fldChar w:fldCharType="separate"/>
      </w:r>
      <w:r>
        <w:rPr>
          <w:rFonts w:hint="eastAsia" w:ascii="Times New Roman"/>
          <w:szCs w:val="22"/>
        </w:rPr>
        <w:t xml:space="preserve">3  </w:t>
      </w:r>
      <w:r>
        <w:rPr>
          <w:rFonts w:ascii="Times New Roman"/>
          <w:szCs w:val="22"/>
        </w:rPr>
        <w:t>术语</w:t>
      </w:r>
      <w:r>
        <w:rPr>
          <w:rFonts w:hint="eastAsia" w:ascii="Times New Roman"/>
          <w:szCs w:val="22"/>
        </w:rPr>
        <w:t>和</w:t>
      </w:r>
      <w:r>
        <w:rPr>
          <w:rFonts w:ascii="Times New Roman"/>
          <w:szCs w:val="22"/>
        </w:rPr>
        <w:t>定义</w:t>
      </w:r>
      <w:r>
        <w:tab/>
      </w:r>
      <w:r>
        <w:fldChar w:fldCharType="begin"/>
      </w:r>
      <w:r>
        <w:instrText xml:space="preserve"> PAGEREF _Toc9013 </w:instrText>
      </w:r>
      <w:r>
        <w:fldChar w:fldCharType="separate"/>
      </w:r>
      <w:r>
        <w:t>1</w:t>
      </w:r>
      <w:r>
        <w:fldChar w:fldCharType="end"/>
      </w:r>
      <w:r>
        <w:fldChar w:fldCharType="end"/>
      </w:r>
    </w:p>
    <w:p>
      <w:pPr>
        <w:pStyle w:val="35"/>
        <w:tabs>
          <w:tab w:val="right" w:leader="dot" w:pos="9413"/>
          <w:tab w:val="clear" w:pos="9241"/>
        </w:tabs>
      </w:pPr>
      <w:r>
        <w:fldChar w:fldCharType="begin"/>
      </w:r>
      <w:r>
        <w:instrText xml:space="preserve"> HYPERLINK \l "_Toc7850" </w:instrText>
      </w:r>
      <w:r>
        <w:fldChar w:fldCharType="separate"/>
      </w:r>
      <w:r>
        <w:rPr>
          <w:rFonts w:ascii="Times New Roman"/>
          <w:szCs w:val="22"/>
        </w:rPr>
        <w:t xml:space="preserve">4  </w:t>
      </w:r>
      <w:r>
        <w:rPr>
          <w:rFonts w:hint="eastAsia" w:ascii="Times New Roman"/>
          <w:szCs w:val="22"/>
        </w:rPr>
        <w:t>通用</w:t>
      </w:r>
      <w:r>
        <w:rPr>
          <w:rFonts w:ascii="Times New Roman"/>
          <w:szCs w:val="22"/>
        </w:rPr>
        <w:t>要求</w:t>
      </w:r>
      <w:r>
        <w:tab/>
      </w:r>
      <w:r>
        <w:fldChar w:fldCharType="begin"/>
      </w:r>
      <w:r>
        <w:instrText xml:space="preserve"> PAGEREF _Toc7850 </w:instrText>
      </w:r>
      <w:r>
        <w:fldChar w:fldCharType="separate"/>
      </w:r>
      <w:r>
        <w:t>2</w:t>
      </w:r>
      <w:r>
        <w:fldChar w:fldCharType="end"/>
      </w:r>
      <w:r>
        <w:fldChar w:fldCharType="end"/>
      </w:r>
    </w:p>
    <w:p>
      <w:pPr>
        <w:pStyle w:val="35"/>
        <w:tabs>
          <w:tab w:val="right" w:leader="dot" w:pos="9413"/>
          <w:tab w:val="clear" w:pos="9241"/>
        </w:tabs>
      </w:pPr>
      <w:r>
        <w:fldChar w:fldCharType="begin"/>
      </w:r>
      <w:r>
        <w:instrText xml:space="preserve"> HYPERLINK \l "_Toc4026" </w:instrText>
      </w:r>
      <w:r>
        <w:fldChar w:fldCharType="separate"/>
      </w:r>
      <w:r>
        <w:rPr>
          <w:rFonts w:ascii="Times New Roman"/>
          <w:szCs w:val="22"/>
        </w:rPr>
        <w:t>5</w:t>
      </w:r>
      <w:r>
        <w:rPr>
          <w:rFonts w:hint="eastAsia" w:ascii="Times New Roman"/>
          <w:szCs w:val="22"/>
        </w:rPr>
        <w:t xml:space="preserve">  故障类型</w:t>
      </w:r>
      <w:r>
        <w:tab/>
      </w:r>
      <w:r>
        <w:rPr>
          <w:rFonts w:hint="eastAsia"/>
        </w:rPr>
        <w:t>2</w:t>
      </w:r>
      <w:r>
        <w:rPr>
          <w:rFonts w:hint="eastAsia"/>
        </w:rPr>
        <w:fldChar w:fldCharType="end"/>
      </w:r>
    </w:p>
    <w:p>
      <w:pPr>
        <w:pStyle w:val="35"/>
        <w:tabs>
          <w:tab w:val="right" w:leader="dot" w:pos="9413"/>
          <w:tab w:val="clear" w:pos="9241"/>
        </w:tabs>
      </w:pPr>
      <w:r>
        <w:fldChar w:fldCharType="begin"/>
      </w:r>
      <w:r>
        <w:instrText xml:space="preserve"> HYPERLINK \l "_Toc4026" </w:instrText>
      </w:r>
      <w:r>
        <w:fldChar w:fldCharType="separate"/>
      </w:r>
      <w:r>
        <w:rPr>
          <w:rFonts w:hint="eastAsia" w:ascii="Times New Roman"/>
          <w:szCs w:val="22"/>
        </w:rPr>
        <w:t>6  故障诊断</w:t>
      </w:r>
      <w:r>
        <w:tab/>
      </w:r>
      <w:r>
        <w:rPr>
          <w:rFonts w:hint="eastAsia"/>
        </w:rPr>
        <w:t>4</w:t>
      </w:r>
      <w:r>
        <w:rPr>
          <w:rFonts w:hint="eastAsia"/>
        </w:rPr>
        <w:fldChar w:fldCharType="end"/>
      </w:r>
    </w:p>
    <w:p>
      <w:pPr>
        <w:pStyle w:val="35"/>
        <w:tabs>
          <w:tab w:val="right" w:leader="dot" w:pos="9413"/>
          <w:tab w:val="clear" w:pos="9241"/>
        </w:tabs>
      </w:pPr>
      <w:r>
        <w:fldChar w:fldCharType="begin"/>
      </w:r>
      <w:r>
        <w:instrText xml:space="preserve"> HYPERLINK \l "_Toc7085" </w:instrText>
      </w:r>
      <w:r>
        <w:fldChar w:fldCharType="separate"/>
      </w:r>
      <w:r>
        <w:rPr>
          <w:rFonts w:hint="eastAsia" w:ascii="Times New Roman"/>
          <w:szCs w:val="22"/>
        </w:rPr>
        <w:t>7</w:t>
      </w:r>
      <w:r>
        <w:rPr>
          <w:rFonts w:ascii="Times New Roman"/>
          <w:szCs w:val="22"/>
        </w:rPr>
        <w:t xml:space="preserve"> </w:t>
      </w:r>
      <w:r>
        <w:rPr>
          <w:rFonts w:hint="eastAsia" w:ascii="Times New Roman"/>
          <w:szCs w:val="22"/>
        </w:rPr>
        <w:t xml:space="preserve"> 判定处置</w:t>
      </w:r>
      <w:r>
        <w:tab/>
      </w:r>
      <w:r>
        <w:rPr>
          <w:rFonts w:hint="eastAsia"/>
        </w:rPr>
        <w:t>6</w:t>
      </w:r>
      <w:r>
        <w:rPr>
          <w:rFonts w:hint="eastAsia"/>
        </w:rPr>
        <w:fldChar w:fldCharType="end"/>
      </w:r>
    </w:p>
    <w:p>
      <w:pPr>
        <w:pStyle w:val="26"/>
        <w:tabs>
          <w:tab w:val="right" w:leader="dot" w:pos="9413"/>
          <w:tab w:val="clear" w:pos="9241"/>
        </w:tabs>
        <w:spacing w:before="78" w:after="78"/>
      </w:pPr>
    </w:p>
    <w:p>
      <w:pPr>
        <w:pStyle w:val="114"/>
        <w:tabs>
          <w:tab w:val="left" w:pos="854"/>
        </w:tabs>
        <w:ind w:left="0" w:firstLine="0"/>
        <w:rPr>
          <w:rFonts w:ascii="Times New Roman"/>
        </w:rPr>
      </w:pPr>
      <w:r>
        <w:rPr>
          <w:rFonts w:ascii="Times New Roman"/>
          <w:highlight w:val="green"/>
        </w:rPr>
        <w:fldChar w:fldCharType="end"/>
      </w:r>
    </w:p>
    <w:p>
      <w:pPr>
        <w:spacing w:before="500" w:after="500" w:line="500" w:lineRule="exact"/>
        <w:jc w:val="center"/>
        <w:rPr>
          <w:rFonts w:eastAsia="黑体"/>
          <w:kern w:val="0"/>
          <w:sz w:val="32"/>
          <w:szCs w:val="20"/>
        </w:rPr>
        <w:sectPr>
          <w:footerReference r:id="rId3" w:type="default"/>
          <w:footerReference r:id="rId4" w:type="even"/>
          <w:pgSz w:w="10773" w:h="15139"/>
          <w:pgMar w:top="964" w:right="680" w:bottom="680" w:left="680" w:header="454" w:footer="369" w:gutter="0"/>
          <w:pgNumType w:start="1"/>
          <w:cols w:space="720" w:num="1"/>
          <w:docGrid w:type="lines" w:linePitch="312" w:charSpace="0"/>
        </w:sectPr>
      </w:pPr>
      <w:bookmarkStart w:id="12" w:name="SectionMark4"/>
    </w:p>
    <w:p>
      <w:pPr>
        <w:spacing w:before="500" w:after="500" w:line="500" w:lineRule="exact"/>
        <w:jc w:val="center"/>
        <w:rPr>
          <w:rFonts w:eastAsia="黑体"/>
          <w:sz w:val="32"/>
          <w:lang w:val="zh-CN"/>
        </w:rPr>
      </w:pPr>
      <w:bookmarkStart w:id="13" w:name="_Toc17501_WPSOffice_Level1"/>
      <w:bookmarkStart w:id="14" w:name="_Toc30075"/>
      <w:bookmarkStart w:id="15" w:name="_Toc3350"/>
      <w:bookmarkStart w:id="16" w:name="_Toc30176"/>
      <w:bookmarkStart w:id="17" w:name="_Toc26325_WPSOffice_Level1"/>
      <w:bookmarkStart w:id="18" w:name="_Toc31941_WPSOffice_Level1"/>
      <w:bookmarkStart w:id="19" w:name="_Toc15962"/>
      <w:bookmarkStart w:id="20" w:name="_Toc3073_WPSOffice_Level1"/>
      <w:bookmarkStart w:id="21" w:name="_Toc1611494389"/>
      <w:bookmarkStart w:id="22" w:name="_Toc9867"/>
      <w:bookmarkStart w:id="23" w:name="_Toc534"/>
      <w:bookmarkStart w:id="24" w:name="_Toc32313"/>
      <w:bookmarkStart w:id="25" w:name="_Toc3552"/>
      <w:bookmarkStart w:id="26" w:name="_Toc82461121"/>
      <w:bookmarkStart w:id="27" w:name="_Toc1018601144"/>
      <w:bookmarkStart w:id="28" w:name="_Toc31176_WPSOffice_Level1"/>
      <w:r>
        <w:rPr>
          <w:rFonts w:eastAsia="黑体"/>
          <w:sz w:val="32"/>
          <w:lang w:val="zh-CN"/>
        </w:rPr>
        <w:t>低压电力线载波通信故障</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eastAsia="黑体"/>
          <w:sz w:val="32"/>
          <w:lang w:val="zh-CN"/>
        </w:rPr>
        <w:t>诊断与处置方法</w:t>
      </w:r>
    </w:p>
    <w:p>
      <w:pPr>
        <w:pStyle w:val="79"/>
        <w:spacing w:before="312" w:after="312"/>
        <w:rPr>
          <w:rFonts w:ascii="Times New Roman"/>
          <w:szCs w:val="22"/>
        </w:rPr>
      </w:pPr>
      <w:bookmarkStart w:id="29" w:name="_Toc30402"/>
      <w:bookmarkStart w:id="30" w:name="_Toc8523"/>
      <w:bookmarkStart w:id="31" w:name="_Toc228811700"/>
      <w:bookmarkStart w:id="32" w:name="_Toc184542649"/>
      <w:r>
        <w:rPr>
          <w:rFonts w:hint="eastAsia" w:ascii="Times New Roman"/>
          <w:szCs w:val="22"/>
        </w:rPr>
        <w:t>范围</w:t>
      </w:r>
      <w:bookmarkEnd w:id="29"/>
      <w:bookmarkEnd w:id="30"/>
      <w:bookmarkEnd w:id="31"/>
      <w:bookmarkEnd w:id="32"/>
    </w:p>
    <w:bookmarkEnd w:id="12"/>
    <w:p>
      <w:pPr>
        <w:ind w:firstLine="420" w:firstLineChars="200"/>
        <w:rPr>
          <w:rFonts w:ascii="宋体" w:hAnsi="宋体" w:cs="宋体"/>
          <w:bCs/>
          <w:color w:val="000000"/>
          <w:szCs w:val="22"/>
        </w:rPr>
      </w:pPr>
      <w:bookmarkStart w:id="33" w:name="_Toc13282"/>
      <w:bookmarkStart w:id="34" w:name="_Toc17373"/>
      <w:bookmarkStart w:id="35" w:name="_Toc18289"/>
      <w:bookmarkStart w:id="36" w:name="_Toc17315"/>
      <w:bookmarkStart w:id="37" w:name="_Toc24512"/>
      <w:r>
        <w:rPr>
          <w:rFonts w:hint="eastAsia" w:ascii="宋体" w:hAnsi="宋体" w:cs="宋体"/>
          <w:bCs/>
          <w:color w:val="000000"/>
          <w:szCs w:val="22"/>
        </w:rPr>
        <w:t>本文件规定了低压电力线载波</w:t>
      </w:r>
      <w:r>
        <w:rPr>
          <w:rFonts w:ascii="宋体" w:hAnsi="宋体" w:cs="宋体"/>
          <w:bCs/>
          <w:color w:val="000000"/>
          <w:szCs w:val="22"/>
        </w:rPr>
        <w:t>通信</w:t>
      </w:r>
      <w:r>
        <w:rPr>
          <w:rFonts w:hint="eastAsia" w:ascii="宋体" w:hAnsi="宋体" w:cs="宋体"/>
          <w:bCs/>
          <w:color w:val="000000"/>
          <w:szCs w:val="22"/>
        </w:rPr>
        <w:t>故障类型、故障诊断、判定处置要求和方法。</w:t>
      </w:r>
    </w:p>
    <w:bookmarkEnd w:id="33"/>
    <w:bookmarkEnd w:id="34"/>
    <w:bookmarkEnd w:id="35"/>
    <w:bookmarkEnd w:id="36"/>
    <w:bookmarkEnd w:id="37"/>
    <w:p>
      <w:pPr>
        <w:ind w:firstLine="420" w:firstLineChars="200"/>
      </w:pPr>
      <w:bookmarkStart w:id="38" w:name="_Toc23249"/>
      <w:bookmarkStart w:id="39" w:name="_Toc9508"/>
      <w:r>
        <w:rPr>
          <w:rFonts w:hint="eastAsia" w:ascii="宋体" w:hAnsi="宋体" w:cs="宋体"/>
          <w:bCs/>
          <w:color w:val="000000"/>
          <w:szCs w:val="22"/>
        </w:rPr>
        <w:t>本文件适用于PLC通信单元、智能电能表PLC通信接口、终端设备PLC通信接口的低压电力线载波通信故障诊断与处置。</w:t>
      </w:r>
      <w:bookmarkEnd w:id="38"/>
      <w:bookmarkEnd w:id="39"/>
    </w:p>
    <w:p>
      <w:pPr>
        <w:pStyle w:val="79"/>
        <w:spacing w:before="312" w:after="312"/>
        <w:rPr>
          <w:rFonts w:ascii="Times New Roman"/>
          <w:szCs w:val="22"/>
        </w:rPr>
      </w:pPr>
      <w:bookmarkStart w:id="40" w:name="_Toc18735"/>
      <w:bookmarkStart w:id="41" w:name="_Toc32143"/>
      <w:bookmarkStart w:id="42" w:name="_Toc329068900"/>
      <w:r>
        <w:rPr>
          <w:rFonts w:hint="eastAsia" w:ascii="Times New Roman"/>
          <w:szCs w:val="22"/>
        </w:rPr>
        <w:t>规范性引用文件</w:t>
      </w:r>
      <w:bookmarkEnd w:id="40"/>
      <w:bookmarkEnd w:id="41"/>
      <w:bookmarkEnd w:id="42"/>
    </w:p>
    <w:p>
      <w:pPr>
        <w:pStyle w:val="30"/>
        <w:rPr>
          <w:rFonts w:hAnsi="宋体" w:cs="宋体"/>
          <w:bCs/>
          <w:color w:val="000000"/>
        </w:rPr>
      </w:pPr>
      <w:r>
        <w:rPr>
          <w:rFonts w:hint="eastAsia" w:hAnsi="宋体" w:cs="宋体"/>
          <w:bCs/>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pPr>
        <w:tabs>
          <w:tab w:val="center" w:pos="4153"/>
        </w:tabs>
        <w:ind w:firstLine="420" w:firstLineChars="200"/>
        <w:rPr>
          <w:rFonts w:ascii="宋体" w:hAnsi="宋体" w:cs="宋体"/>
          <w:bCs/>
          <w:color w:val="000000"/>
          <w:kern w:val="0"/>
          <w:szCs w:val="20"/>
        </w:rPr>
      </w:pPr>
      <w:r>
        <w:rPr>
          <w:rFonts w:ascii="宋体" w:hAnsi="宋体" w:cs="宋体"/>
          <w:bCs/>
          <w:color w:val="000000"/>
          <w:kern w:val="0"/>
          <w:szCs w:val="20"/>
        </w:rPr>
        <w:t xml:space="preserve">DL/T 1485 </w:t>
      </w:r>
      <w:r>
        <w:rPr>
          <w:rFonts w:hint="eastAsia" w:ascii="宋体" w:hAnsi="宋体" w:cs="宋体"/>
          <w:bCs/>
          <w:color w:val="000000"/>
          <w:kern w:val="0"/>
          <w:szCs w:val="20"/>
        </w:rPr>
        <w:t>三相智能智能电能表技术规范</w:t>
      </w:r>
    </w:p>
    <w:p>
      <w:pPr>
        <w:ind w:firstLine="420" w:firstLineChars="200"/>
        <w:rPr>
          <w:rFonts w:ascii="宋体" w:hAnsi="宋体" w:cs="宋体"/>
          <w:bCs/>
          <w:color w:val="000000"/>
          <w:kern w:val="0"/>
          <w:szCs w:val="20"/>
        </w:rPr>
      </w:pPr>
      <w:r>
        <w:rPr>
          <w:rFonts w:ascii="宋体" w:hAnsi="宋体" w:cs="宋体"/>
          <w:bCs/>
          <w:color w:val="000000"/>
          <w:kern w:val="0"/>
          <w:szCs w:val="20"/>
        </w:rPr>
        <w:t>DL/T 1487 单相智能</w:t>
      </w:r>
      <w:r>
        <w:rPr>
          <w:rFonts w:hint="eastAsia" w:ascii="宋体" w:hAnsi="宋体" w:cs="宋体"/>
          <w:bCs/>
          <w:color w:val="000000"/>
          <w:kern w:val="0"/>
          <w:szCs w:val="20"/>
        </w:rPr>
        <w:t>智能电能表</w:t>
      </w:r>
      <w:r>
        <w:rPr>
          <w:rFonts w:ascii="宋体" w:hAnsi="宋体" w:cs="宋体"/>
          <w:bCs/>
          <w:color w:val="000000"/>
          <w:kern w:val="0"/>
          <w:szCs w:val="20"/>
        </w:rPr>
        <w:t>技术规范</w:t>
      </w:r>
    </w:p>
    <w:p>
      <w:pPr>
        <w:pStyle w:val="30"/>
        <w:ind w:firstLine="0" w:firstLineChars="0"/>
        <w:rPr>
          <w:rFonts w:hAnsi="宋体" w:cs="宋体"/>
          <w:bCs/>
          <w:color w:val="000000"/>
        </w:rPr>
      </w:pPr>
    </w:p>
    <w:p>
      <w:pPr>
        <w:pStyle w:val="79"/>
        <w:spacing w:before="312" w:after="312"/>
        <w:rPr>
          <w:rFonts w:ascii="Times New Roman"/>
          <w:szCs w:val="22"/>
        </w:rPr>
      </w:pPr>
      <w:bookmarkStart w:id="43" w:name="_Toc9013"/>
      <w:bookmarkStart w:id="44" w:name="_Toc25964"/>
      <w:bookmarkStart w:id="45" w:name="_Toc19804"/>
      <w:r>
        <w:rPr>
          <w:rFonts w:ascii="Times New Roman"/>
          <w:szCs w:val="22"/>
        </w:rPr>
        <w:t>术语</w:t>
      </w:r>
      <w:r>
        <w:rPr>
          <w:rFonts w:hint="eastAsia" w:ascii="Times New Roman"/>
          <w:szCs w:val="22"/>
        </w:rPr>
        <w:t>和</w:t>
      </w:r>
      <w:r>
        <w:rPr>
          <w:rFonts w:ascii="Times New Roman"/>
          <w:szCs w:val="22"/>
        </w:rPr>
        <w:t>定义</w:t>
      </w:r>
      <w:bookmarkEnd w:id="43"/>
      <w:bookmarkEnd w:id="44"/>
    </w:p>
    <w:p>
      <w:pPr>
        <w:pStyle w:val="30"/>
      </w:pPr>
      <w:r>
        <w:rPr>
          <w:rFonts w:hint="eastAsia" w:hAnsi="宋体" w:cs="宋体"/>
          <w:bCs/>
          <w:color w:val="000000"/>
        </w:rPr>
        <w:t>下列术语和定义适用于本文件。</w:t>
      </w:r>
    </w:p>
    <w:p>
      <w:pPr>
        <w:pStyle w:val="59"/>
        <w:spacing w:before="156" w:after="156"/>
        <w:ind w:left="284"/>
        <w:rPr>
          <w:rFonts w:ascii="Times New Roman" w:eastAsia="黑体-简"/>
          <w:bCs/>
          <w:color w:val="000000"/>
        </w:rPr>
      </w:pPr>
      <w:bookmarkStart w:id="46" w:name="_Toc20726"/>
      <w:bookmarkStart w:id="47" w:name="_Toc24786"/>
      <w:bookmarkStart w:id="48" w:name="_Toc12445"/>
      <w:bookmarkStart w:id="49" w:name="_Toc1307707645"/>
      <w:bookmarkStart w:id="50" w:name="_Toc204707561"/>
      <w:r>
        <w:rPr>
          <w:rFonts w:ascii="Times New Roman"/>
          <w:bCs/>
          <w:color w:val="000000"/>
          <w:szCs w:val="22"/>
        </w:rPr>
        <w:t xml:space="preserve">低压电力线载波通信 </w:t>
      </w:r>
      <w:r>
        <w:rPr>
          <w:rFonts w:ascii="Times New Roman" w:eastAsia="黑体-简"/>
          <w:bCs/>
          <w:color w:val="000000"/>
        </w:rPr>
        <w:t>Low voltage power line carrier communication</w:t>
      </w:r>
      <w:bookmarkEnd w:id="46"/>
    </w:p>
    <w:p>
      <w:pPr>
        <w:pStyle w:val="30"/>
      </w:pPr>
      <w:r>
        <w:rPr>
          <w:rFonts w:ascii="Times New Roman"/>
          <w:bCs/>
          <w:color w:val="000000"/>
          <w:szCs w:val="22"/>
        </w:rPr>
        <w:t>PLC通信</w:t>
      </w:r>
    </w:p>
    <w:p>
      <w:pPr>
        <w:pStyle w:val="30"/>
        <w:widowControl w:val="0"/>
        <w:spacing w:beforeLines="50" w:afterLines="50"/>
        <w:rPr>
          <w:rFonts w:ascii="Times New Roman"/>
          <w:bCs/>
          <w:color w:val="000000"/>
          <w:szCs w:val="22"/>
        </w:rPr>
      </w:pPr>
      <w:r>
        <w:rPr>
          <w:rFonts w:ascii="Times New Roman"/>
          <w:bCs/>
          <w:color w:val="000000"/>
          <w:szCs w:val="22"/>
        </w:rPr>
        <w:t>利用低压电力线（交流220/380V）作为信息传输媒介进行用电信息汇聚、传输、交互的一种通信方式</w:t>
      </w:r>
      <w:r>
        <w:rPr>
          <w:rFonts w:hint="eastAsia" w:ascii="Times New Roman"/>
          <w:bCs/>
          <w:color w:val="000000"/>
          <w:szCs w:val="22"/>
        </w:rPr>
        <w:t>。</w:t>
      </w:r>
    </w:p>
    <w:p>
      <w:pPr>
        <w:pStyle w:val="59"/>
        <w:spacing w:before="156" w:after="156"/>
        <w:ind w:left="284"/>
        <w:rPr>
          <w:rFonts w:ascii="Times New Roman" w:eastAsia="黑体-简"/>
          <w:bCs/>
          <w:color w:val="000000"/>
        </w:rPr>
      </w:pPr>
      <w:bookmarkStart w:id="51" w:name="_Toc7464"/>
      <w:r>
        <w:rPr>
          <w:rFonts w:ascii="Times New Roman"/>
          <w:bCs/>
          <w:color w:val="000000"/>
          <w:szCs w:val="22"/>
        </w:rPr>
        <w:t>终端设备</w:t>
      </w:r>
      <w:r>
        <w:rPr>
          <w:rFonts w:ascii="Times New Roman" w:eastAsia="黑体-简"/>
          <w:bCs/>
          <w:color w:val="000000"/>
        </w:rPr>
        <w:t xml:space="preserve"> Terminal equipment</w:t>
      </w:r>
      <w:bookmarkEnd w:id="51"/>
    </w:p>
    <w:p>
      <w:pPr>
        <w:pStyle w:val="30"/>
        <w:widowControl w:val="0"/>
        <w:spacing w:beforeLines="50" w:afterLines="50"/>
        <w:rPr>
          <w:rFonts w:ascii="Times New Roman"/>
          <w:bCs/>
          <w:color w:val="000000"/>
          <w:szCs w:val="22"/>
        </w:rPr>
      </w:pPr>
      <w:r>
        <w:rPr>
          <w:rFonts w:ascii="Times New Roman"/>
          <w:bCs/>
          <w:color w:val="000000"/>
          <w:szCs w:val="22"/>
        </w:rPr>
        <w:t>某个系统中采用PLC通信，具有数据采集、数据双向通信、数据处理、数据存储、转发或执行控制等功能的设备。</w:t>
      </w:r>
    </w:p>
    <w:p>
      <w:pPr>
        <w:pStyle w:val="30"/>
        <w:widowControl w:val="0"/>
        <w:spacing w:beforeLines="50" w:afterLines="50"/>
        <w:rPr>
          <w:rFonts w:ascii="Times New Roman"/>
          <w:bCs/>
          <w:color w:val="000000"/>
          <w:szCs w:val="22"/>
        </w:rPr>
      </w:pPr>
      <w:r>
        <w:rPr>
          <w:rFonts w:hint="eastAsia" w:ascii="Times New Roman"/>
          <w:bCs/>
          <w:color w:val="000000"/>
          <w:szCs w:val="22"/>
        </w:rPr>
        <w:t>示例：</w:t>
      </w:r>
      <w:r>
        <w:rPr>
          <w:rFonts w:ascii="Times New Roman"/>
          <w:bCs/>
          <w:color w:val="000000"/>
          <w:szCs w:val="22"/>
        </w:rPr>
        <w:t>用电信息采集终端、计量自动化终端。</w:t>
      </w:r>
    </w:p>
    <w:p>
      <w:pPr>
        <w:pStyle w:val="59"/>
        <w:spacing w:before="156" w:after="156"/>
        <w:ind w:left="284"/>
        <w:rPr>
          <w:rFonts w:ascii="Times New Roman" w:eastAsia="黑体-简"/>
        </w:rPr>
      </w:pPr>
      <w:bookmarkStart w:id="52" w:name="_Toc25493"/>
      <w:r>
        <w:rPr>
          <w:rFonts w:ascii="Times New Roman"/>
          <w:bCs/>
          <w:color w:val="000000"/>
          <w:szCs w:val="22"/>
        </w:rPr>
        <w:t>电力线载波</w:t>
      </w:r>
      <w:r>
        <w:rPr>
          <w:rFonts w:ascii="Times New Roman" w:eastAsia="黑体-简"/>
          <w:bCs/>
          <w:color w:val="000000"/>
        </w:rPr>
        <w:t>通信单元Power line carrier communication unit</w:t>
      </w:r>
      <w:bookmarkEnd w:id="52"/>
    </w:p>
    <w:p>
      <w:pPr>
        <w:pStyle w:val="30"/>
        <w:rPr>
          <w:rFonts w:ascii="Times New Roman"/>
        </w:rPr>
      </w:pPr>
      <w:r>
        <w:rPr>
          <w:rFonts w:ascii="Times New Roman" w:eastAsia="黑体-简"/>
          <w:bCs/>
          <w:color w:val="000000"/>
        </w:rPr>
        <w:t>PLC通信单元</w:t>
      </w:r>
    </w:p>
    <w:p>
      <w:pPr>
        <w:pStyle w:val="30"/>
        <w:widowControl w:val="0"/>
        <w:spacing w:beforeLines="50" w:afterLines="50"/>
        <w:rPr>
          <w:rFonts w:ascii="Times New Roman"/>
          <w:bCs/>
          <w:color w:val="000000"/>
          <w:szCs w:val="22"/>
        </w:rPr>
      </w:pPr>
      <w:r>
        <w:rPr>
          <w:rFonts w:ascii="Times New Roman"/>
          <w:bCs/>
          <w:color w:val="000000"/>
          <w:szCs w:val="22"/>
        </w:rPr>
        <w:t>利用低压电力线载波通信技术，实现设备之间数据传输的模块。</w:t>
      </w:r>
    </w:p>
    <w:p>
      <w:pPr>
        <w:pStyle w:val="30"/>
        <w:widowControl w:val="0"/>
        <w:spacing w:beforeLines="50" w:afterLines="50"/>
        <w:rPr>
          <w:rFonts w:ascii="Times New Roman"/>
          <w:bCs/>
          <w:color w:val="000000"/>
          <w:szCs w:val="22"/>
        </w:rPr>
      </w:pPr>
      <w:r>
        <w:rPr>
          <w:rFonts w:hint="eastAsia" w:ascii="Times New Roman"/>
          <w:bCs/>
          <w:color w:val="000000"/>
          <w:szCs w:val="22"/>
        </w:rPr>
        <w:t>示例：</w:t>
      </w:r>
      <w:r>
        <w:rPr>
          <w:rFonts w:ascii="Times New Roman"/>
          <w:bCs/>
          <w:color w:val="000000"/>
          <w:szCs w:val="22"/>
        </w:rPr>
        <w:t>HPLC通信单元</w:t>
      </w:r>
      <w:r>
        <w:rPr>
          <w:rFonts w:hint="eastAsia" w:ascii="Times New Roman"/>
          <w:bCs/>
          <w:color w:val="000000"/>
          <w:szCs w:val="22"/>
        </w:rPr>
        <w:t>等</w:t>
      </w:r>
      <w:r>
        <w:rPr>
          <w:rFonts w:ascii="Times New Roman"/>
          <w:bCs/>
          <w:color w:val="000000"/>
          <w:szCs w:val="22"/>
        </w:rPr>
        <w:t>。（注 HPLC为高速载波通</w:t>
      </w:r>
      <w:r>
        <w:rPr>
          <w:rFonts w:hint="eastAsia" w:ascii="Times New Roman"/>
          <w:bCs/>
          <w:color w:val="000000"/>
          <w:szCs w:val="22"/>
        </w:rPr>
        <w:t>信</w:t>
      </w:r>
      <w:r>
        <w:rPr>
          <w:rFonts w:ascii="Times New Roman"/>
          <w:bCs/>
          <w:color w:val="000000"/>
          <w:szCs w:val="22"/>
        </w:rPr>
        <w:t>）</w:t>
      </w:r>
    </w:p>
    <w:p>
      <w:pPr>
        <w:pStyle w:val="59"/>
        <w:tabs>
          <w:tab w:val="center" w:pos="4201"/>
          <w:tab w:val="right" w:leader="dot" w:pos="9298"/>
        </w:tabs>
        <w:spacing w:before="156" w:after="156"/>
        <w:ind w:left="284"/>
        <w:rPr>
          <w:rFonts w:ascii="Times New Roman"/>
        </w:rPr>
      </w:pPr>
      <w:bookmarkStart w:id="53" w:name="_Toc18676"/>
      <w:r>
        <w:rPr>
          <w:rFonts w:ascii="Times New Roman"/>
          <w:bCs/>
          <w:color w:val="000000"/>
          <w:szCs w:val="22"/>
        </w:rPr>
        <w:t>中央协调器Central coordinator</w:t>
      </w:r>
      <w:bookmarkEnd w:id="53"/>
    </w:p>
    <w:p>
      <w:pPr>
        <w:pStyle w:val="30"/>
        <w:widowControl w:val="0"/>
        <w:spacing w:beforeLines="50" w:afterLines="50"/>
        <w:rPr>
          <w:rFonts w:ascii="Times New Roman"/>
          <w:bCs/>
          <w:color w:val="000000"/>
          <w:szCs w:val="22"/>
        </w:rPr>
      </w:pPr>
      <w:r>
        <w:rPr>
          <w:rFonts w:ascii="Times New Roman"/>
          <w:bCs/>
          <w:color w:val="000000"/>
          <w:szCs w:val="22"/>
        </w:rPr>
        <w:t>CCO</w:t>
      </w:r>
    </w:p>
    <w:p>
      <w:pPr>
        <w:pStyle w:val="30"/>
        <w:widowControl w:val="0"/>
        <w:spacing w:beforeLines="50" w:afterLines="50"/>
        <w:rPr>
          <w:rFonts w:ascii="Times New Roman"/>
          <w:bCs/>
          <w:color w:val="000000"/>
          <w:szCs w:val="22"/>
        </w:rPr>
      </w:pPr>
      <w:r>
        <w:rPr>
          <w:rFonts w:ascii="Times New Roman"/>
          <w:bCs/>
          <w:color w:val="000000"/>
          <w:szCs w:val="22"/>
        </w:rPr>
        <w:t>通信网络中的主节点角色，负责完成组网控制、网络维护管理等功能，其形态如安装于终端设备侧的本地通信单元等。</w:t>
      </w:r>
    </w:p>
    <w:p>
      <w:pPr>
        <w:pStyle w:val="59"/>
        <w:tabs>
          <w:tab w:val="center" w:pos="4201"/>
          <w:tab w:val="right" w:leader="dot" w:pos="9298"/>
        </w:tabs>
        <w:spacing w:before="156" w:after="156"/>
        <w:ind w:left="284"/>
        <w:rPr>
          <w:rFonts w:ascii="Times New Roman"/>
        </w:rPr>
      </w:pPr>
      <w:bookmarkStart w:id="54" w:name="_Toc463"/>
      <w:r>
        <w:rPr>
          <w:rFonts w:ascii="Times New Roman"/>
          <w:bCs/>
          <w:color w:val="000000"/>
          <w:szCs w:val="22"/>
        </w:rPr>
        <w:t>通信站点Station</w:t>
      </w:r>
      <w:bookmarkEnd w:id="54"/>
    </w:p>
    <w:p>
      <w:pPr>
        <w:pStyle w:val="30"/>
        <w:widowControl w:val="0"/>
        <w:spacing w:beforeLines="50" w:afterLines="50"/>
        <w:rPr>
          <w:rFonts w:ascii="Times New Roman"/>
          <w:bCs/>
          <w:color w:val="000000"/>
          <w:szCs w:val="22"/>
        </w:rPr>
      </w:pPr>
      <w:r>
        <w:rPr>
          <w:rFonts w:ascii="Times New Roman"/>
          <w:bCs/>
          <w:color w:val="000000"/>
          <w:szCs w:val="22"/>
        </w:rPr>
        <w:t>STA</w:t>
      </w:r>
    </w:p>
    <w:p>
      <w:pPr>
        <w:pStyle w:val="30"/>
        <w:widowControl w:val="0"/>
        <w:spacing w:beforeLines="50" w:afterLines="50"/>
        <w:rPr>
          <w:rFonts w:ascii="Times New Roman"/>
          <w:bCs/>
          <w:color w:val="000000"/>
          <w:szCs w:val="22"/>
        </w:rPr>
      </w:pPr>
      <w:r>
        <w:rPr>
          <w:rFonts w:ascii="Times New Roman"/>
          <w:bCs/>
          <w:color w:val="000000"/>
          <w:szCs w:val="22"/>
        </w:rPr>
        <w:t>通信网络中的从节点角色，其对应的设备实体为通信单元，其形态如安装于</w:t>
      </w:r>
      <w:r>
        <w:rPr>
          <w:rFonts w:hint="eastAsia" w:ascii="Times New Roman"/>
          <w:bCs/>
          <w:color w:val="000000"/>
          <w:szCs w:val="22"/>
        </w:rPr>
        <w:t>智能电能表</w:t>
      </w:r>
      <w:r>
        <w:rPr>
          <w:rFonts w:ascii="Times New Roman"/>
          <w:bCs/>
          <w:color w:val="000000"/>
          <w:szCs w:val="22"/>
        </w:rPr>
        <w:t>的通信单元、采集器等。</w:t>
      </w:r>
    </w:p>
    <w:bookmarkEnd w:id="45"/>
    <w:bookmarkEnd w:id="47"/>
    <w:bookmarkEnd w:id="48"/>
    <w:bookmarkEnd w:id="49"/>
    <w:bookmarkEnd w:id="50"/>
    <w:p>
      <w:pPr>
        <w:pStyle w:val="79"/>
        <w:spacing w:before="312" w:after="312"/>
        <w:outlineLvl w:val="0"/>
        <w:rPr>
          <w:rFonts w:ascii="黑体-简" w:hAnsi="黑体-简" w:eastAsia="黑体-简" w:cs="黑体-简"/>
          <w:bCs/>
          <w:color w:val="000000"/>
        </w:rPr>
      </w:pPr>
      <w:bookmarkStart w:id="55" w:name="_Toc9093"/>
      <w:bookmarkStart w:id="56" w:name="_Toc82461128"/>
      <w:bookmarkStart w:id="57" w:name="_Toc977290062"/>
      <w:bookmarkStart w:id="58" w:name="_Toc23523"/>
      <w:bookmarkStart w:id="59" w:name="_Toc650828662"/>
      <w:bookmarkStart w:id="60" w:name="_Toc18580"/>
      <w:bookmarkStart w:id="61" w:name="_Toc21892"/>
      <w:r>
        <w:rPr>
          <w:rFonts w:hint="eastAsia" w:ascii="黑体-简" w:hAnsi="黑体-简" w:eastAsia="黑体-简" w:cs="黑体-简"/>
          <w:bCs/>
          <w:color w:val="000000"/>
        </w:rPr>
        <w:t>通用要求</w:t>
      </w:r>
      <w:bookmarkEnd w:id="55"/>
      <w:bookmarkEnd w:id="56"/>
      <w:bookmarkEnd w:id="57"/>
      <w:bookmarkEnd w:id="58"/>
      <w:bookmarkEnd w:id="59"/>
      <w:bookmarkEnd w:id="60"/>
      <w:bookmarkEnd w:id="61"/>
    </w:p>
    <w:p>
      <w:pPr>
        <w:pStyle w:val="59"/>
        <w:spacing w:before="156" w:after="156"/>
        <w:outlineLvl w:val="1"/>
        <w:rPr>
          <w:rFonts w:ascii="黑体-简" w:hAnsi="黑体-简" w:eastAsia="黑体-简" w:cs="黑体-简"/>
          <w:bCs/>
        </w:rPr>
      </w:pPr>
      <w:bookmarkStart w:id="62" w:name="_Toc82461129"/>
      <w:bookmarkStart w:id="63" w:name="_Toc1020"/>
      <w:bookmarkStart w:id="64" w:name="_Toc1094010554"/>
      <w:bookmarkStart w:id="65" w:name="_Toc8789"/>
      <w:bookmarkStart w:id="66" w:name="_Toc11427"/>
      <w:bookmarkStart w:id="67" w:name="_Toc19118"/>
      <w:bookmarkStart w:id="68" w:name="_Toc1207521620"/>
      <w:r>
        <w:rPr>
          <w:rFonts w:hint="eastAsia"/>
        </w:rPr>
        <w:t>一般</w:t>
      </w:r>
      <w:r>
        <w:rPr>
          <w:rFonts w:hint="eastAsia" w:ascii="黑体-简" w:hAnsi="黑体-简" w:eastAsia="黑体-简" w:cs="黑体-简"/>
          <w:bCs/>
        </w:rPr>
        <w:t>要求</w:t>
      </w:r>
      <w:bookmarkEnd w:id="62"/>
      <w:bookmarkEnd w:id="63"/>
      <w:bookmarkEnd w:id="64"/>
      <w:bookmarkEnd w:id="65"/>
      <w:bookmarkEnd w:id="66"/>
      <w:bookmarkEnd w:id="67"/>
      <w:bookmarkEnd w:id="68"/>
    </w:p>
    <w:p>
      <w:pPr>
        <w:pStyle w:val="30"/>
        <w:widowControl w:val="0"/>
        <w:spacing w:beforeLines="50" w:afterLines="50"/>
        <w:rPr>
          <w:rFonts w:hAnsi="宋体" w:cs="宋体"/>
          <w:bCs/>
          <w:szCs w:val="22"/>
        </w:rPr>
      </w:pPr>
      <w:r>
        <w:rPr>
          <w:rFonts w:hint="eastAsia" w:hAnsi="宋体" w:cs="宋体"/>
          <w:bCs/>
          <w:szCs w:val="22"/>
        </w:rPr>
        <w:t>PLC通信单元、智能电能表PLC通信接口及终端设备PLC通信接口的低压电力线载波通信故障诊断应按本文件规定开展故障诊断、判定处置。</w:t>
      </w:r>
    </w:p>
    <w:p>
      <w:pPr>
        <w:pStyle w:val="59"/>
        <w:spacing w:before="156" w:after="156"/>
        <w:outlineLvl w:val="1"/>
        <w:rPr>
          <w:rFonts w:ascii="黑体-简" w:hAnsi="黑体-简" w:eastAsia="黑体-简" w:cs="黑体-简"/>
          <w:bCs/>
        </w:rPr>
      </w:pPr>
      <w:bookmarkStart w:id="69" w:name="_Toc21118"/>
      <w:bookmarkStart w:id="70" w:name="_Toc32275"/>
      <w:bookmarkStart w:id="71" w:name="_Toc82461131"/>
      <w:bookmarkStart w:id="72" w:name="_Toc1334729950"/>
      <w:bookmarkStart w:id="73" w:name="_Toc307578321"/>
      <w:bookmarkStart w:id="74" w:name="_Toc23413"/>
      <w:r>
        <w:rPr>
          <w:rFonts w:hint="eastAsia" w:hAnsi="宋体" w:cs="宋体"/>
        </w:rPr>
        <w:t>检测对象</w:t>
      </w:r>
      <w:bookmarkEnd w:id="69"/>
    </w:p>
    <w:bookmarkEnd w:id="70"/>
    <w:bookmarkEnd w:id="71"/>
    <w:bookmarkEnd w:id="72"/>
    <w:bookmarkEnd w:id="73"/>
    <w:bookmarkEnd w:id="74"/>
    <w:p>
      <w:pPr>
        <w:pStyle w:val="30"/>
        <w:widowControl w:val="0"/>
        <w:spacing w:beforeLines="50" w:afterLines="50"/>
        <w:rPr>
          <w:rFonts w:hAnsi="宋体" w:cs="宋体"/>
          <w:bCs/>
          <w:szCs w:val="22"/>
        </w:rPr>
      </w:pPr>
      <w:r>
        <w:rPr>
          <w:rFonts w:hint="eastAsia" w:hAnsi="宋体" w:cs="宋体"/>
          <w:bCs/>
          <w:szCs w:val="22"/>
        </w:rPr>
        <w:t>PLC通信单元、智能电能表、终端设备。</w:t>
      </w:r>
    </w:p>
    <w:p>
      <w:pPr>
        <w:pStyle w:val="59"/>
        <w:spacing w:before="156" w:after="156"/>
        <w:outlineLvl w:val="1"/>
        <w:rPr>
          <w:rFonts w:ascii="黑体-简" w:hAnsi="黑体-简" w:eastAsia="黑体-简" w:cs="黑体-简"/>
          <w:bCs/>
        </w:rPr>
      </w:pPr>
      <w:bookmarkStart w:id="75" w:name="_Toc5428"/>
      <w:bookmarkStart w:id="76" w:name="_Toc82461135"/>
      <w:bookmarkStart w:id="77" w:name="_Toc1154874972"/>
      <w:bookmarkStart w:id="78" w:name="_Toc1087613328"/>
      <w:r>
        <w:rPr>
          <w:rFonts w:hAnsi="宋体" w:cs="宋体"/>
        </w:rPr>
        <w:t>检测</w:t>
      </w:r>
      <w:r>
        <w:rPr>
          <w:rFonts w:hint="eastAsia" w:ascii="黑体-简" w:hAnsi="黑体-简" w:eastAsia="黑体-简" w:cs="黑体-简"/>
          <w:bCs/>
        </w:rPr>
        <w:t>要求</w:t>
      </w:r>
      <w:bookmarkEnd w:id="75"/>
    </w:p>
    <w:bookmarkEnd w:id="76"/>
    <w:bookmarkEnd w:id="77"/>
    <w:bookmarkEnd w:id="78"/>
    <w:p>
      <w:pPr>
        <w:pStyle w:val="30"/>
        <w:widowControl w:val="0"/>
        <w:spacing w:beforeLines="50" w:afterLines="50"/>
        <w:rPr>
          <w:rFonts w:hAnsi="宋体" w:cs="宋体"/>
          <w:bCs/>
          <w:color w:val="000000"/>
          <w:szCs w:val="22"/>
        </w:rPr>
      </w:pPr>
      <w:r>
        <w:rPr>
          <w:rFonts w:hint="eastAsia" w:hAnsi="宋体" w:cs="宋体"/>
          <w:bCs/>
          <w:color w:val="000000"/>
          <w:szCs w:val="22"/>
        </w:rPr>
        <w:t>应建立检测对象的故障类型档案，且满足以下要求：</w:t>
      </w:r>
    </w:p>
    <w:p>
      <w:pPr>
        <w:pStyle w:val="104"/>
        <w:numPr>
          <w:ilvl w:val="0"/>
          <w:numId w:val="4"/>
        </w:numPr>
        <w:tabs>
          <w:tab w:val="clear" w:pos="840"/>
        </w:tabs>
        <w:ind w:hanging="413"/>
        <w:rPr>
          <w:color w:val="000000"/>
        </w:rPr>
      </w:pPr>
      <w:r>
        <w:rPr>
          <w:rFonts w:hint="eastAsia"/>
          <w:color w:val="000000"/>
        </w:rPr>
        <w:t>对故障类型档案进行信息化管理；</w:t>
      </w:r>
    </w:p>
    <w:p>
      <w:pPr>
        <w:pStyle w:val="104"/>
        <w:numPr>
          <w:ilvl w:val="0"/>
          <w:numId w:val="4"/>
        </w:numPr>
        <w:rPr>
          <w:color w:val="000000"/>
        </w:rPr>
      </w:pPr>
      <w:r>
        <w:rPr>
          <w:rFonts w:hint="eastAsia"/>
          <w:color w:val="000000"/>
        </w:rPr>
        <w:t>真实、准确、完整地记录故障类型、故障原因、判定处置的各环节过程信息和结果信息内容；</w:t>
      </w:r>
    </w:p>
    <w:p>
      <w:pPr>
        <w:pStyle w:val="104"/>
        <w:numPr>
          <w:ilvl w:val="0"/>
          <w:numId w:val="4"/>
        </w:numPr>
        <w:rPr>
          <w:color w:val="000000"/>
        </w:rPr>
      </w:pPr>
      <w:r>
        <w:rPr>
          <w:rFonts w:hint="eastAsia"/>
          <w:color w:val="000000"/>
        </w:rPr>
        <w:t>有可靠的备份和用于长期保存的措施；</w:t>
      </w:r>
    </w:p>
    <w:p>
      <w:pPr>
        <w:pStyle w:val="104"/>
        <w:numPr>
          <w:ilvl w:val="0"/>
          <w:numId w:val="4"/>
        </w:numPr>
        <w:rPr>
          <w:color w:val="000000"/>
        </w:rPr>
      </w:pPr>
      <w:r>
        <w:rPr>
          <w:rFonts w:hint="eastAsia" w:hAnsi="宋体" w:cs="宋体"/>
          <w:bCs/>
          <w:color w:val="000000"/>
          <w:szCs w:val="22"/>
        </w:rPr>
        <w:t>记录待检测设备的资产编号、外观、封印、智能电能表电量等原始状态信息。</w:t>
      </w:r>
    </w:p>
    <w:p>
      <w:pPr>
        <w:pStyle w:val="79"/>
        <w:spacing w:before="312" w:after="312"/>
        <w:outlineLvl w:val="0"/>
        <w:rPr>
          <w:rFonts w:ascii="黑体-简" w:hAnsi="黑体-简" w:eastAsia="黑体-简" w:cs="黑体-简"/>
          <w:bCs/>
          <w:color w:val="000000"/>
        </w:rPr>
      </w:pPr>
      <w:bookmarkStart w:id="79" w:name="_Toc2191"/>
      <w:bookmarkStart w:id="80" w:name="_Toc1875710318"/>
      <w:bookmarkStart w:id="81" w:name="_Toc24589"/>
      <w:bookmarkStart w:id="82" w:name="_Toc20210"/>
      <w:bookmarkStart w:id="83" w:name="_Toc122429905"/>
      <w:bookmarkStart w:id="84" w:name="_Toc7698"/>
      <w:bookmarkStart w:id="85" w:name="_Toc82461136"/>
      <w:bookmarkStart w:id="86" w:name="_Toc28704_WPSOffice_Level2"/>
      <w:bookmarkStart w:id="87" w:name="_Toc16537_WPSOffice_Level2"/>
      <w:bookmarkStart w:id="88" w:name="_Toc26942"/>
      <w:bookmarkStart w:id="89" w:name="_Toc4800_WPSOffice_Level2"/>
      <w:bookmarkStart w:id="90" w:name="_Toc32043_WPSOffice_Level2"/>
      <w:r>
        <w:rPr>
          <w:rFonts w:hint="eastAsia" w:ascii="黑体-简" w:hAnsi="黑体-简" w:eastAsia="黑体-简" w:cs="黑体-简"/>
          <w:bCs/>
          <w:color w:val="000000"/>
        </w:rPr>
        <w:t>故障类型</w:t>
      </w:r>
      <w:bookmarkEnd w:id="79"/>
    </w:p>
    <w:bookmarkEnd w:id="80"/>
    <w:bookmarkEnd w:id="81"/>
    <w:bookmarkEnd w:id="82"/>
    <w:bookmarkEnd w:id="83"/>
    <w:bookmarkEnd w:id="84"/>
    <w:bookmarkEnd w:id="85"/>
    <w:p>
      <w:pPr>
        <w:pStyle w:val="59"/>
        <w:spacing w:before="156" w:after="156"/>
        <w:outlineLvl w:val="1"/>
        <w:rPr>
          <w:rFonts w:ascii="黑体-简" w:hAnsi="黑体-简" w:eastAsia="黑体-简" w:cs="黑体-简"/>
          <w:color w:val="000000"/>
          <w:kern w:val="21"/>
        </w:rPr>
      </w:pPr>
      <w:bookmarkStart w:id="91" w:name="_Toc9761"/>
      <w:bookmarkStart w:id="92" w:name="_Toc1805"/>
      <w:bookmarkStart w:id="93" w:name="_Toc82461138"/>
      <w:bookmarkStart w:id="94" w:name="_Toc1382375951"/>
      <w:bookmarkStart w:id="95" w:name="_Toc208215603"/>
      <w:bookmarkStart w:id="96" w:name="_Toc27002"/>
      <w:r>
        <w:rPr>
          <w:rFonts w:hint="eastAsia" w:ascii="黑体-简" w:hAnsi="黑体-简" w:eastAsia="黑体-简" w:cs="黑体-简"/>
          <w:color w:val="000000"/>
        </w:rPr>
        <w:t>PLC</w:t>
      </w:r>
      <w:bookmarkEnd w:id="91"/>
      <w:bookmarkEnd w:id="92"/>
      <w:bookmarkEnd w:id="93"/>
      <w:bookmarkEnd w:id="94"/>
      <w:bookmarkEnd w:id="95"/>
      <w:bookmarkStart w:id="97" w:name="_Toc2078738233"/>
      <w:bookmarkStart w:id="98" w:name="_Toc565086134"/>
      <w:bookmarkStart w:id="99" w:name="_Toc82461140"/>
      <w:r>
        <w:rPr>
          <w:rFonts w:ascii="黑体-简" w:hAnsi="黑体-简" w:eastAsia="黑体-简" w:cs="黑体-简"/>
          <w:color w:val="000000"/>
          <w:kern w:val="21"/>
        </w:rPr>
        <w:t>通信单元</w:t>
      </w:r>
      <w:r>
        <w:rPr>
          <w:rFonts w:hint="eastAsia" w:ascii="黑体-简" w:hAnsi="黑体-简" w:eastAsia="黑体-简" w:cs="黑体-简"/>
          <w:color w:val="000000"/>
          <w:kern w:val="21"/>
        </w:rPr>
        <w:t>常见故障类型和现象</w:t>
      </w:r>
      <w:bookmarkEnd w:id="96"/>
      <w:bookmarkEnd w:id="97"/>
      <w:bookmarkEnd w:id="98"/>
      <w:bookmarkEnd w:id="99"/>
    </w:p>
    <w:p>
      <w:pPr>
        <w:pStyle w:val="30"/>
        <w:widowControl w:val="0"/>
        <w:spacing w:beforeLines="50" w:afterLines="50"/>
      </w:pPr>
      <w:bookmarkStart w:id="100" w:name="_Toc3449"/>
      <w:r>
        <w:rPr>
          <w:rFonts w:hint="eastAsia"/>
        </w:rPr>
        <w:t>从外观、结构、信息</w:t>
      </w:r>
      <w:r>
        <w:rPr>
          <w:rFonts w:hint="eastAsia" w:hAnsi="宋体" w:cs="宋体"/>
          <w:bCs/>
          <w:color w:val="000000"/>
          <w:szCs w:val="22"/>
        </w:rPr>
        <w:t>错误</w:t>
      </w:r>
      <w:r>
        <w:rPr>
          <w:rFonts w:hint="eastAsia"/>
        </w:rPr>
        <w:t>、性能、通信、功能六大类PLC通信单元的常见故障和现象按照表1进行分类。</w:t>
      </w:r>
      <w:bookmarkEnd w:id="100"/>
    </w:p>
    <w:p>
      <w:pPr>
        <w:pStyle w:val="30"/>
        <w:spacing w:before="156" w:after="156"/>
        <w:ind w:firstLine="0" w:firstLineChars="0"/>
        <w:jc w:val="center"/>
        <w:outlineLvl w:val="2"/>
        <w:rPr>
          <w:b/>
          <w:bCs/>
        </w:rPr>
      </w:pPr>
      <w:bookmarkStart w:id="101" w:name="_Toc9767"/>
      <w:r>
        <w:rPr>
          <w:rFonts w:hint="eastAsia"/>
          <w:b/>
          <w:bCs/>
        </w:rPr>
        <w:t>表1 PLC通信单元故障分类及现象</w:t>
      </w:r>
      <w:bookmarkEnd w:id="101"/>
    </w:p>
    <w:tbl>
      <w:tblPr>
        <w:tblStyle w:val="40"/>
        <w:tblW w:w="9570"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675"/>
        <w:gridCol w:w="2834"/>
        <w:gridCol w:w="5061"/>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1675" w:type="dxa"/>
            <w:tcBorders>
              <w:top w:val="single" w:color="000000" w:sz="4" w:space="0"/>
              <w:left w:val="single" w:color="000000" w:sz="4" w:space="0"/>
              <w:bottom w:val="single" w:color="auto"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一类故障</w:t>
            </w: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二类故障</w:t>
            </w:r>
          </w:p>
        </w:tc>
        <w:tc>
          <w:tcPr>
            <w:tcW w:w="506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故障现象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外观故障</w:t>
            </w: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烧坏</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外观有烧痕、熔化变形。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进水</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有水迹。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引脚氧化</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生锈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壳体破损</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壳体结构有损坏。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指示灯故障</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PLC通信单元通信正常，但指示灯不亮或指示灯状态不符合相关规范要求</w:t>
            </w:r>
            <w:r>
              <w:rPr>
                <w:rFonts w:hint="eastAsia" w:ascii="宋体" w:hAnsi="宋体" w:cs="宋体"/>
                <w:color w:val="000000"/>
                <w:kern w:val="0"/>
                <w:szCs w:val="21"/>
                <w:vertAlign w:val="superscript"/>
              </w:rPr>
              <w:t>[A]</w:t>
            </w:r>
            <w:r>
              <w:rPr>
                <w:rFonts w:hint="eastAsia" w:ascii="宋体" w:hAnsi="宋体" w:cs="宋体"/>
                <w:color w:val="000000"/>
                <w:kern w:val="0"/>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0" w:hRule="atLeast"/>
        </w:trPr>
        <w:tc>
          <w:tcPr>
            <w:tcW w:w="1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铭牌信息异常</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铭牌信息异常，难以溯源。例如铭牌模糊、缺失或磨损，字体大小、间距、布局、字体、字号及数字不符合相关规范要求。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4" w:hRule="atLeast"/>
        </w:trPr>
        <w:tc>
          <w:tcPr>
            <w:tcW w:w="1675" w:type="dxa"/>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结构故障</w:t>
            </w:r>
          </w:p>
        </w:tc>
        <w:tc>
          <w:tcPr>
            <w:tcW w:w="2834"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结构故障</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textAlignment w:val="center"/>
              <w:rPr>
                <w:rFonts w:ascii="宋体" w:hAnsi="宋体" w:cs="宋体"/>
                <w:color w:val="000000"/>
                <w:kern w:val="0"/>
                <w:szCs w:val="21"/>
              </w:rPr>
            </w:pPr>
            <w:r>
              <w:rPr>
                <w:rFonts w:hint="eastAsia" w:ascii="宋体" w:hAnsi="宋体" w:cs="宋体"/>
                <w:color w:val="000000"/>
                <w:kern w:val="0"/>
                <w:szCs w:val="21"/>
              </w:rPr>
              <w:t>结构与设备不匹配或是插入设备后盖子无法盖上;</w:t>
            </w:r>
          </w:p>
          <w:p>
            <w:pPr>
              <w:widowControl/>
              <w:numPr>
                <w:ilvl w:val="0"/>
                <w:numId w:val="5"/>
              </w:numPr>
              <w:textAlignment w:val="center"/>
              <w:rPr>
                <w:rFonts w:ascii="宋体" w:hAnsi="宋体" w:cs="宋体"/>
                <w:color w:val="000000"/>
                <w:kern w:val="0"/>
                <w:szCs w:val="21"/>
              </w:rPr>
            </w:pPr>
            <w:r>
              <w:rPr>
                <w:rFonts w:hint="eastAsia" w:ascii="宋体" w:hAnsi="宋体" w:cs="宋体"/>
                <w:color w:val="000000"/>
                <w:kern w:val="0"/>
                <w:szCs w:val="21"/>
              </w:rPr>
              <w:t>引脚异常（如断裂、弯曲、长度不足），导致与设备本体引脚接口不匹配。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167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信息错误</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资产信息错误</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通过抄读工具读取PLC通信单元资产信息错误。例如厂商代码、芯片型号、芯片ID、模块ID、MAC地址、资产编码、软件版本信息等资产信息与相关规范要求不一致。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性能故障</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电源异常</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通电后，PLC通信单元指示灯不亮或者反复重启。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67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功耗超标</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终端设备或智能电能表在插入PLC通信单元后不能正常运行。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7" w:hRule="atLeast"/>
        </w:trPr>
        <w:tc>
          <w:tcPr>
            <w:tcW w:w="16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死机</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PLC通信单元不工作，指示灯异常、无法自动恢复运行状态，重新插拔模块后，可暂时恢复正常。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通信故障</w:t>
            </w:r>
          </w:p>
        </w:tc>
        <w:tc>
          <w:tcPr>
            <w:tcW w:w="2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通信不稳定</w:t>
            </w:r>
          </w:p>
        </w:tc>
        <w:tc>
          <w:tcPr>
            <w:tcW w:w="5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PLC通信过程中，通信不稳定或者PLC通信单元通信成功率低。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1675" w:type="dxa"/>
            <w:vMerge w:val="continue"/>
            <w:tcBorders>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组网异常</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无法组网或异常离线。</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4" w:hRule="atLeast"/>
        </w:trPr>
        <w:tc>
          <w:tcPr>
            <w:tcW w:w="1675" w:type="dxa"/>
            <w:vMerge w:val="continue"/>
            <w:tcBorders>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弱电接口故障</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PLC通信单元与智能电能表、终端设备之间无法</w:t>
            </w:r>
            <w:r>
              <w:rPr>
                <w:rFonts w:hint="eastAsia" w:asciiTheme="minorEastAsia" w:hAnsiTheme="minorEastAsia" w:eastAsiaTheme="minorEastAsia" w:cstheme="minorEastAsia"/>
                <w:szCs w:val="21"/>
              </w:rPr>
              <w:t>通信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协议不匹配</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PLC通信单元与部分设备之间交互异常。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r>
              <w:rPr>
                <w:rFonts w:hint="eastAsia" w:ascii="宋体" w:hAnsi="宋体" w:cs="宋体"/>
                <w:color w:val="000000"/>
                <w:szCs w:val="21"/>
              </w:rPr>
              <w:t>功能故障</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事件上报功能故障</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设备产生事件时，PLC通信单元无法上报事件。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left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停复电上报功能异常</w:t>
            </w:r>
          </w:p>
        </w:tc>
        <w:tc>
          <w:tcPr>
            <w:tcW w:w="50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PLC通信单元停、复电之后，终端设备无法收到停复电上报信息或上报数量不全。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相位识别功能异常</w:t>
            </w:r>
          </w:p>
        </w:tc>
        <w:tc>
          <w:tcPr>
            <w:tcW w:w="5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PLC通信单元识别设备接线相位与实际设备接线不符。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167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p>
        </w:tc>
        <w:tc>
          <w:tcPr>
            <w:tcW w:w="28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其他功能故障</w:t>
            </w:r>
          </w:p>
        </w:tc>
        <w:tc>
          <w:tcPr>
            <w:tcW w:w="506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PLC通信单元的其他功能不符合相关规范要求，例如台区识别异常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5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30"/>
              <w:spacing w:before="156" w:after="156"/>
              <w:textAlignment w:val="center"/>
              <w:outlineLvl w:val="2"/>
              <w:rPr>
                <w:rFonts w:hAnsi="宋体" w:cs="宋体"/>
                <w:color w:val="000000"/>
                <w:szCs w:val="21"/>
              </w:rPr>
            </w:pPr>
            <w:bookmarkStart w:id="102" w:name="_Toc843"/>
            <w:r>
              <w:rPr>
                <w:rFonts w:hint="eastAsia"/>
              </w:rPr>
              <w:t>注：</w:t>
            </w:r>
            <w:r>
              <w:rPr>
                <w:rFonts w:hint="eastAsia" w:ascii="Times New Roman"/>
                <w:kern w:val="2"/>
              </w:rPr>
              <w:t>相关规范要求是指PLC通信单元、智能电能表、终端设备应满足本标准未包含的其他企业标准，以及企业（客户）产品订货要求。</w:t>
            </w:r>
            <w:bookmarkEnd w:id="102"/>
          </w:p>
        </w:tc>
      </w:tr>
    </w:tbl>
    <w:p>
      <w:pPr>
        <w:pStyle w:val="59"/>
        <w:spacing w:before="156" w:after="156"/>
        <w:outlineLvl w:val="1"/>
        <w:rPr>
          <w:rFonts w:ascii="黑体-简" w:hAnsi="黑体-简" w:eastAsia="黑体-简" w:cs="黑体-简"/>
          <w:color w:val="000000"/>
          <w:kern w:val="21"/>
        </w:rPr>
      </w:pPr>
      <w:bookmarkStart w:id="103" w:name="_Toc82461141"/>
      <w:bookmarkStart w:id="104" w:name="_Toc5831"/>
      <w:bookmarkStart w:id="105" w:name="_Toc645770297"/>
      <w:bookmarkStart w:id="106" w:name="_Toc488749346"/>
      <w:r>
        <w:rPr>
          <w:rFonts w:hint="eastAsia" w:ascii="黑体-简" w:hAnsi="黑体-简" w:eastAsia="黑体-简" w:cs="黑体-简"/>
          <w:color w:val="000000"/>
          <w:kern w:val="21"/>
        </w:rPr>
        <w:t>智能电能表PLC通信接口常见故障类型和现象</w:t>
      </w:r>
      <w:bookmarkEnd w:id="103"/>
      <w:bookmarkEnd w:id="104"/>
      <w:bookmarkEnd w:id="105"/>
      <w:bookmarkEnd w:id="106"/>
    </w:p>
    <w:p>
      <w:pPr>
        <w:pStyle w:val="30"/>
        <w:widowControl w:val="0"/>
        <w:spacing w:beforeLines="50" w:afterLines="50"/>
      </w:pPr>
      <w:bookmarkStart w:id="107" w:name="_Toc14923"/>
      <w:r>
        <w:rPr>
          <w:rFonts w:hint="eastAsia"/>
        </w:rPr>
        <w:t>从外观、设计、电源、</w:t>
      </w:r>
      <w:r>
        <w:rPr>
          <w:rFonts w:hint="eastAsia" w:hAnsi="宋体" w:cs="宋体"/>
          <w:bCs/>
          <w:color w:val="000000"/>
          <w:szCs w:val="22"/>
        </w:rPr>
        <w:t>通信</w:t>
      </w:r>
      <w:r>
        <w:rPr>
          <w:rFonts w:hint="eastAsia"/>
        </w:rPr>
        <w:t>四大类智能电能表</w:t>
      </w:r>
      <w:r>
        <w:rPr>
          <w:rFonts w:hint="eastAsia" w:asciiTheme="minorEastAsia" w:hAnsiTheme="minorEastAsia" w:eastAsiaTheme="minorEastAsia" w:cstheme="minorEastAsia"/>
          <w:szCs w:val="21"/>
        </w:rPr>
        <w:t>PLC通信接口</w:t>
      </w:r>
      <w:r>
        <w:rPr>
          <w:rFonts w:hint="eastAsia"/>
        </w:rPr>
        <w:t>常见故障和现象按照表2进行分类。</w:t>
      </w:r>
      <w:bookmarkEnd w:id="107"/>
    </w:p>
    <w:p>
      <w:pPr>
        <w:pStyle w:val="30"/>
        <w:spacing w:before="156" w:after="156"/>
        <w:ind w:firstLine="0" w:firstLineChars="0"/>
        <w:jc w:val="center"/>
        <w:outlineLvl w:val="2"/>
        <w:rPr>
          <w:b/>
          <w:bCs/>
        </w:rPr>
      </w:pPr>
      <w:bookmarkStart w:id="108" w:name="_Toc22984"/>
      <w:r>
        <w:rPr>
          <w:rFonts w:hint="eastAsia"/>
          <w:b/>
          <w:bCs/>
        </w:rPr>
        <w:t>表</w:t>
      </w:r>
      <w:r>
        <w:rPr>
          <w:b/>
          <w:bCs/>
        </w:rPr>
        <w:t xml:space="preserve">2 </w:t>
      </w:r>
      <w:r>
        <w:rPr>
          <w:rFonts w:hint="eastAsia"/>
          <w:b/>
          <w:bCs/>
        </w:rPr>
        <w:t>智能电能表PLC通信接口故障分类及现象</w:t>
      </w:r>
      <w:bookmarkEnd w:id="108"/>
    </w:p>
    <w:tbl>
      <w:tblPr>
        <w:tblStyle w:val="4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886"/>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pPr>
              <w:pStyle w:val="104"/>
              <w:widowControl w:val="0"/>
              <w:ind w:left="0"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一类故障</w:t>
            </w:r>
          </w:p>
        </w:tc>
        <w:tc>
          <w:tcPr>
            <w:tcW w:w="2886" w:type="dxa"/>
            <w:vAlign w:val="center"/>
          </w:tcPr>
          <w:p>
            <w:pPr>
              <w:pStyle w:val="104"/>
              <w:widowControl w:val="0"/>
              <w:ind w:left="0"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二类故障</w:t>
            </w:r>
          </w:p>
        </w:tc>
        <w:tc>
          <w:tcPr>
            <w:tcW w:w="5071" w:type="dxa"/>
            <w:vAlign w:val="center"/>
          </w:tcPr>
          <w:p>
            <w:pPr>
              <w:pStyle w:val="104"/>
              <w:widowControl w:val="0"/>
              <w:ind w:left="0"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故障现象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dxa"/>
            <w:vMerge w:val="restart"/>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外观故障</w:t>
            </w:r>
          </w:p>
        </w:tc>
        <w:tc>
          <w:tcPr>
            <w:tcW w:w="2886" w:type="dxa"/>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烧坏</w:t>
            </w:r>
          </w:p>
        </w:tc>
        <w:tc>
          <w:tcPr>
            <w:tcW w:w="5071" w:type="dxa"/>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智能电能表PLC通信弱电接口或PLC耦合接口有烧痕、熔化变形或有烧焦的气味。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Merge w:val="continue"/>
            <w:vAlign w:val="center"/>
          </w:tcPr>
          <w:p>
            <w:pPr>
              <w:pStyle w:val="104"/>
              <w:widowControl w:val="0"/>
              <w:ind w:left="0" w:firstLine="0"/>
              <w:rPr>
                <w:rFonts w:asciiTheme="minorEastAsia" w:hAnsiTheme="minorEastAsia" w:eastAsiaTheme="minorEastAsia" w:cstheme="minorEastAsia"/>
                <w:szCs w:val="21"/>
              </w:rPr>
            </w:pPr>
          </w:p>
        </w:tc>
        <w:tc>
          <w:tcPr>
            <w:tcW w:w="2886" w:type="dxa"/>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损坏</w:t>
            </w:r>
          </w:p>
        </w:tc>
        <w:tc>
          <w:tcPr>
            <w:tcW w:w="5071" w:type="dxa"/>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智能电能表PLC通信弱电接口或耦合接口有明显物理损坏。例如有明显缺失、破损、断裂，排插座脱落、变形、排插座插孔有异物、排插座金属簧片脱落、氧化。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13" w:type="dxa"/>
            <w:tcBorders>
              <w:bottom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结构故障</w:t>
            </w:r>
          </w:p>
        </w:tc>
        <w:tc>
          <w:tcPr>
            <w:tcW w:w="2886" w:type="dxa"/>
            <w:tcBorders>
              <w:bottom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结构故障</w:t>
            </w:r>
          </w:p>
        </w:tc>
        <w:tc>
          <w:tcPr>
            <w:tcW w:w="5071" w:type="dxa"/>
            <w:tcBorders>
              <w:bottom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智能电能表PLC通信接口与正常的智能电能表PLC通信单元匹配不良，包括：</w:t>
            </w:r>
          </w:p>
          <w:p>
            <w:pPr>
              <w:pStyle w:val="104"/>
              <w:widowControl w:val="0"/>
              <w:numPr>
                <w:ilvl w:val="0"/>
                <w:numId w:val="6"/>
              </w:numPr>
              <w:tabs>
                <w:tab w:val="left" w:pos="420"/>
                <w:tab w:val="clear" w:pos="840"/>
              </w:tabs>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PLC通信单元无法插入智能电能表PLC通信接口；</w:t>
            </w:r>
          </w:p>
          <w:p>
            <w:pPr>
              <w:pStyle w:val="104"/>
              <w:widowControl w:val="0"/>
              <w:numPr>
                <w:ilvl w:val="0"/>
                <w:numId w:val="6"/>
              </w:numPr>
              <w:tabs>
                <w:tab w:val="left" w:pos="420"/>
                <w:tab w:val="clear" w:pos="84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PLC通信单元插入后，无法盖上智能电能表翻盖；</w:t>
            </w:r>
          </w:p>
          <w:p>
            <w:pPr>
              <w:pStyle w:val="104"/>
              <w:widowControl w:val="0"/>
              <w:numPr>
                <w:ilvl w:val="0"/>
                <w:numId w:val="6"/>
              </w:numPr>
              <w:tabs>
                <w:tab w:val="left" w:pos="420"/>
                <w:tab w:val="clear" w:pos="84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PLC通信单元插入后，其插针与智能电能表PLC通信接口插座不牢固。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电源故障</w:t>
            </w:r>
          </w:p>
        </w:tc>
        <w:tc>
          <w:tcPr>
            <w:tcW w:w="2886"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电源故障</w:t>
            </w:r>
          </w:p>
        </w:tc>
        <w:tc>
          <w:tcPr>
            <w:tcW w:w="5071"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PLC通信单元插入待测智能电能表后，通信单元指示灯不亮，且无法进行PLC通信。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通信故障</w:t>
            </w:r>
          </w:p>
        </w:tc>
        <w:tc>
          <w:tcPr>
            <w:tcW w:w="2886"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通信故障</w:t>
            </w:r>
          </w:p>
        </w:tc>
        <w:tc>
          <w:tcPr>
            <w:tcW w:w="5071" w:type="dxa"/>
            <w:tcBorders>
              <w:top w:val="single" w:color="auto" w:sz="4" w:space="0"/>
              <w:left w:val="single" w:color="auto" w:sz="4" w:space="0"/>
              <w:bottom w:val="single" w:color="auto" w:sz="4" w:space="0"/>
              <w:right w:val="single" w:color="auto" w:sz="4" w:space="0"/>
            </w:tcBorders>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PLC通信单元插入待测智能电能表后，智能电能表与PLC通信单元之间无法通信。</w:t>
            </w:r>
          </w:p>
        </w:tc>
      </w:tr>
    </w:tbl>
    <w:p>
      <w:pPr>
        <w:pStyle w:val="59"/>
        <w:spacing w:before="156" w:after="156"/>
        <w:outlineLvl w:val="1"/>
        <w:rPr>
          <w:rFonts w:ascii="黑体-简" w:hAnsi="黑体-简" w:eastAsia="黑体-简" w:cs="黑体-简"/>
          <w:color w:val="000000"/>
          <w:kern w:val="21"/>
        </w:rPr>
      </w:pPr>
      <w:bookmarkStart w:id="109" w:name="_Toc38745512"/>
      <w:bookmarkStart w:id="110" w:name="_Toc12650"/>
      <w:bookmarkStart w:id="111" w:name="_Toc82461142"/>
      <w:bookmarkStart w:id="112" w:name="_Toc1477771906"/>
      <w:r>
        <w:rPr>
          <w:rFonts w:hint="eastAsia" w:hAnsi="黑体" w:eastAsia="黑体-简" w:cs="黑体"/>
        </w:rPr>
        <w:t>终端设备PLC通信接口</w:t>
      </w:r>
      <w:r>
        <w:rPr>
          <w:rFonts w:hint="eastAsia" w:ascii="黑体-简" w:hAnsi="黑体-简" w:eastAsia="黑体-简" w:cs="黑体-简"/>
          <w:color w:val="000000"/>
          <w:kern w:val="21"/>
        </w:rPr>
        <w:t>常见故障类型和现象</w:t>
      </w:r>
      <w:bookmarkEnd w:id="109"/>
      <w:bookmarkEnd w:id="110"/>
      <w:bookmarkEnd w:id="111"/>
      <w:bookmarkEnd w:id="112"/>
    </w:p>
    <w:p>
      <w:pPr>
        <w:pStyle w:val="30"/>
        <w:widowControl w:val="0"/>
        <w:spacing w:beforeLines="50" w:afterLines="50"/>
      </w:pPr>
      <w:bookmarkStart w:id="113" w:name="_Toc19364"/>
      <w:r>
        <w:rPr>
          <w:rFonts w:hint="eastAsia"/>
        </w:rPr>
        <w:t>从外观、设计、电源、通信四大类终端设备PLC通信接口常见故障和现象按照表3行分类。</w:t>
      </w:r>
      <w:bookmarkEnd w:id="113"/>
    </w:p>
    <w:p>
      <w:pPr>
        <w:pStyle w:val="30"/>
        <w:spacing w:before="156" w:after="156"/>
        <w:ind w:firstLine="0" w:firstLineChars="0"/>
        <w:jc w:val="center"/>
        <w:outlineLvl w:val="2"/>
        <w:rPr>
          <w:b/>
          <w:bCs/>
        </w:rPr>
      </w:pPr>
      <w:bookmarkStart w:id="114" w:name="_Toc3906"/>
      <w:r>
        <w:rPr>
          <w:rFonts w:hint="eastAsia"/>
          <w:b/>
          <w:bCs/>
        </w:rPr>
        <w:t>表3 终端设备PLC通信接口故障分类及现象</w:t>
      </w:r>
      <w:bookmarkEnd w:id="114"/>
    </w:p>
    <w:tbl>
      <w:tblPr>
        <w:tblStyle w:val="40"/>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3"/>
        <w:gridCol w:w="2880"/>
        <w:gridCol w:w="4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613" w:type="dxa"/>
            <w:tcBorders>
              <w:tl2br w:val="nil"/>
              <w:tr2bl w:val="nil"/>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一类故障</w:t>
            </w:r>
          </w:p>
        </w:tc>
        <w:tc>
          <w:tcPr>
            <w:tcW w:w="2880" w:type="dxa"/>
            <w:tcBorders>
              <w:tl2br w:val="nil"/>
              <w:tr2bl w:val="nil"/>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二类故障</w:t>
            </w:r>
          </w:p>
        </w:tc>
        <w:tc>
          <w:tcPr>
            <w:tcW w:w="4985" w:type="dxa"/>
            <w:tcBorders>
              <w:tl2br w:val="nil"/>
              <w:tr2bl w:val="nil"/>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故障现象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613" w:type="dxa"/>
            <w:vMerge w:val="restart"/>
            <w:tcBorders>
              <w:tl2br w:val="nil"/>
              <w:tr2bl w:val="nil"/>
            </w:tcBorders>
            <w:shd w:val="clear" w:color="auto" w:fill="auto"/>
            <w:vAlign w:val="center"/>
          </w:tcPr>
          <w:p>
            <w:pPr>
              <w:widowControl/>
              <w:jc w:val="center"/>
              <w:textAlignment w:val="center"/>
              <w:rPr>
                <w:rFonts w:ascii="宋体" w:hAnsi="宋体" w:cs="宋体"/>
                <w:b/>
                <w:bCs/>
                <w:kern w:val="0"/>
                <w:szCs w:val="21"/>
              </w:rPr>
            </w:pPr>
            <w:r>
              <w:rPr>
                <w:rFonts w:hint="eastAsia" w:ascii="宋体" w:hAnsi="宋体" w:cs="宋体"/>
                <w:kern w:val="0"/>
                <w:szCs w:val="21"/>
              </w:rPr>
              <w:t>外观故障</w:t>
            </w:r>
          </w:p>
        </w:tc>
        <w:tc>
          <w:tcPr>
            <w:tcW w:w="2880" w:type="dxa"/>
            <w:tcBorders>
              <w:tl2br w:val="nil"/>
              <w:tr2bl w:val="nil"/>
            </w:tcBorders>
            <w:shd w:val="clear" w:color="auto" w:fill="auto"/>
          </w:tcPr>
          <w:p>
            <w:pPr>
              <w:pStyle w:val="104"/>
              <w:widowControl w:val="0"/>
              <w:ind w:left="0" w:firstLine="0"/>
              <w:rPr>
                <w:rFonts w:hAnsi="宋体" w:cs="宋体"/>
                <w:b/>
                <w:bCs/>
                <w:szCs w:val="21"/>
              </w:rPr>
            </w:pPr>
            <w:r>
              <w:rPr>
                <w:rFonts w:hint="eastAsia" w:asciiTheme="minorEastAsia" w:hAnsiTheme="minorEastAsia" w:eastAsiaTheme="minorEastAsia" w:cstheme="minorEastAsia"/>
                <w:szCs w:val="21"/>
              </w:rPr>
              <w:t>烧坏</w:t>
            </w:r>
          </w:p>
        </w:tc>
        <w:tc>
          <w:tcPr>
            <w:tcW w:w="4985" w:type="dxa"/>
            <w:tcBorders>
              <w:tl2br w:val="nil"/>
              <w:tr2bl w:val="nil"/>
            </w:tcBorders>
            <w:shd w:val="clear" w:color="auto" w:fill="auto"/>
          </w:tcPr>
          <w:p>
            <w:pPr>
              <w:pStyle w:val="104"/>
              <w:widowControl w:val="0"/>
              <w:ind w:left="0" w:firstLine="0"/>
              <w:rPr>
                <w:rFonts w:hAnsi="宋体" w:cs="宋体"/>
                <w:b/>
                <w:bCs/>
                <w:szCs w:val="21"/>
              </w:rPr>
            </w:pPr>
            <w:r>
              <w:rPr>
                <w:rFonts w:hint="eastAsia" w:asciiTheme="minorEastAsia" w:hAnsiTheme="minorEastAsia" w:eastAsiaTheme="minorEastAsia" w:cstheme="minorEastAsia"/>
                <w:szCs w:val="21"/>
              </w:rPr>
              <w:t>终端设备PLC通信弱电接口或PLC耦合接口有烧痕、熔化变形。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613" w:type="dxa"/>
            <w:vMerge w:val="continue"/>
            <w:tcBorders>
              <w:tl2br w:val="nil"/>
              <w:tr2bl w:val="nil"/>
            </w:tcBorders>
            <w:shd w:val="clear" w:color="auto" w:fill="auto"/>
            <w:vAlign w:val="center"/>
          </w:tcPr>
          <w:p>
            <w:pPr>
              <w:widowControl/>
              <w:jc w:val="center"/>
              <w:textAlignment w:val="center"/>
              <w:rPr>
                <w:rFonts w:ascii="宋体" w:hAnsi="宋体" w:cs="宋体"/>
                <w:b/>
                <w:bCs/>
                <w:kern w:val="0"/>
                <w:szCs w:val="21"/>
              </w:rPr>
            </w:pPr>
          </w:p>
        </w:tc>
        <w:tc>
          <w:tcPr>
            <w:tcW w:w="2880" w:type="dxa"/>
            <w:tcBorders>
              <w:tl2br w:val="nil"/>
              <w:tr2bl w:val="nil"/>
            </w:tcBorders>
            <w:shd w:val="clear" w:color="auto" w:fill="auto"/>
          </w:tcPr>
          <w:p>
            <w:pPr>
              <w:pStyle w:val="104"/>
              <w:widowControl w:val="0"/>
              <w:ind w:left="0" w:firstLine="0"/>
              <w:rPr>
                <w:rFonts w:hAnsi="宋体" w:cs="宋体"/>
                <w:b/>
                <w:bCs/>
                <w:szCs w:val="21"/>
              </w:rPr>
            </w:pPr>
            <w:r>
              <w:rPr>
                <w:rFonts w:hint="eastAsia" w:asciiTheme="minorEastAsia" w:hAnsiTheme="minorEastAsia" w:eastAsiaTheme="minorEastAsia" w:cstheme="minorEastAsia"/>
                <w:szCs w:val="21"/>
              </w:rPr>
              <w:t>损坏</w:t>
            </w:r>
          </w:p>
        </w:tc>
        <w:tc>
          <w:tcPr>
            <w:tcW w:w="4985" w:type="dxa"/>
            <w:tcBorders>
              <w:tl2br w:val="nil"/>
              <w:tr2bl w:val="nil"/>
            </w:tcBorders>
            <w:shd w:val="clear" w:color="auto" w:fill="auto"/>
          </w:tcPr>
          <w:p>
            <w:pPr>
              <w:pStyle w:val="104"/>
              <w:widowControl w:val="0"/>
              <w:ind w:left="0" w:firstLine="0"/>
              <w:rPr>
                <w:rFonts w:hAnsi="宋体" w:cs="宋体"/>
                <w:b/>
                <w:bCs/>
                <w:szCs w:val="21"/>
              </w:rPr>
            </w:pPr>
            <w:r>
              <w:rPr>
                <w:rFonts w:hint="eastAsia" w:asciiTheme="minorEastAsia" w:hAnsiTheme="minorEastAsia" w:eastAsiaTheme="minorEastAsia" w:cstheme="minorEastAsia"/>
                <w:szCs w:val="21"/>
              </w:rPr>
              <w:t>终端设备PLC通信弱电接口或耦合接口有明显物理损坏。例如有明显缺失、破损、断裂，排插座脱落、变形、排插座插孔有异物、排插座金属簧片脱落、氧化。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13" w:type="dxa"/>
            <w:tcBorders>
              <w:tl2br w:val="nil"/>
              <w:tr2bl w:val="nil"/>
            </w:tcBorders>
            <w:shd w:val="clear" w:color="auto" w:fill="auto"/>
            <w:vAlign w:val="center"/>
          </w:tcPr>
          <w:p>
            <w:pPr>
              <w:widowControl/>
              <w:jc w:val="center"/>
              <w:textAlignment w:val="center"/>
              <w:rPr>
                <w:rFonts w:ascii="宋体" w:hAnsi="宋体" w:cs="宋体"/>
                <w:szCs w:val="21"/>
              </w:rPr>
            </w:pPr>
            <w:r>
              <w:rPr>
                <w:rFonts w:hint="eastAsia" w:hAnsi="宋体" w:cs="宋体"/>
                <w:szCs w:val="21"/>
              </w:rPr>
              <w:t>结构故障</w:t>
            </w:r>
          </w:p>
        </w:tc>
        <w:tc>
          <w:tcPr>
            <w:tcW w:w="2880" w:type="dxa"/>
            <w:tcBorders>
              <w:tl2br w:val="nil"/>
              <w:tr2bl w:val="nil"/>
            </w:tcBorders>
            <w:shd w:val="clear" w:color="auto" w:fill="auto"/>
            <w:vAlign w:val="center"/>
          </w:tcPr>
          <w:p>
            <w:pPr>
              <w:widowControl/>
              <w:textAlignment w:val="center"/>
              <w:rPr>
                <w:rFonts w:ascii="宋体" w:hAnsi="宋体" w:cs="宋体" w:eastAsiaTheme="minorEastAsia"/>
                <w:szCs w:val="21"/>
              </w:rPr>
            </w:pPr>
            <w:r>
              <w:rPr>
                <w:rFonts w:hint="eastAsia" w:asciiTheme="minorEastAsia" w:hAnsiTheme="minorEastAsia" w:eastAsiaTheme="minorEastAsia" w:cstheme="minorEastAsia"/>
                <w:szCs w:val="21"/>
              </w:rPr>
              <w:t>结构故障</w:t>
            </w:r>
          </w:p>
        </w:tc>
        <w:tc>
          <w:tcPr>
            <w:tcW w:w="4985" w:type="dxa"/>
            <w:tcBorders>
              <w:tl2br w:val="nil"/>
              <w:tr2bl w:val="nil"/>
            </w:tcBorders>
            <w:shd w:val="clear" w:color="auto" w:fill="auto"/>
            <w:vAlign w:val="center"/>
          </w:tcPr>
          <w:p>
            <w:pPr>
              <w:pStyle w:val="104"/>
              <w:widowControl w:val="0"/>
              <w:ind w:left="0"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终端设备PLC通信接口与PLC通信单元匹配不良，包括：</w:t>
            </w:r>
          </w:p>
          <w:p>
            <w:pPr>
              <w:pStyle w:val="104"/>
              <w:widowControl w:val="0"/>
              <w:numPr>
                <w:ilvl w:val="0"/>
                <w:numId w:val="7"/>
              </w:numPr>
              <w:tabs>
                <w:tab w:val="left" w:pos="420"/>
                <w:tab w:val="clear" w:pos="84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PLC通信单元无法插入终端设备PLC通信接口；</w:t>
            </w:r>
          </w:p>
          <w:p>
            <w:pPr>
              <w:pStyle w:val="104"/>
              <w:widowControl w:val="0"/>
              <w:numPr>
                <w:ilvl w:val="0"/>
                <w:numId w:val="7"/>
              </w:numPr>
              <w:tabs>
                <w:tab w:val="left" w:pos="420"/>
                <w:tab w:val="clear" w:pos="84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PLC通信单元插入后，无法盖上终端设备翻盖；</w:t>
            </w:r>
          </w:p>
          <w:p>
            <w:pPr>
              <w:pStyle w:val="104"/>
              <w:widowControl w:val="0"/>
              <w:numPr>
                <w:ilvl w:val="0"/>
                <w:numId w:val="7"/>
              </w:numPr>
              <w:tabs>
                <w:tab w:val="left" w:pos="420"/>
                <w:tab w:val="clear" w:pos="840"/>
              </w:tabs>
              <w:rPr>
                <w:rFonts w:hAnsi="宋体" w:cs="宋体"/>
                <w:szCs w:val="21"/>
              </w:rPr>
            </w:pPr>
            <w:r>
              <w:rPr>
                <w:rFonts w:hint="eastAsia" w:asciiTheme="minorEastAsia" w:hAnsiTheme="minorEastAsia" w:eastAsiaTheme="minorEastAsia" w:cstheme="minorEastAsia"/>
                <w:szCs w:val="21"/>
              </w:rPr>
              <w:t>PLC通信单元插入后，插针与终端设备PLC通信接口插座不牢固。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613" w:type="dxa"/>
            <w:tcBorders>
              <w:tl2br w:val="nil"/>
              <w:tr2bl w:val="nil"/>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电源故障</w:t>
            </w:r>
          </w:p>
        </w:tc>
        <w:tc>
          <w:tcPr>
            <w:tcW w:w="2880" w:type="dxa"/>
            <w:tcBorders>
              <w:tl2br w:val="nil"/>
              <w:tr2bl w:val="nil"/>
            </w:tcBorders>
            <w:shd w:val="clear" w:color="auto" w:fill="auto"/>
            <w:vAlign w:val="center"/>
          </w:tcPr>
          <w:p>
            <w:pPr>
              <w:widowControl/>
              <w:textAlignment w:val="center"/>
              <w:rPr>
                <w:rFonts w:ascii="宋体" w:hAnsi="宋体" w:cs="宋体"/>
                <w:szCs w:val="21"/>
              </w:rPr>
            </w:pPr>
            <w:r>
              <w:rPr>
                <w:rFonts w:hint="eastAsia" w:asciiTheme="minorEastAsia" w:hAnsiTheme="minorEastAsia" w:eastAsiaTheme="minorEastAsia" w:cstheme="minorEastAsia"/>
                <w:szCs w:val="21"/>
              </w:rPr>
              <w:t>电源故障</w:t>
            </w:r>
          </w:p>
        </w:tc>
        <w:tc>
          <w:tcPr>
            <w:tcW w:w="4985" w:type="dxa"/>
            <w:tcBorders>
              <w:tl2br w:val="nil"/>
              <w:tr2bl w:val="nil"/>
            </w:tcBorders>
            <w:shd w:val="clear" w:color="auto" w:fill="auto"/>
            <w:vAlign w:val="center"/>
          </w:tcPr>
          <w:p>
            <w:pPr>
              <w:pStyle w:val="2"/>
              <w:ind w:firstLine="0" w:firstLineChars="0"/>
            </w:pPr>
            <w:r>
              <w:rPr>
                <w:rFonts w:hint="eastAsia" w:asciiTheme="minorEastAsia" w:hAnsiTheme="minorEastAsia" w:eastAsiaTheme="minorEastAsia" w:cstheme="minorEastAsia"/>
                <w:szCs w:val="21"/>
              </w:rPr>
              <w:t>PLC通信单元插入</w:t>
            </w:r>
            <w:r>
              <w:rPr>
                <w:rFonts w:hint="eastAsia"/>
              </w:rPr>
              <w:t>待测</w:t>
            </w:r>
            <w:r>
              <w:rPr>
                <w:rFonts w:hint="eastAsia" w:asciiTheme="minorEastAsia" w:hAnsiTheme="minorEastAsia" w:eastAsiaTheme="minorEastAsia" w:cstheme="minorEastAsia"/>
                <w:szCs w:val="21"/>
              </w:rPr>
              <w:t>终端设备后，通信单元指示灯不亮，且无法进行PLC通信。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613" w:type="dxa"/>
            <w:tcBorders>
              <w:tl2br w:val="nil"/>
              <w:tr2bl w:val="nil"/>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通信故障</w:t>
            </w:r>
          </w:p>
        </w:tc>
        <w:tc>
          <w:tcPr>
            <w:tcW w:w="2880" w:type="dxa"/>
            <w:tcBorders>
              <w:tl2br w:val="nil"/>
              <w:tr2bl w:val="nil"/>
            </w:tcBorders>
            <w:shd w:val="clear" w:color="auto" w:fill="auto"/>
            <w:vAlign w:val="center"/>
          </w:tcPr>
          <w:p>
            <w:pPr>
              <w:widowControl/>
              <w:textAlignment w:val="center"/>
              <w:rPr>
                <w:rFonts w:ascii="宋体" w:hAnsi="宋体" w:cs="宋体"/>
                <w:szCs w:val="21"/>
              </w:rPr>
            </w:pPr>
            <w:r>
              <w:rPr>
                <w:rFonts w:hint="eastAsia" w:asciiTheme="minorEastAsia" w:hAnsiTheme="minorEastAsia" w:eastAsiaTheme="minorEastAsia" w:cstheme="minorEastAsia"/>
                <w:szCs w:val="21"/>
              </w:rPr>
              <w:t>通信故障</w:t>
            </w:r>
          </w:p>
        </w:tc>
        <w:tc>
          <w:tcPr>
            <w:tcW w:w="4985" w:type="dxa"/>
            <w:tcBorders>
              <w:tl2br w:val="nil"/>
              <w:tr2bl w:val="nil"/>
            </w:tcBorders>
            <w:shd w:val="clear" w:color="auto" w:fill="auto"/>
            <w:vAlign w:val="center"/>
          </w:tcPr>
          <w:p>
            <w:pPr>
              <w:widowControl/>
              <w:numPr>
                <w:ilvl w:val="255"/>
                <w:numId w:val="0"/>
              </w:numPr>
              <w:textAlignment w:val="center"/>
            </w:pPr>
            <w:r>
              <w:rPr>
                <w:rFonts w:hint="eastAsia"/>
              </w:rPr>
              <w:t>PLC通信单元插入待测终端设备后，终端设备与PLC通信单元之间无法</w:t>
            </w:r>
            <w:r>
              <w:rPr>
                <w:rFonts w:hint="eastAsia" w:asciiTheme="minorEastAsia" w:hAnsiTheme="minorEastAsia" w:eastAsiaTheme="minorEastAsia" w:cstheme="minorEastAsia"/>
                <w:szCs w:val="21"/>
              </w:rPr>
              <w:t>通信</w:t>
            </w:r>
            <w:r>
              <w:rPr>
                <w:rFonts w:hint="eastAsia"/>
              </w:rPr>
              <w:t>。</w:t>
            </w:r>
          </w:p>
        </w:tc>
      </w:tr>
      <w:bookmarkEnd w:id="86"/>
      <w:bookmarkEnd w:id="87"/>
      <w:bookmarkEnd w:id="88"/>
      <w:bookmarkEnd w:id="89"/>
      <w:bookmarkEnd w:id="90"/>
    </w:tbl>
    <w:p>
      <w:pPr>
        <w:pStyle w:val="79"/>
        <w:spacing w:before="312" w:after="312"/>
        <w:outlineLvl w:val="0"/>
        <w:rPr>
          <w:rFonts w:ascii="黑体-简" w:hAnsi="黑体-简" w:eastAsia="黑体-简" w:cs="黑体-简"/>
          <w:bCs/>
        </w:rPr>
      </w:pPr>
      <w:bookmarkStart w:id="115" w:name="_Toc27768"/>
      <w:bookmarkStart w:id="116" w:name="_Toc781_WPSOffice_Level1"/>
      <w:bookmarkStart w:id="117" w:name="_Toc7379_WPSOffice_Level1"/>
      <w:bookmarkStart w:id="118" w:name="_Toc20469"/>
      <w:bookmarkStart w:id="119" w:name="_Toc1385444023"/>
      <w:bookmarkStart w:id="120" w:name="_Toc82461143"/>
      <w:bookmarkStart w:id="121" w:name="_Toc14063"/>
      <w:bookmarkStart w:id="122" w:name="_Toc17864_WPSOffice_Level1"/>
      <w:bookmarkStart w:id="123" w:name="_Toc14238_WPSOffice_Level1"/>
      <w:bookmarkStart w:id="124" w:name="_Toc1061357346"/>
      <w:bookmarkStart w:id="125" w:name="_Toc13529"/>
      <w:bookmarkStart w:id="126" w:name="_Toc25134"/>
      <w:r>
        <w:rPr>
          <w:rFonts w:hint="eastAsia" w:ascii="黑体-简" w:hAnsi="黑体-简" w:eastAsia="黑体-简" w:cs="黑体-简"/>
          <w:bCs/>
        </w:rPr>
        <w:t>故障诊断</w:t>
      </w:r>
      <w:bookmarkEnd w:id="115"/>
    </w:p>
    <w:bookmarkEnd w:id="116"/>
    <w:bookmarkEnd w:id="117"/>
    <w:bookmarkEnd w:id="118"/>
    <w:bookmarkEnd w:id="119"/>
    <w:bookmarkEnd w:id="120"/>
    <w:bookmarkEnd w:id="121"/>
    <w:bookmarkEnd w:id="122"/>
    <w:bookmarkEnd w:id="123"/>
    <w:bookmarkEnd w:id="124"/>
    <w:bookmarkEnd w:id="125"/>
    <w:bookmarkEnd w:id="126"/>
    <w:p>
      <w:pPr>
        <w:pStyle w:val="59"/>
        <w:spacing w:before="156" w:after="156"/>
        <w:outlineLvl w:val="1"/>
        <w:rPr>
          <w:rFonts w:ascii="黑体-简" w:hAnsi="黑体-简" w:eastAsia="黑体-简" w:cs="黑体-简"/>
        </w:rPr>
      </w:pPr>
      <w:bookmarkStart w:id="127" w:name="_Toc32729"/>
      <w:bookmarkStart w:id="128" w:name="_Toc82461144"/>
      <w:bookmarkStart w:id="129" w:name="_Toc1412861141"/>
      <w:bookmarkStart w:id="130" w:name="_Toc243548988"/>
      <w:bookmarkStart w:id="131" w:name="_Toc966218009"/>
      <w:bookmarkStart w:id="132" w:name="_Toc382977080"/>
      <w:bookmarkStart w:id="133" w:name="_Toc82461146"/>
      <w:r>
        <w:rPr>
          <w:rFonts w:hint="eastAsia" w:ascii="黑体-简" w:hAnsi="黑体-简" w:eastAsia="黑体-简" w:cs="黑体-简"/>
        </w:rPr>
        <w:t>外观类故障排查</w:t>
      </w:r>
      <w:bookmarkEnd w:id="127"/>
    </w:p>
    <w:bookmarkEnd w:id="128"/>
    <w:bookmarkEnd w:id="129"/>
    <w:bookmarkEnd w:id="130"/>
    <w:p>
      <w:pPr>
        <w:pStyle w:val="104"/>
        <w:ind w:left="0" w:firstLine="420" w:firstLineChars="200"/>
        <w:rPr>
          <w:rFonts w:hAnsi="宋体" w:cs="宋体"/>
          <w:bCs/>
          <w:color w:val="000000"/>
          <w:szCs w:val="22"/>
        </w:rPr>
      </w:pPr>
      <w:r>
        <w:rPr>
          <w:rFonts w:hint="eastAsia" w:hAnsi="宋体" w:cs="宋体"/>
          <w:bCs/>
          <w:szCs w:val="22"/>
        </w:rPr>
        <w:t>对故障</w:t>
      </w:r>
      <w:r>
        <w:rPr>
          <w:rFonts w:hAnsi="宋体" w:cs="宋体"/>
          <w:bCs/>
          <w:color w:val="000000"/>
          <w:szCs w:val="22"/>
        </w:rPr>
        <w:t>PLC</w:t>
      </w:r>
      <w:r>
        <w:rPr>
          <w:rFonts w:hint="eastAsia" w:hAnsi="宋体" w:cs="宋体"/>
          <w:bCs/>
          <w:color w:val="000000"/>
          <w:szCs w:val="22"/>
        </w:rPr>
        <w:t>通信单元、智能电能表、终端设备进行外观筛查，符合以下任意一项条件的</w:t>
      </w:r>
      <w:r>
        <w:rPr>
          <w:rFonts w:hAnsi="宋体" w:cs="宋体"/>
          <w:bCs/>
          <w:color w:val="000000"/>
          <w:szCs w:val="22"/>
        </w:rPr>
        <w:t>PLC</w:t>
      </w:r>
      <w:r>
        <w:rPr>
          <w:rFonts w:hint="eastAsia" w:hAnsi="宋体" w:cs="宋体"/>
          <w:bCs/>
          <w:color w:val="000000"/>
          <w:szCs w:val="22"/>
        </w:rPr>
        <w:t>通信单元、智能电能表、终端设备，判断为外观故障：</w:t>
      </w:r>
    </w:p>
    <w:p>
      <w:pPr>
        <w:pStyle w:val="104"/>
        <w:numPr>
          <w:ilvl w:val="0"/>
          <w:numId w:val="8"/>
        </w:numPr>
        <w:tabs>
          <w:tab w:val="clear" w:pos="840"/>
        </w:tabs>
        <w:rPr>
          <w:rFonts w:hAnsi="宋体" w:cs="宋体"/>
          <w:bCs/>
          <w:color w:val="000000"/>
          <w:szCs w:val="22"/>
        </w:rPr>
      </w:pPr>
      <w:r>
        <w:rPr>
          <w:rFonts w:hint="eastAsia" w:hAnsi="宋体" w:cs="宋体"/>
          <w:bCs/>
          <w:color w:val="000000"/>
          <w:szCs w:val="22"/>
        </w:rPr>
        <w:t>整机、整模块烧毁或部分烧毁（雷击）：</w:t>
      </w:r>
      <w:r>
        <w:rPr>
          <w:rFonts w:hint="eastAsia"/>
        </w:rPr>
        <w:t>目测检测待测设备外观，如果外壳或PCB有发黑、烧焦的现象，说明通信单元烧坏。</w:t>
      </w:r>
    </w:p>
    <w:p>
      <w:pPr>
        <w:pStyle w:val="104"/>
        <w:numPr>
          <w:ilvl w:val="0"/>
          <w:numId w:val="8"/>
        </w:numPr>
        <w:tabs>
          <w:tab w:val="clear" w:pos="840"/>
        </w:tabs>
        <w:rPr>
          <w:rFonts w:hAnsi="宋体" w:cs="宋体"/>
          <w:bCs/>
          <w:color w:val="000000"/>
          <w:szCs w:val="22"/>
        </w:rPr>
      </w:pPr>
      <w:r>
        <w:rPr>
          <w:rFonts w:hint="eastAsia" w:hAnsi="宋体" w:cs="宋体"/>
          <w:bCs/>
          <w:color w:val="000000"/>
          <w:szCs w:val="22"/>
        </w:rPr>
        <w:t>整模块存在进水现象：</w:t>
      </w:r>
      <w:r>
        <w:rPr>
          <w:rFonts w:hint="eastAsia"/>
        </w:rPr>
        <w:t>目测检测待测设备外观，如果发现PCB有水渍，通信单元可能进水。</w:t>
      </w:r>
    </w:p>
    <w:p>
      <w:pPr>
        <w:pStyle w:val="104"/>
        <w:numPr>
          <w:ilvl w:val="0"/>
          <w:numId w:val="8"/>
        </w:numPr>
        <w:tabs>
          <w:tab w:val="clear" w:pos="840"/>
        </w:tabs>
        <w:rPr>
          <w:rFonts w:hAnsi="宋体" w:cs="宋体"/>
          <w:bCs/>
          <w:color w:val="000000"/>
          <w:szCs w:val="22"/>
        </w:rPr>
      </w:pPr>
      <w:r>
        <w:rPr>
          <w:rFonts w:hint="eastAsia" w:hAnsi="宋体" w:cs="宋体"/>
          <w:bCs/>
          <w:color w:val="000000"/>
          <w:szCs w:val="22"/>
        </w:rPr>
        <w:t>整机、整模块存在明显变形：</w:t>
      </w:r>
      <w:r>
        <w:rPr>
          <w:rFonts w:hint="eastAsia"/>
        </w:rPr>
        <w:t>肉眼检测待测设备外观，如果壳体有破损或变形、畸形等现象，说明壳体外观损坏。</w:t>
      </w:r>
    </w:p>
    <w:p>
      <w:pPr>
        <w:pStyle w:val="59"/>
        <w:spacing w:before="156" w:after="156"/>
        <w:outlineLvl w:val="1"/>
        <w:rPr>
          <w:rFonts w:ascii="黑体-简" w:hAnsi="黑体-简" w:eastAsia="黑体-简" w:cs="黑体-简"/>
          <w:color w:val="000000"/>
          <w:kern w:val="21"/>
        </w:rPr>
      </w:pPr>
      <w:bookmarkStart w:id="134" w:name="_Toc6940"/>
      <w:r>
        <w:rPr>
          <w:rFonts w:hint="eastAsia" w:ascii="黑体-简" w:hAnsi="黑体-简" w:eastAsia="黑体-简" w:cs="黑体-简"/>
          <w:kern w:val="21"/>
        </w:rPr>
        <w:t>非外观类</w:t>
      </w:r>
      <w:r>
        <w:rPr>
          <w:rFonts w:hint="eastAsia" w:ascii="黑体-简" w:hAnsi="黑体-简" w:eastAsia="黑体-简" w:cs="黑体-简"/>
        </w:rPr>
        <w:t>故障</w:t>
      </w:r>
      <w:r>
        <w:rPr>
          <w:rFonts w:hint="eastAsia" w:ascii="黑体-简" w:hAnsi="黑体-简" w:eastAsia="黑体-简" w:cs="黑体-简"/>
          <w:color w:val="000000"/>
          <w:kern w:val="21"/>
        </w:rPr>
        <w:t>诊断方法</w:t>
      </w:r>
      <w:bookmarkEnd w:id="134"/>
    </w:p>
    <w:p>
      <w:pPr>
        <w:pStyle w:val="88"/>
        <w:spacing w:before="156" w:after="156"/>
        <w:ind w:left="0"/>
        <w:outlineLvl w:val="2"/>
      </w:pPr>
      <w:bookmarkStart w:id="135" w:name="_Toc1485"/>
      <w:r>
        <w:rPr>
          <w:rFonts w:hint="eastAsia"/>
        </w:rPr>
        <w:t>PLC通信单元常见故障诊断方法</w:t>
      </w:r>
      <w:bookmarkEnd w:id="135"/>
    </w:p>
    <w:p>
      <w:pPr>
        <w:pStyle w:val="30"/>
        <w:widowControl w:val="0"/>
        <w:spacing w:beforeLines="50" w:afterLines="50"/>
      </w:pPr>
      <w:bookmarkStart w:id="136" w:name="_Toc6717"/>
      <w:r>
        <w:rPr>
          <w:rFonts w:hint="eastAsia"/>
        </w:rPr>
        <w:t>从信息</w:t>
      </w:r>
      <w:r>
        <w:rPr>
          <w:rFonts w:hint="eastAsia" w:hAnsi="宋体" w:cs="宋体"/>
          <w:bCs/>
          <w:color w:val="000000"/>
          <w:szCs w:val="22"/>
        </w:rPr>
        <w:t>错误</w:t>
      </w:r>
      <w:r>
        <w:rPr>
          <w:rFonts w:hint="eastAsia"/>
        </w:rPr>
        <w:t>、性能、通信、功能四大类PLC通信单元的常见故障诊断方法按照表4进行分类。</w:t>
      </w:r>
      <w:bookmarkEnd w:id="136"/>
    </w:p>
    <w:p>
      <w:pPr>
        <w:pStyle w:val="30"/>
        <w:spacing w:before="156" w:after="156"/>
        <w:ind w:firstLine="0" w:firstLineChars="0"/>
        <w:jc w:val="center"/>
        <w:outlineLvl w:val="2"/>
        <w:rPr>
          <w:b/>
          <w:bCs/>
        </w:rPr>
      </w:pPr>
      <w:bookmarkStart w:id="137" w:name="_Toc404"/>
      <w:r>
        <w:rPr>
          <w:rFonts w:hint="eastAsia"/>
          <w:b/>
          <w:bCs/>
        </w:rPr>
        <w:t>表4 PLC通信单元故障诊断</w:t>
      </w:r>
      <w:bookmarkEnd w:id="137"/>
    </w:p>
    <w:tbl>
      <w:tblPr>
        <w:tblStyle w:val="40"/>
        <w:tblW w:w="9209" w:type="dxa"/>
        <w:tblInd w:w="0" w:type="dxa"/>
        <w:tblLayout w:type="fixed"/>
        <w:tblCellMar>
          <w:top w:w="0" w:type="dxa"/>
          <w:left w:w="108" w:type="dxa"/>
          <w:bottom w:w="0" w:type="dxa"/>
          <w:right w:w="108" w:type="dxa"/>
        </w:tblCellMar>
      </w:tblPr>
      <w:tblGrid>
        <w:gridCol w:w="1487"/>
        <w:gridCol w:w="2471"/>
        <w:gridCol w:w="5251"/>
      </w:tblGrid>
      <w:tr>
        <w:tblPrEx>
          <w:tblCellMar>
            <w:top w:w="0" w:type="dxa"/>
            <w:left w:w="108" w:type="dxa"/>
            <w:bottom w:w="0" w:type="dxa"/>
            <w:right w:w="108" w:type="dxa"/>
          </w:tblCellMar>
        </w:tblPrEx>
        <w:trPr>
          <w:trHeight w:val="312"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一类故障</w:t>
            </w:r>
          </w:p>
        </w:tc>
        <w:tc>
          <w:tcPr>
            <w:tcW w:w="247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二类故障</w:t>
            </w:r>
          </w:p>
        </w:tc>
        <w:tc>
          <w:tcPr>
            <w:tcW w:w="5251"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b/>
                <w:bCs/>
                <w:color w:val="000000"/>
                <w:szCs w:val="21"/>
              </w:rPr>
            </w:pPr>
            <w:r>
              <w:rPr>
                <w:rFonts w:hint="eastAsia" w:ascii="宋体" w:hAnsi="宋体" w:cs="宋体"/>
                <w:b/>
                <w:bCs/>
                <w:color w:val="000000"/>
                <w:szCs w:val="21"/>
              </w:rPr>
              <w:t>故障诊断</w:t>
            </w:r>
          </w:p>
        </w:tc>
      </w:tr>
      <w:tr>
        <w:tblPrEx>
          <w:tblCellMar>
            <w:top w:w="0" w:type="dxa"/>
            <w:left w:w="108" w:type="dxa"/>
            <w:bottom w:w="0" w:type="dxa"/>
            <w:right w:w="108" w:type="dxa"/>
          </w:tblCellMar>
        </w:tblPrEx>
        <w:trPr>
          <w:trHeight w:val="443"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r>
              <w:rPr>
                <w:rFonts w:hint="eastAsia" w:ascii="宋体" w:hAnsi="宋体" w:cs="宋体"/>
                <w:color w:val="000000"/>
                <w:szCs w:val="21"/>
              </w:rPr>
              <w:t>信息错误</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资产信息错误</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对待测PLC通信单元的资产信息进行查询检测，如果资产信息与供货要求不一致，</w:t>
            </w:r>
            <w:r>
              <w:rPr>
                <w:rFonts w:hint="eastAsia" w:hAnsi="宋体" w:cs="宋体"/>
                <w:szCs w:val="21"/>
              </w:rPr>
              <w:t>诊断为此类故障。</w:t>
            </w:r>
          </w:p>
        </w:tc>
      </w:tr>
      <w:tr>
        <w:tblPrEx>
          <w:tblCellMar>
            <w:top w:w="0" w:type="dxa"/>
            <w:left w:w="108" w:type="dxa"/>
            <w:bottom w:w="0" w:type="dxa"/>
            <w:right w:w="108" w:type="dxa"/>
          </w:tblCellMar>
        </w:tblPrEx>
        <w:trPr>
          <w:trHeight w:val="90" w:hRule="atLeast"/>
        </w:trPr>
        <w:tc>
          <w:tcPr>
            <w:tcW w:w="148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性能故障</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电源异常</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对待测PLC通信单元的弱电接口供电电源的电压/电流进行检测，如果电压/电流为零或者不满足相关规范要求，</w:t>
            </w:r>
            <w:r>
              <w:rPr>
                <w:rFonts w:hint="eastAsia" w:hAnsi="宋体" w:cs="宋体"/>
                <w:szCs w:val="21"/>
              </w:rPr>
              <w:t>诊断为此类故障。</w:t>
            </w:r>
          </w:p>
        </w:tc>
      </w:tr>
      <w:tr>
        <w:tblPrEx>
          <w:tblCellMar>
            <w:top w:w="0" w:type="dxa"/>
            <w:left w:w="108" w:type="dxa"/>
            <w:bottom w:w="0" w:type="dxa"/>
            <w:right w:w="108" w:type="dxa"/>
          </w:tblCellMar>
        </w:tblPrEx>
        <w:trPr>
          <w:trHeight w:val="311" w:hRule="atLeast"/>
        </w:trPr>
        <w:tc>
          <w:tcPr>
            <w:tcW w:w="148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功耗超标</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对待测PLC通信单元的弱电接口供电电源的功耗进行检测，如果功耗值不满足PLC通信单元相关规范要求，</w:t>
            </w:r>
            <w:r>
              <w:rPr>
                <w:rFonts w:hint="eastAsia" w:hAnsi="宋体" w:cs="宋体"/>
                <w:szCs w:val="21"/>
              </w:rPr>
              <w:t>诊断为此类故障。</w:t>
            </w:r>
          </w:p>
        </w:tc>
      </w:tr>
      <w:tr>
        <w:tblPrEx>
          <w:tblCellMar>
            <w:top w:w="0" w:type="dxa"/>
            <w:left w:w="108" w:type="dxa"/>
            <w:bottom w:w="0" w:type="dxa"/>
            <w:right w:w="108" w:type="dxa"/>
          </w:tblCellMar>
        </w:tblPrEx>
        <w:trPr>
          <w:trHeight w:val="90" w:hRule="atLeast"/>
        </w:trPr>
        <w:tc>
          <w:tcPr>
            <w:tcW w:w="14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死机</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对待测PLC通信单元进行复位操作，如果PLC通信单元能从异常状态恢复到正常工作，</w:t>
            </w:r>
            <w:r>
              <w:rPr>
                <w:rFonts w:hint="eastAsia" w:hAnsi="宋体" w:cs="宋体"/>
                <w:szCs w:val="21"/>
              </w:rPr>
              <w:t>诊断为此类故障。</w:t>
            </w:r>
          </w:p>
        </w:tc>
      </w:tr>
      <w:tr>
        <w:tblPrEx>
          <w:tblCellMar>
            <w:top w:w="0" w:type="dxa"/>
            <w:left w:w="108" w:type="dxa"/>
            <w:bottom w:w="0" w:type="dxa"/>
            <w:right w:w="108" w:type="dxa"/>
          </w:tblCellMar>
        </w:tblPrEx>
        <w:trPr>
          <w:trHeight w:val="253" w:hRule="atLeast"/>
        </w:trPr>
        <w:tc>
          <w:tcPr>
            <w:tcW w:w="1487" w:type="dxa"/>
            <w:vMerge w:val="restart"/>
            <w:tcBorders>
              <w:top w:val="single" w:color="000000" w:sz="4" w:space="0"/>
              <w:left w:val="single" w:color="000000" w:sz="4" w:space="0"/>
              <w:right w:val="single" w:color="000000"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通信故障</w:t>
            </w:r>
          </w:p>
        </w:tc>
        <w:tc>
          <w:tcPr>
            <w:tcW w:w="2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通信不稳定</w:t>
            </w:r>
          </w:p>
        </w:tc>
        <w:tc>
          <w:tcPr>
            <w:tcW w:w="5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对待测PLC通信单元进行测试：通信环路上使用标准衰减器，测试发射功率、接收性能、通信成功率。如果检查测试结果不满足相关规范要求，</w:t>
            </w:r>
            <w:r>
              <w:rPr>
                <w:rFonts w:hint="eastAsia" w:hAnsi="宋体" w:cs="宋体"/>
                <w:szCs w:val="21"/>
              </w:rPr>
              <w:t>诊断为此类故障。</w:t>
            </w:r>
          </w:p>
        </w:tc>
      </w:tr>
      <w:tr>
        <w:tblPrEx>
          <w:tblCellMar>
            <w:top w:w="0" w:type="dxa"/>
            <w:left w:w="108" w:type="dxa"/>
            <w:bottom w:w="0" w:type="dxa"/>
            <w:right w:w="108" w:type="dxa"/>
          </w:tblCellMar>
        </w:tblPrEx>
        <w:trPr>
          <w:trHeight w:val="1002" w:hRule="atLeast"/>
        </w:trPr>
        <w:tc>
          <w:tcPr>
            <w:tcW w:w="1487" w:type="dxa"/>
            <w:vMerge w:val="continue"/>
            <w:tcBorders>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组网异常</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对待测PLC通信单元进行组网测试，如果待测PLC通信单元与PLC通信单元无法组网或组网不稳定，但是在同样环境下其他PLC通信单元可以正常组网，</w:t>
            </w:r>
            <w:r>
              <w:rPr>
                <w:rFonts w:hint="eastAsia" w:hAnsi="宋体" w:cs="宋体"/>
                <w:szCs w:val="21"/>
              </w:rPr>
              <w:t>诊断为此类故障。</w:t>
            </w:r>
          </w:p>
        </w:tc>
      </w:tr>
      <w:tr>
        <w:tblPrEx>
          <w:tblCellMar>
            <w:top w:w="0" w:type="dxa"/>
            <w:left w:w="108" w:type="dxa"/>
            <w:bottom w:w="0" w:type="dxa"/>
            <w:right w:w="108" w:type="dxa"/>
          </w:tblCellMar>
        </w:tblPrEx>
        <w:trPr>
          <w:trHeight w:val="996" w:hRule="atLeast"/>
        </w:trPr>
        <w:tc>
          <w:tcPr>
            <w:tcW w:w="1487" w:type="dxa"/>
            <w:vMerge w:val="continue"/>
            <w:tcBorders>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弱电接口故障</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对待测PLC通信单元的弱电接口的RXD接口和TXD接口进行通信检测，如果待测PLC通信单元接收不到数据,或接收到错误数据，诊断为此类故障。</w:t>
            </w:r>
          </w:p>
        </w:tc>
      </w:tr>
      <w:tr>
        <w:tblPrEx>
          <w:tblCellMar>
            <w:top w:w="0" w:type="dxa"/>
            <w:left w:w="108" w:type="dxa"/>
            <w:bottom w:w="0" w:type="dxa"/>
            <w:right w:w="108" w:type="dxa"/>
          </w:tblCellMar>
        </w:tblPrEx>
        <w:trPr>
          <w:trHeight w:val="432" w:hRule="atLeast"/>
        </w:trPr>
        <w:tc>
          <w:tcPr>
            <w:tcW w:w="14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协议不匹配</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对待测PLC通信单元的协议类型进行检测，如果与智能电能表、终端设备的协议类型不一致，</w:t>
            </w:r>
            <w:r>
              <w:rPr>
                <w:rFonts w:hint="eastAsia" w:hAnsi="宋体" w:cs="宋体"/>
                <w:szCs w:val="21"/>
              </w:rPr>
              <w:t>诊断为此类故障。</w:t>
            </w:r>
          </w:p>
        </w:tc>
      </w:tr>
      <w:tr>
        <w:tblPrEx>
          <w:tblCellMar>
            <w:top w:w="0" w:type="dxa"/>
            <w:left w:w="108" w:type="dxa"/>
            <w:bottom w:w="0" w:type="dxa"/>
            <w:right w:w="108" w:type="dxa"/>
          </w:tblCellMar>
        </w:tblPrEx>
        <w:trPr>
          <w:trHeight w:val="900" w:hRule="atLeast"/>
        </w:trPr>
        <w:tc>
          <w:tcPr>
            <w:tcW w:w="148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b/>
                <w:bCs/>
                <w:color w:val="000000"/>
                <w:szCs w:val="21"/>
              </w:rPr>
            </w:pPr>
            <w:r>
              <w:rPr>
                <w:rFonts w:hint="eastAsia" w:ascii="宋体" w:hAnsi="宋体" w:cs="宋体"/>
                <w:color w:val="000000"/>
                <w:szCs w:val="21"/>
              </w:rPr>
              <w:t>功能故障</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事件上报故障</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对待测PLC通信单元检测事件上报功能，如果PLC通信单元无法检测到事件并及时上报，</w:t>
            </w:r>
            <w:r>
              <w:rPr>
                <w:rFonts w:hint="eastAsia" w:hAnsi="宋体" w:cs="宋体"/>
                <w:szCs w:val="21"/>
              </w:rPr>
              <w:t>诊断为此类故障。</w:t>
            </w:r>
          </w:p>
        </w:tc>
      </w:tr>
      <w:tr>
        <w:tblPrEx>
          <w:tblCellMar>
            <w:top w:w="0" w:type="dxa"/>
            <w:left w:w="108" w:type="dxa"/>
            <w:bottom w:w="0" w:type="dxa"/>
            <w:right w:w="108" w:type="dxa"/>
          </w:tblCellMar>
        </w:tblPrEx>
        <w:trPr>
          <w:trHeight w:val="660" w:hRule="atLeast"/>
        </w:trPr>
        <w:tc>
          <w:tcPr>
            <w:tcW w:w="1487" w:type="dxa"/>
            <w:vMerge w:val="continue"/>
            <w:tcBorders>
              <w:left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停复电上报功能异常</w:t>
            </w:r>
          </w:p>
        </w:tc>
        <w:tc>
          <w:tcPr>
            <w:tcW w:w="52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对待测PLC通信单元充满电后进行停电/复电检测，如果PLC通信单元未正确上报停电/复电事件，</w:t>
            </w:r>
            <w:r>
              <w:rPr>
                <w:rFonts w:hint="eastAsia" w:hAnsi="宋体" w:cs="宋体"/>
                <w:szCs w:val="21"/>
              </w:rPr>
              <w:t>诊断为此类故障。</w:t>
            </w:r>
          </w:p>
        </w:tc>
      </w:tr>
      <w:tr>
        <w:tblPrEx>
          <w:tblCellMar>
            <w:top w:w="0" w:type="dxa"/>
            <w:left w:w="108" w:type="dxa"/>
            <w:bottom w:w="0" w:type="dxa"/>
            <w:right w:w="108" w:type="dxa"/>
          </w:tblCellMar>
        </w:tblPrEx>
        <w:trPr>
          <w:trHeight w:val="262" w:hRule="atLeast"/>
        </w:trPr>
        <w:tc>
          <w:tcPr>
            <w:tcW w:w="148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相位识别功能异常</w:t>
            </w:r>
          </w:p>
        </w:tc>
        <w:tc>
          <w:tcPr>
            <w:tcW w:w="5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对待测PLC通信单元查询相位识别结果，如果PLC通信单元不支持相位识别或者相位识别不准确，</w:t>
            </w:r>
            <w:r>
              <w:rPr>
                <w:rFonts w:hint="eastAsia" w:hAnsi="宋体" w:cs="宋体"/>
                <w:szCs w:val="21"/>
              </w:rPr>
              <w:t>诊断为此类故障。</w:t>
            </w:r>
          </w:p>
        </w:tc>
      </w:tr>
    </w:tbl>
    <w:p>
      <w:pPr>
        <w:pStyle w:val="30"/>
        <w:spacing w:before="156" w:after="156"/>
        <w:outlineLvl w:val="2"/>
        <w:rPr>
          <w:rFonts w:ascii="Times New Roman"/>
          <w:kern w:val="2"/>
        </w:rPr>
      </w:pPr>
      <w:bookmarkStart w:id="138" w:name="_Toc14090"/>
      <w:r>
        <w:rPr>
          <w:rFonts w:hint="eastAsia" w:ascii="Times New Roman"/>
          <w:kern w:val="2"/>
        </w:rPr>
        <w:t>注：相关规范要求是指通信单元、终端、电表应满足国家、行业、企业或IEC 标准，以及企业（客户）产品订货要求。</w:t>
      </w:r>
      <w:bookmarkEnd w:id="138"/>
    </w:p>
    <w:bookmarkEnd w:id="131"/>
    <w:bookmarkEnd w:id="132"/>
    <w:bookmarkEnd w:id="133"/>
    <w:p>
      <w:pPr>
        <w:pStyle w:val="88"/>
        <w:spacing w:before="156" w:after="156"/>
        <w:ind w:left="0"/>
        <w:outlineLvl w:val="2"/>
        <w:rPr>
          <w:rFonts w:ascii="Times New Roman" w:eastAsia="Times New Roman"/>
          <w:b/>
          <w:bCs/>
          <w:kern w:val="2"/>
        </w:rPr>
      </w:pPr>
      <w:bookmarkStart w:id="139" w:name="_Toc2028"/>
      <w:bookmarkStart w:id="140" w:name="_Toc534499966"/>
      <w:bookmarkStart w:id="141" w:name="_Toc667269503"/>
      <w:bookmarkStart w:id="142" w:name="_Toc82461147"/>
      <w:r>
        <w:rPr>
          <w:rFonts w:hint="eastAsia" w:ascii="黑体-简" w:hAnsi="黑体-简" w:eastAsia="黑体-简" w:cs="黑体-简"/>
          <w:color w:val="000000"/>
          <w:kern w:val="21"/>
        </w:rPr>
        <w:t>智能电能表PLC通信接口故障诊断</w:t>
      </w:r>
      <w:bookmarkEnd w:id="139"/>
    </w:p>
    <w:bookmarkEnd w:id="140"/>
    <w:bookmarkEnd w:id="141"/>
    <w:bookmarkEnd w:id="142"/>
    <w:p>
      <w:pPr>
        <w:pStyle w:val="30"/>
        <w:spacing w:before="156" w:after="156"/>
        <w:outlineLvl w:val="2"/>
      </w:pPr>
      <w:bookmarkStart w:id="143" w:name="_Toc26216"/>
      <w:r>
        <w:rPr>
          <w:rFonts w:hint="eastAsia"/>
        </w:rPr>
        <w:t>从设计、电源、</w:t>
      </w:r>
      <w:r>
        <w:rPr>
          <w:rFonts w:hint="eastAsia" w:hAnsi="宋体" w:cs="宋体"/>
          <w:bCs/>
          <w:color w:val="000000"/>
          <w:szCs w:val="22"/>
        </w:rPr>
        <w:t>通信</w:t>
      </w:r>
      <w:r>
        <w:rPr>
          <w:rFonts w:hint="eastAsia"/>
        </w:rPr>
        <w:t>三大类智能电能表</w:t>
      </w:r>
      <w:r>
        <w:rPr>
          <w:rFonts w:hint="eastAsia" w:asciiTheme="minorEastAsia" w:hAnsiTheme="minorEastAsia" w:eastAsiaTheme="minorEastAsia" w:cstheme="minorEastAsia"/>
          <w:szCs w:val="21"/>
        </w:rPr>
        <w:t>PLC通信接口</w:t>
      </w:r>
      <w:r>
        <w:rPr>
          <w:rFonts w:hint="eastAsia"/>
        </w:rPr>
        <w:t>常见故障诊断方法按照表5进行分类。</w:t>
      </w:r>
      <w:bookmarkEnd w:id="143"/>
    </w:p>
    <w:p>
      <w:pPr>
        <w:pStyle w:val="30"/>
        <w:tabs>
          <w:tab w:val="left" w:pos="840"/>
        </w:tabs>
        <w:spacing w:before="156" w:after="156"/>
        <w:ind w:firstLine="0" w:firstLineChars="0"/>
        <w:jc w:val="center"/>
        <w:outlineLvl w:val="2"/>
        <w:rPr>
          <w:b/>
          <w:bCs/>
        </w:rPr>
      </w:pPr>
      <w:bookmarkStart w:id="144" w:name="_Toc10427"/>
      <w:r>
        <w:rPr>
          <w:rFonts w:hint="eastAsia"/>
          <w:b/>
          <w:bCs/>
        </w:rPr>
        <w:t>表5</w:t>
      </w:r>
      <w:r>
        <w:rPr>
          <w:b/>
          <w:bCs/>
        </w:rPr>
        <w:t xml:space="preserve"> </w:t>
      </w:r>
      <w:r>
        <w:rPr>
          <w:rFonts w:hint="eastAsia"/>
          <w:b/>
          <w:bCs/>
        </w:rPr>
        <w:t>智能电能表PLC通信接口故障诊断</w:t>
      </w:r>
      <w:bookmarkEnd w:id="144"/>
    </w:p>
    <w:tbl>
      <w:tblPr>
        <w:tblStyle w:val="40"/>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49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pPr>
              <w:pStyle w:val="104"/>
              <w:widowControl w:val="0"/>
              <w:ind w:left="0" w:firstLine="0"/>
              <w:jc w:val="center"/>
              <w:rPr>
                <w:b/>
                <w:bCs/>
                <w:szCs w:val="21"/>
              </w:rPr>
            </w:pPr>
            <w:bookmarkStart w:id="145" w:name="_Toc82461148"/>
            <w:bookmarkStart w:id="146" w:name="_Toc743656350"/>
            <w:bookmarkStart w:id="147" w:name="_Toc903142886"/>
            <w:r>
              <w:rPr>
                <w:rFonts w:hint="eastAsia"/>
                <w:b/>
                <w:bCs/>
                <w:szCs w:val="21"/>
              </w:rPr>
              <w:t>一类故障</w:t>
            </w:r>
          </w:p>
        </w:tc>
        <w:tc>
          <w:tcPr>
            <w:tcW w:w="2493" w:type="dxa"/>
            <w:vAlign w:val="center"/>
          </w:tcPr>
          <w:p>
            <w:pPr>
              <w:pStyle w:val="104"/>
              <w:widowControl w:val="0"/>
              <w:ind w:left="0" w:firstLine="0"/>
              <w:jc w:val="center"/>
              <w:rPr>
                <w:b/>
                <w:bCs/>
                <w:szCs w:val="21"/>
              </w:rPr>
            </w:pPr>
            <w:r>
              <w:rPr>
                <w:rFonts w:hint="eastAsia"/>
                <w:b/>
                <w:bCs/>
                <w:szCs w:val="21"/>
              </w:rPr>
              <w:t>二类故障</w:t>
            </w:r>
          </w:p>
        </w:tc>
        <w:tc>
          <w:tcPr>
            <w:tcW w:w="5103" w:type="dxa"/>
            <w:vAlign w:val="center"/>
          </w:tcPr>
          <w:p>
            <w:pPr>
              <w:pStyle w:val="104"/>
              <w:widowControl w:val="0"/>
              <w:ind w:left="0" w:firstLine="0"/>
              <w:jc w:val="center"/>
              <w:rPr>
                <w:b/>
                <w:bCs/>
                <w:szCs w:val="21"/>
              </w:rPr>
            </w:pPr>
            <w:r>
              <w:rPr>
                <w:rFonts w:hint="eastAsia"/>
                <w:b/>
                <w:bCs/>
                <w:szCs w:val="21"/>
              </w:rPr>
              <w:t>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13" w:type="dxa"/>
            <w:shd w:val="clear" w:color="auto" w:fill="auto"/>
            <w:vAlign w:val="center"/>
          </w:tcPr>
          <w:p>
            <w:pPr>
              <w:pStyle w:val="104"/>
              <w:widowControl w:val="0"/>
              <w:ind w:left="0" w:firstLine="0"/>
              <w:jc w:val="center"/>
              <w:rPr>
                <w:szCs w:val="21"/>
              </w:rPr>
            </w:pPr>
            <w:r>
              <w:rPr>
                <w:rFonts w:hint="eastAsia"/>
                <w:szCs w:val="21"/>
              </w:rPr>
              <w:t>结构故障</w:t>
            </w:r>
          </w:p>
        </w:tc>
        <w:tc>
          <w:tcPr>
            <w:tcW w:w="2493" w:type="dxa"/>
            <w:shd w:val="clear" w:color="auto" w:fill="auto"/>
            <w:vAlign w:val="center"/>
          </w:tcPr>
          <w:p>
            <w:pPr>
              <w:pStyle w:val="104"/>
              <w:widowControl w:val="0"/>
              <w:ind w:left="0" w:firstLine="0"/>
              <w:jc w:val="center"/>
              <w:rPr>
                <w:rFonts w:hAnsi="宋体" w:cs="宋体"/>
                <w:szCs w:val="21"/>
              </w:rPr>
            </w:pPr>
            <w:r>
              <w:rPr>
                <w:rFonts w:hint="eastAsia" w:hAnsi="宋体" w:cs="宋体"/>
                <w:szCs w:val="21"/>
              </w:rPr>
              <w:t>结构故障</w:t>
            </w:r>
          </w:p>
        </w:tc>
        <w:tc>
          <w:tcPr>
            <w:tcW w:w="5103" w:type="dxa"/>
            <w:shd w:val="clear" w:color="auto" w:fill="auto"/>
            <w:vAlign w:val="center"/>
          </w:tcPr>
          <w:p>
            <w:pPr>
              <w:pStyle w:val="2"/>
              <w:ind w:firstLine="0" w:firstLineChars="0"/>
              <w:jc w:val="left"/>
            </w:pPr>
            <w:r>
              <w:rPr>
                <w:rFonts w:hAnsi="宋体" w:cs="宋体"/>
                <w:szCs w:val="21"/>
              </w:rPr>
              <w:t>对待测</w:t>
            </w:r>
            <w:r>
              <w:rPr>
                <w:rFonts w:hint="eastAsia" w:hAnsi="宋体" w:cs="宋体"/>
                <w:szCs w:val="21"/>
              </w:rPr>
              <w:t>智能电能表</w:t>
            </w:r>
            <w:r>
              <w:rPr>
                <w:rFonts w:hint="eastAsia" w:ascii="宋体" w:hAnsi="宋体" w:cs="宋体"/>
                <w:kern w:val="0"/>
                <w:szCs w:val="21"/>
              </w:rPr>
              <w:t>PLC通信接口的外观结构进行检查，如果发现其与PLC通信单元外观不相匹配或电气设计</w:t>
            </w:r>
            <w:r>
              <w:rPr>
                <w:rFonts w:hAnsi="宋体" w:cs="宋体"/>
                <w:szCs w:val="21"/>
              </w:rPr>
              <w:t>不符合</w:t>
            </w:r>
            <w:r>
              <w:rPr>
                <w:rFonts w:hint="eastAsia" w:ascii="宋体" w:hAnsi="宋体" w:cs="宋体"/>
                <w:kern w:val="0"/>
                <w:szCs w:val="21"/>
              </w:rPr>
              <w:t>相关规范要求，</w:t>
            </w:r>
            <w:r>
              <w:rPr>
                <w:rFonts w:hint="eastAsia" w:hAnsi="宋体" w:cs="宋体"/>
                <w:szCs w:val="21"/>
              </w:rPr>
              <w:t>诊断为此类故障。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3" w:type="dxa"/>
            <w:shd w:val="clear" w:color="auto" w:fill="auto"/>
            <w:vAlign w:val="center"/>
          </w:tcPr>
          <w:p>
            <w:pPr>
              <w:pStyle w:val="104"/>
              <w:widowControl w:val="0"/>
              <w:ind w:left="0" w:firstLine="0"/>
              <w:jc w:val="center"/>
              <w:rPr>
                <w:szCs w:val="21"/>
              </w:rPr>
            </w:pPr>
            <w:r>
              <w:rPr>
                <w:rFonts w:hint="eastAsia"/>
                <w:szCs w:val="21"/>
              </w:rPr>
              <w:t>电源故障</w:t>
            </w:r>
          </w:p>
        </w:tc>
        <w:tc>
          <w:tcPr>
            <w:tcW w:w="2493" w:type="dxa"/>
            <w:shd w:val="clear" w:color="auto" w:fill="auto"/>
            <w:vAlign w:val="center"/>
          </w:tcPr>
          <w:p>
            <w:pPr>
              <w:pStyle w:val="104"/>
              <w:widowControl w:val="0"/>
              <w:ind w:left="0" w:firstLine="0"/>
              <w:jc w:val="center"/>
              <w:rPr>
                <w:rFonts w:hAnsi="宋体" w:cs="宋体"/>
                <w:szCs w:val="21"/>
              </w:rPr>
            </w:pPr>
            <w:r>
              <w:rPr>
                <w:rFonts w:hint="eastAsia" w:asciiTheme="minorEastAsia" w:hAnsiTheme="minorEastAsia" w:eastAsiaTheme="minorEastAsia" w:cstheme="minorEastAsia"/>
                <w:szCs w:val="21"/>
              </w:rPr>
              <w:t>电源故障</w:t>
            </w:r>
          </w:p>
        </w:tc>
        <w:tc>
          <w:tcPr>
            <w:tcW w:w="5103" w:type="dxa"/>
            <w:shd w:val="clear" w:color="auto" w:fill="auto"/>
            <w:vAlign w:val="center"/>
          </w:tcPr>
          <w:p>
            <w:pPr>
              <w:widowControl/>
              <w:numPr>
                <w:ilvl w:val="0"/>
                <w:numId w:val="9"/>
              </w:numPr>
              <w:ind w:left="363" w:hanging="363"/>
              <w:jc w:val="left"/>
              <w:textAlignment w:val="center"/>
            </w:pPr>
            <w:r>
              <w:t>对待测</w:t>
            </w:r>
            <w:r>
              <w:rPr>
                <w:rFonts w:hint="eastAsia"/>
              </w:rPr>
              <w:t>智能电能表</w:t>
            </w:r>
            <w:r>
              <w:t>PLC通信弱电接口电源的电压及供电能力进行检测，</w:t>
            </w:r>
            <w:r>
              <w:rPr>
                <w:rFonts w:hint="eastAsia"/>
              </w:rPr>
              <w:t>若不满足</w:t>
            </w:r>
            <w:r>
              <w:rPr>
                <w:rFonts w:ascii="宋体" w:hAnsi="宋体" w:cs="宋体"/>
                <w:bCs/>
                <w:kern w:val="0"/>
                <w:szCs w:val="20"/>
              </w:rPr>
              <w:t>DL/T 1485</w:t>
            </w:r>
            <w:r>
              <w:rPr>
                <w:rFonts w:hint="eastAsia" w:ascii="宋体" w:hAnsi="宋体" w:cs="宋体"/>
                <w:bCs/>
                <w:kern w:val="0"/>
                <w:szCs w:val="20"/>
              </w:rPr>
              <w:t>、</w:t>
            </w:r>
            <w:r>
              <w:rPr>
                <w:rFonts w:ascii="宋体" w:hAnsi="宋体" w:cs="宋体"/>
                <w:bCs/>
                <w:kern w:val="0"/>
                <w:szCs w:val="20"/>
              </w:rPr>
              <w:t>DL/T</w:t>
            </w:r>
            <w:r>
              <w:rPr>
                <w:rFonts w:hint="eastAsia" w:ascii="宋体" w:hAnsi="宋体" w:cs="宋体"/>
                <w:bCs/>
                <w:kern w:val="0"/>
                <w:szCs w:val="20"/>
              </w:rPr>
              <w:t xml:space="preserve"> 1487的要求</w:t>
            </w:r>
            <w:r>
              <w:t>，</w:t>
            </w:r>
            <w:r>
              <w:rPr>
                <w:rFonts w:hint="eastAsia" w:hAnsi="宋体" w:cs="宋体"/>
                <w:szCs w:val="21"/>
              </w:rPr>
              <w:t>诊断为此类故障。</w:t>
            </w:r>
          </w:p>
          <w:p>
            <w:pPr>
              <w:widowControl/>
              <w:numPr>
                <w:ilvl w:val="0"/>
                <w:numId w:val="9"/>
              </w:numPr>
              <w:ind w:left="363" w:hanging="363"/>
              <w:jc w:val="left"/>
              <w:textAlignment w:val="center"/>
            </w:pPr>
            <w:r>
              <w:t>对待测</w:t>
            </w:r>
            <w:r>
              <w:rPr>
                <w:rFonts w:hint="eastAsia"/>
              </w:rPr>
              <w:t>智能电能表</w:t>
            </w:r>
            <w:r>
              <w:t>PLC通信弱电接口电源的电压纹波进行检测，如果不符合相关规范要求，</w:t>
            </w:r>
            <w:r>
              <w:rPr>
                <w:rFonts w:hint="eastAsia" w:hAnsi="宋体" w:cs="宋体"/>
                <w:szCs w:val="21"/>
              </w:rPr>
              <w:t>诊断为此类故障。</w:t>
            </w:r>
          </w:p>
          <w:p>
            <w:pPr>
              <w:widowControl/>
              <w:numPr>
                <w:ilvl w:val="0"/>
                <w:numId w:val="9"/>
              </w:numPr>
              <w:ind w:left="363" w:hanging="363"/>
              <w:jc w:val="left"/>
              <w:textAlignment w:val="center"/>
            </w:pPr>
            <w:r>
              <w:rPr>
                <w:rFonts w:hint="eastAsia" w:asciiTheme="minorEastAsia" w:hAnsiTheme="minorEastAsia" w:eastAsiaTheme="minorEastAsia" w:cstheme="minorEastAsia"/>
                <w:szCs w:val="21"/>
              </w:rPr>
              <w:t>对待测智能电能表在未接入、接入或更换任意PLC通信单元时，其性能、运行参数、计量若不满足</w:t>
            </w:r>
            <w:r>
              <w:rPr>
                <w:rFonts w:ascii="宋体" w:hAnsi="宋体" w:cs="宋体"/>
                <w:bCs/>
                <w:kern w:val="0"/>
                <w:szCs w:val="20"/>
              </w:rPr>
              <w:t>DL/T 1485</w:t>
            </w:r>
            <w:r>
              <w:rPr>
                <w:rFonts w:hint="eastAsia" w:ascii="宋体" w:hAnsi="宋体" w:cs="宋体"/>
                <w:bCs/>
                <w:kern w:val="0"/>
                <w:szCs w:val="20"/>
              </w:rPr>
              <w:t>、</w:t>
            </w:r>
            <w:r>
              <w:rPr>
                <w:rFonts w:ascii="宋体" w:hAnsi="宋体" w:cs="宋体"/>
                <w:bCs/>
                <w:kern w:val="0"/>
                <w:szCs w:val="20"/>
              </w:rPr>
              <w:t>DL/T</w:t>
            </w:r>
            <w:r>
              <w:rPr>
                <w:rFonts w:hint="eastAsia" w:ascii="宋体" w:hAnsi="宋体" w:cs="宋体"/>
                <w:bCs/>
                <w:kern w:val="0"/>
                <w:szCs w:val="20"/>
              </w:rPr>
              <w:t xml:space="preserve"> 1487的要求，</w:t>
            </w:r>
            <w:r>
              <w:rPr>
                <w:rFonts w:hint="eastAsia" w:hAnsi="宋体" w:cs="宋体"/>
                <w:szCs w:val="21"/>
              </w:rPr>
              <w:t>诊断为此类故障。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3" w:type="dxa"/>
            <w:shd w:val="clear" w:color="auto" w:fill="auto"/>
            <w:vAlign w:val="center"/>
          </w:tcPr>
          <w:p>
            <w:pPr>
              <w:pStyle w:val="104"/>
              <w:widowControl w:val="0"/>
              <w:ind w:left="0" w:firstLine="0"/>
              <w:jc w:val="center"/>
              <w:rPr>
                <w:szCs w:val="21"/>
              </w:rPr>
            </w:pPr>
            <w:r>
              <w:rPr>
                <w:rFonts w:hint="eastAsia"/>
                <w:szCs w:val="21"/>
              </w:rPr>
              <w:t>通信故障</w:t>
            </w:r>
          </w:p>
        </w:tc>
        <w:tc>
          <w:tcPr>
            <w:tcW w:w="2493" w:type="dxa"/>
            <w:shd w:val="clear" w:color="auto" w:fill="auto"/>
            <w:vAlign w:val="center"/>
          </w:tcPr>
          <w:p>
            <w:pPr>
              <w:pStyle w:val="104"/>
              <w:widowControl w:val="0"/>
              <w:ind w:left="0" w:firstLine="0"/>
              <w:jc w:val="center"/>
              <w:rPr>
                <w:rFonts w:hAnsi="宋体" w:cs="宋体"/>
                <w:szCs w:val="21"/>
              </w:rPr>
            </w:pPr>
            <w:r>
              <w:rPr>
                <w:rFonts w:hint="eastAsia" w:hAnsi="宋体" w:cs="宋体"/>
                <w:szCs w:val="21"/>
              </w:rPr>
              <w:t>通信故障</w:t>
            </w:r>
          </w:p>
        </w:tc>
        <w:tc>
          <w:tcPr>
            <w:tcW w:w="5103" w:type="dxa"/>
            <w:shd w:val="clear" w:color="auto" w:fill="auto"/>
            <w:vAlign w:val="center"/>
          </w:tcPr>
          <w:p>
            <w:pPr>
              <w:widowControl/>
              <w:numPr>
                <w:ilvl w:val="255"/>
                <w:numId w:val="0"/>
              </w:numPr>
              <w:jc w:val="left"/>
              <w:rPr>
                <w:rFonts w:ascii="宋体" w:hAnsi="宋体" w:cs="宋体"/>
                <w:szCs w:val="21"/>
              </w:rPr>
            </w:pPr>
            <w:r>
              <w:rPr>
                <w:rFonts w:hint="eastAsia" w:hAnsi="宋体" w:cs="宋体"/>
                <w:szCs w:val="21"/>
              </w:rPr>
              <w:t>在智能电能表PLC通信接口无电源故障的情况下，将PLC通信单元插入待测智能电能表后，按相关规范要求对待测智能电能表进行通信测试，如无法通信，诊断为此类故障。</w:t>
            </w:r>
          </w:p>
        </w:tc>
      </w:tr>
    </w:tbl>
    <w:p>
      <w:pPr>
        <w:pStyle w:val="88"/>
        <w:spacing w:before="156" w:after="156"/>
        <w:ind w:left="0"/>
        <w:outlineLvl w:val="2"/>
        <w:rPr>
          <w:rFonts w:ascii="Times New Roman" w:eastAsia="Times New Roman"/>
          <w:b/>
          <w:bCs/>
          <w:kern w:val="2"/>
        </w:rPr>
      </w:pPr>
      <w:bookmarkStart w:id="148" w:name="_Toc5339"/>
      <w:r>
        <w:rPr>
          <w:rFonts w:hint="eastAsia" w:ascii="黑体-简" w:hAnsi="黑体-简" w:eastAsia="黑体-简" w:cs="黑体-简"/>
          <w:color w:val="000000"/>
          <w:kern w:val="21"/>
        </w:rPr>
        <w:t>终端设备PLC通信接口故障诊断</w:t>
      </w:r>
      <w:bookmarkEnd w:id="148"/>
    </w:p>
    <w:p>
      <w:pPr>
        <w:pStyle w:val="30"/>
        <w:spacing w:before="156" w:after="156"/>
        <w:outlineLvl w:val="2"/>
      </w:pPr>
      <w:r>
        <w:rPr>
          <w:rFonts w:hint="eastAsia"/>
        </w:rPr>
        <w:t>从设计、电源、通信三大类终端设备PLC通信接口常见故障诊断方法按照表3行分类。</w:t>
      </w:r>
    </w:p>
    <w:p>
      <w:pPr>
        <w:pStyle w:val="30"/>
        <w:ind w:firstLine="0" w:firstLineChars="0"/>
        <w:jc w:val="center"/>
      </w:pPr>
      <w:r>
        <w:rPr>
          <w:rFonts w:hint="eastAsia"/>
          <w:b/>
          <w:bCs/>
        </w:rPr>
        <w:t>表6 终端设备PLC通信接口故障诊断</w:t>
      </w:r>
    </w:p>
    <w:tbl>
      <w:tblPr>
        <w:tblStyle w:val="40"/>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5"/>
        <w:gridCol w:w="2050"/>
        <w:gridCol w:w="5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 w:hRule="atLeast"/>
        </w:trPr>
        <w:tc>
          <w:tcPr>
            <w:tcW w:w="1325"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一类故障</w:t>
            </w:r>
          </w:p>
        </w:tc>
        <w:tc>
          <w:tcPr>
            <w:tcW w:w="2050"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二类故障</w:t>
            </w:r>
          </w:p>
        </w:tc>
        <w:tc>
          <w:tcPr>
            <w:tcW w:w="5703"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故障诊断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1325" w:type="dxa"/>
            <w:tcBorders>
              <w:tl2br w:val="nil"/>
              <w:tr2bl w:val="nil"/>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结构故障</w:t>
            </w:r>
          </w:p>
        </w:tc>
        <w:tc>
          <w:tcPr>
            <w:tcW w:w="2050" w:type="dxa"/>
            <w:tcBorders>
              <w:tl2br w:val="nil"/>
              <w:tr2bl w:val="nil"/>
            </w:tcBorders>
            <w:shd w:val="clear" w:color="auto" w:fill="auto"/>
            <w:vAlign w:val="center"/>
          </w:tcPr>
          <w:p>
            <w:pPr>
              <w:widowControl/>
              <w:textAlignment w:val="center"/>
              <w:rPr>
                <w:rFonts w:ascii="宋体" w:hAnsi="宋体" w:cs="宋体" w:eastAsiaTheme="minorEastAsia"/>
                <w:color w:val="000000"/>
                <w:szCs w:val="21"/>
              </w:rPr>
            </w:pPr>
            <w:r>
              <w:rPr>
                <w:rFonts w:hint="eastAsia" w:asciiTheme="minorEastAsia" w:hAnsiTheme="minorEastAsia" w:eastAsiaTheme="minorEastAsia" w:cstheme="minorEastAsia"/>
                <w:szCs w:val="21"/>
              </w:rPr>
              <w:t>结构故障</w:t>
            </w:r>
          </w:p>
        </w:tc>
        <w:tc>
          <w:tcPr>
            <w:tcW w:w="5703" w:type="dxa"/>
            <w:tcBorders>
              <w:tl2br w:val="nil"/>
              <w:tr2bl w:val="nil"/>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对待测终端设备外观结构设计进行检测，</w:t>
            </w:r>
            <w:r>
              <w:rPr>
                <w:rFonts w:hint="eastAsia" w:hAnsi="宋体" w:cs="宋体"/>
                <w:color w:val="000000"/>
                <w:szCs w:val="21"/>
              </w:rPr>
              <w:t>如果不符合相关规范要求，</w:t>
            </w:r>
            <w:r>
              <w:rPr>
                <w:rFonts w:hint="eastAsia" w:hAnsi="宋体" w:cs="宋体"/>
                <w:szCs w:val="21"/>
              </w:rPr>
              <w:t>诊断为此类故障。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1325" w:type="dxa"/>
            <w:tcBorders>
              <w:tl2br w:val="nil"/>
              <w:tr2bl w:val="nil"/>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电源故障</w:t>
            </w:r>
          </w:p>
        </w:tc>
        <w:tc>
          <w:tcPr>
            <w:tcW w:w="2050" w:type="dxa"/>
            <w:tcBorders>
              <w:tl2br w:val="nil"/>
              <w:tr2bl w:val="nil"/>
            </w:tcBorders>
            <w:shd w:val="clear" w:color="auto" w:fill="auto"/>
            <w:vAlign w:val="center"/>
          </w:tcPr>
          <w:p>
            <w:pPr>
              <w:widowControl/>
              <w:textAlignment w:val="center"/>
              <w:rPr>
                <w:rFonts w:ascii="宋体" w:hAnsi="宋体" w:cs="宋体"/>
                <w:color w:val="000000"/>
                <w:szCs w:val="21"/>
              </w:rPr>
            </w:pPr>
            <w:r>
              <w:rPr>
                <w:rFonts w:hint="eastAsia" w:asciiTheme="minorEastAsia" w:hAnsiTheme="minorEastAsia" w:eastAsiaTheme="minorEastAsia" w:cstheme="minorEastAsia"/>
                <w:szCs w:val="21"/>
              </w:rPr>
              <w:t>电源故障</w:t>
            </w:r>
          </w:p>
        </w:tc>
        <w:tc>
          <w:tcPr>
            <w:tcW w:w="5703" w:type="dxa"/>
            <w:tcBorders>
              <w:tl2br w:val="nil"/>
              <w:tr2bl w:val="nil"/>
            </w:tcBorders>
            <w:shd w:val="clear" w:color="auto" w:fill="auto"/>
            <w:vAlign w:val="center"/>
          </w:tcPr>
          <w:p>
            <w:pPr>
              <w:widowControl/>
              <w:numPr>
                <w:ilvl w:val="0"/>
                <w:numId w:val="10"/>
              </w:numPr>
              <w:ind w:left="363" w:hanging="363"/>
              <w:textAlignment w:val="center"/>
            </w:pPr>
            <w:r>
              <w:t>对待测</w:t>
            </w:r>
            <w:r>
              <w:rPr>
                <w:rFonts w:ascii="宋体" w:hAnsi="宋体" w:cs="宋体"/>
                <w:color w:val="000000"/>
                <w:kern w:val="0"/>
                <w:szCs w:val="21"/>
              </w:rPr>
              <w:t>终端</w:t>
            </w:r>
            <w:r>
              <w:t>设备PLC通信弱电接口的供电电源电压及供电能力进行检测，如果不符合相关规范要求，</w:t>
            </w:r>
            <w:r>
              <w:rPr>
                <w:rFonts w:hint="eastAsia" w:hAnsi="宋体" w:cs="宋体"/>
                <w:szCs w:val="21"/>
              </w:rPr>
              <w:t>诊断为此类故障。</w:t>
            </w:r>
          </w:p>
          <w:p>
            <w:pPr>
              <w:widowControl/>
              <w:numPr>
                <w:ilvl w:val="0"/>
                <w:numId w:val="10"/>
              </w:numPr>
              <w:ind w:left="363" w:hanging="363"/>
              <w:textAlignment w:val="center"/>
              <w:rPr>
                <w:color w:val="000000"/>
              </w:rPr>
            </w:pPr>
            <w:r>
              <w:rPr>
                <w:rFonts w:hint="eastAsia" w:ascii="宋体" w:hAnsi="宋体" w:cs="宋体"/>
                <w:color w:val="000000"/>
                <w:kern w:val="0"/>
                <w:szCs w:val="21"/>
              </w:rPr>
              <w:t>对待测终端设备PLC通信弱电接口的电源电压纹波进行检测，</w:t>
            </w:r>
            <w:r>
              <w:rPr>
                <w:rFonts w:hint="eastAsia" w:hAnsi="宋体" w:cs="宋体"/>
                <w:color w:val="000000"/>
                <w:szCs w:val="21"/>
              </w:rPr>
              <w:t>如果不符合相关规范要求，</w:t>
            </w:r>
            <w:r>
              <w:rPr>
                <w:rFonts w:hint="eastAsia" w:hAnsi="宋体" w:cs="宋体"/>
                <w:szCs w:val="21"/>
              </w:rPr>
              <w:t>诊断为此类故障。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1325" w:type="dxa"/>
            <w:tcBorders>
              <w:tl2br w:val="nil"/>
              <w:tr2bl w:val="nil"/>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通信故障</w:t>
            </w:r>
          </w:p>
        </w:tc>
        <w:tc>
          <w:tcPr>
            <w:tcW w:w="2050" w:type="dxa"/>
            <w:tcBorders>
              <w:tl2br w:val="nil"/>
              <w:tr2bl w:val="nil"/>
            </w:tcBorders>
            <w:shd w:val="clear" w:color="auto" w:fill="auto"/>
            <w:vAlign w:val="center"/>
          </w:tcPr>
          <w:p>
            <w:pPr>
              <w:widowControl/>
              <w:textAlignment w:val="center"/>
              <w:rPr>
                <w:rFonts w:ascii="宋体" w:hAnsi="宋体" w:cs="宋体"/>
                <w:color w:val="000000"/>
                <w:szCs w:val="21"/>
              </w:rPr>
            </w:pPr>
            <w:r>
              <w:rPr>
                <w:rFonts w:hint="eastAsia" w:asciiTheme="minorEastAsia" w:hAnsiTheme="minorEastAsia" w:eastAsiaTheme="minorEastAsia" w:cstheme="minorEastAsia"/>
                <w:szCs w:val="21"/>
              </w:rPr>
              <w:t>通信故障</w:t>
            </w:r>
          </w:p>
        </w:tc>
        <w:tc>
          <w:tcPr>
            <w:tcW w:w="5703" w:type="dxa"/>
            <w:tcBorders>
              <w:tl2br w:val="nil"/>
              <w:tr2bl w:val="nil"/>
            </w:tcBorders>
            <w:shd w:val="clear" w:color="auto" w:fill="auto"/>
            <w:vAlign w:val="center"/>
          </w:tcPr>
          <w:p>
            <w:r>
              <w:rPr>
                <w:rFonts w:hint="eastAsia" w:hAnsi="宋体" w:cs="宋体"/>
                <w:color w:val="000000"/>
                <w:szCs w:val="21"/>
              </w:rPr>
              <w:t>在终端设备PLC通信接口无电源故障的情况下，将PLC通信单元插入待测终端设备后，按相关规范要求对待测终端设备进行通信测试，如无法通信，诊断为此类故障。</w:t>
            </w:r>
          </w:p>
          <w:p>
            <w:pPr>
              <w:widowControl/>
              <w:numPr>
                <w:ilvl w:val="255"/>
                <w:numId w:val="0"/>
              </w:numPr>
              <w:textAlignment w:val="center"/>
            </w:pPr>
          </w:p>
        </w:tc>
      </w:tr>
      <w:bookmarkEnd w:id="145"/>
      <w:bookmarkEnd w:id="146"/>
      <w:bookmarkEnd w:id="147"/>
    </w:tbl>
    <w:p>
      <w:pPr>
        <w:pStyle w:val="79"/>
        <w:spacing w:before="312" w:after="312"/>
        <w:outlineLvl w:val="0"/>
        <w:rPr>
          <w:rFonts w:ascii="黑体-简" w:hAnsi="黑体-简" w:eastAsia="黑体-简" w:cs="黑体-简"/>
          <w:bCs/>
          <w:color w:val="000000"/>
        </w:rPr>
      </w:pPr>
      <w:bookmarkStart w:id="149" w:name="_Toc1654"/>
      <w:bookmarkStart w:id="150" w:name="_Toc18606_WPSOffice_Level1"/>
      <w:bookmarkStart w:id="151" w:name="_Toc2823"/>
      <w:bookmarkStart w:id="152" w:name="_Toc542330006"/>
      <w:bookmarkStart w:id="153" w:name="_Toc7504"/>
      <w:bookmarkStart w:id="154" w:name="_Toc26210"/>
      <w:bookmarkStart w:id="155" w:name="_Toc1088"/>
      <w:bookmarkStart w:id="156" w:name="_Toc27914"/>
      <w:bookmarkStart w:id="157" w:name="_Toc17339_WPSOffice_Level1"/>
      <w:bookmarkStart w:id="158" w:name="_Toc16537_WPSOffice_Level1"/>
      <w:bookmarkStart w:id="159" w:name="_Toc14262_WPSOffice_Level1"/>
      <w:bookmarkStart w:id="160" w:name="_Toc813654653"/>
      <w:bookmarkStart w:id="161" w:name="_Toc82461153"/>
      <w:r>
        <w:rPr>
          <w:rFonts w:hint="eastAsia" w:ascii="黑体-简" w:hAnsi="黑体-简" w:eastAsia="黑体-简" w:cs="黑体-简"/>
          <w:color w:val="000000"/>
        </w:rPr>
        <w:t>判定处置</w:t>
      </w:r>
      <w:bookmarkEnd w:id="149"/>
    </w:p>
    <w:bookmarkEnd w:id="150"/>
    <w:bookmarkEnd w:id="151"/>
    <w:bookmarkEnd w:id="152"/>
    <w:bookmarkEnd w:id="153"/>
    <w:bookmarkEnd w:id="154"/>
    <w:bookmarkEnd w:id="155"/>
    <w:bookmarkEnd w:id="156"/>
    <w:bookmarkEnd w:id="157"/>
    <w:bookmarkEnd w:id="158"/>
    <w:bookmarkEnd w:id="159"/>
    <w:bookmarkEnd w:id="160"/>
    <w:bookmarkEnd w:id="161"/>
    <w:p>
      <w:pPr>
        <w:ind w:firstLine="420" w:firstLineChars="200"/>
        <w:rPr>
          <w:rFonts w:hAnsi="宋体" w:cs="宋体"/>
          <w:bCs/>
          <w:color w:val="000000"/>
        </w:rPr>
      </w:pPr>
      <w:r>
        <w:rPr>
          <w:rFonts w:hint="eastAsia" w:hAnsi="宋体" w:cs="宋体"/>
          <w:bCs/>
          <w:color w:val="000000"/>
          <w:szCs w:val="22"/>
        </w:rPr>
        <w:t>根据故障分析</w:t>
      </w:r>
      <w:r>
        <w:rPr>
          <w:rFonts w:hint="eastAsia" w:hAnsi="宋体" w:cs="宋体"/>
          <w:bCs/>
          <w:color w:val="000000"/>
        </w:rPr>
        <w:t>和故障</w:t>
      </w:r>
      <w:r>
        <w:rPr>
          <w:rFonts w:hint="eastAsia" w:hAnsi="宋体" w:cs="宋体"/>
          <w:bCs/>
          <w:color w:val="000000"/>
          <w:szCs w:val="22"/>
        </w:rPr>
        <w:t>诊断结果，</w:t>
      </w:r>
      <w:r>
        <w:rPr>
          <w:rFonts w:hint="eastAsia"/>
        </w:rPr>
        <w:t>按照表7的判定标准，对故障PLC通信单元作出对应的处置结论，</w:t>
      </w:r>
      <w:r>
        <w:rPr>
          <w:rFonts w:hint="eastAsia" w:hAnsi="宋体" w:cs="宋体"/>
          <w:bCs/>
          <w:color w:val="000000"/>
        </w:rPr>
        <w:t>记录</w:t>
      </w:r>
      <w:r>
        <w:rPr>
          <w:rFonts w:hint="eastAsia" w:hAnsi="宋体" w:cs="宋体"/>
          <w:color w:val="000000"/>
        </w:rPr>
        <w:t>PLC通信单元故障类型档案</w:t>
      </w:r>
      <w:r>
        <w:rPr>
          <w:rFonts w:hint="eastAsia" w:hAnsi="宋体" w:cs="宋体"/>
          <w:bCs/>
          <w:color w:val="000000"/>
        </w:rPr>
        <w:t>结果信息，</w:t>
      </w:r>
      <w:r>
        <w:rPr>
          <w:rFonts w:hint="eastAsia"/>
        </w:rPr>
        <w:t>并依据相关标准执行后续处理。</w:t>
      </w:r>
      <w:r>
        <w:rPr>
          <w:rFonts w:hint="eastAsia" w:hAnsi="宋体" w:cs="宋体"/>
          <w:bCs/>
          <w:color w:val="000000"/>
        </w:rPr>
        <w:t>如果故障诊断过程中发现新增的故障类型，应在故障类型档案中更新完善</w:t>
      </w:r>
      <w:r>
        <w:rPr>
          <w:rFonts w:hint="eastAsia" w:hAnsi="宋体" w:cs="宋体"/>
          <w:bCs/>
        </w:rPr>
        <w:t>。处置分类见附录A。</w:t>
      </w:r>
    </w:p>
    <w:p>
      <w:pPr>
        <w:pStyle w:val="2"/>
      </w:pPr>
    </w:p>
    <w:p>
      <w:pPr>
        <w:pStyle w:val="2"/>
        <w:ind w:firstLine="422"/>
        <w:jc w:val="center"/>
        <w:rPr>
          <w:b/>
          <w:bCs/>
        </w:rPr>
      </w:pPr>
      <w:r>
        <w:rPr>
          <w:rFonts w:hint="eastAsia"/>
          <w:b/>
          <w:bCs/>
        </w:rPr>
        <w:t>表7</w:t>
      </w:r>
      <w:r>
        <w:rPr>
          <w:b/>
          <w:bCs/>
        </w:rPr>
        <w:t xml:space="preserve"> </w:t>
      </w:r>
      <w:r>
        <w:rPr>
          <w:rFonts w:hint="eastAsia"/>
          <w:b/>
          <w:bCs/>
        </w:rPr>
        <w:t>判定处置</w:t>
      </w:r>
    </w:p>
    <w:tbl>
      <w:tblPr>
        <w:tblStyle w:val="41"/>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7"/>
        <w:gridCol w:w="1603"/>
        <w:gridCol w:w="3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27" w:type="dxa"/>
          </w:tcPr>
          <w:p>
            <w:pPr>
              <w:pStyle w:val="37"/>
              <w:widowControl/>
              <w:spacing w:beforeAutospacing="0" w:afterAutospacing="0"/>
              <w:jc w:val="center"/>
              <w:rPr>
                <w:rFonts w:ascii="宋体" w:hAnsi="宋体" w:cs="宋体"/>
                <w:b/>
                <w:color w:val="000000"/>
                <w:sz w:val="21"/>
                <w:szCs w:val="21"/>
              </w:rPr>
            </w:pPr>
            <w:r>
              <w:rPr>
                <w:rFonts w:hint="eastAsia" w:ascii="宋体" w:hAnsi="宋体" w:cs="宋体"/>
                <w:b/>
                <w:color w:val="000000"/>
                <w:kern w:val="2"/>
                <w:sz w:val="21"/>
                <w:szCs w:val="21"/>
              </w:rPr>
              <w:t>判定标准</w:t>
            </w:r>
          </w:p>
        </w:tc>
        <w:tc>
          <w:tcPr>
            <w:tcW w:w="1603" w:type="dxa"/>
          </w:tcPr>
          <w:p>
            <w:pPr>
              <w:pStyle w:val="37"/>
              <w:widowControl/>
              <w:spacing w:beforeAutospacing="0" w:afterAutospacing="0"/>
              <w:jc w:val="center"/>
              <w:rPr>
                <w:rFonts w:ascii="宋体" w:hAnsi="宋体" w:cs="宋体"/>
                <w:b/>
                <w:color w:val="000000"/>
                <w:sz w:val="21"/>
                <w:szCs w:val="21"/>
              </w:rPr>
            </w:pPr>
            <w:r>
              <w:rPr>
                <w:rFonts w:hint="eastAsia" w:ascii="宋体" w:hAnsi="宋体" w:cs="宋体"/>
                <w:b/>
                <w:color w:val="000000"/>
                <w:kern w:val="2"/>
                <w:sz w:val="21"/>
                <w:szCs w:val="21"/>
              </w:rPr>
              <w:t>处置结论</w:t>
            </w:r>
          </w:p>
        </w:tc>
        <w:tc>
          <w:tcPr>
            <w:tcW w:w="3821" w:type="dxa"/>
          </w:tcPr>
          <w:p>
            <w:pPr>
              <w:pStyle w:val="37"/>
              <w:widowControl/>
              <w:spacing w:beforeAutospacing="0" w:afterAutospacing="0"/>
              <w:jc w:val="center"/>
              <w:rPr>
                <w:rFonts w:ascii="宋体" w:hAnsi="宋体" w:cs="宋体"/>
                <w:b/>
                <w:color w:val="000000"/>
                <w:sz w:val="21"/>
                <w:szCs w:val="21"/>
              </w:rPr>
            </w:pPr>
            <w:r>
              <w:rPr>
                <w:rFonts w:hint="eastAsia" w:ascii="宋体" w:hAnsi="宋体" w:cs="宋体"/>
                <w:b/>
                <w:color w:val="000000"/>
                <w:kern w:val="2"/>
                <w:sz w:val="21"/>
                <w:szCs w:val="21"/>
              </w:rPr>
              <w:t>处置方法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7"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待测故障PLC通信单元判断为或包含外观损坏故障，</w:t>
            </w:r>
            <w:r>
              <w:rPr>
                <w:rFonts w:hint="eastAsia" w:ascii="宋体" w:hAnsi="宋体" w:cs="宋体"/>
                <w:bCs/>
                <w:color w:val="000000"/>
                <w:sz w:val="21"/>
                <w:szCs w:val="22"/>
              </w:rPr>
              <w:t>且不符合待理赔处置条件的PLC通信单元</w:t>
            </w:r>
          </w:p>
        </w:tc>
        <w:tc>
          <w:tcPr>
            <w:tcW w:w="1603" w:type="dxa"/>
          </w:tcPr>
          <w:p>
            <w:pPr>
              <w:pStyle w:val="2"/>
              <w:ind w:firstLine="0" w:firstLineChars="0"/>
              <w:jc w:val="center"/>
              <w:rPr>
                <w:rFonts w:ascii="宋体" w:hAnsi="宋体" w:cs="宋体"/>
                <w:bCs/>
                <w:color w:val="000000"/>
                <w:szCs w:val="21"/>
              </w:rPr>
            </w:pPr>
            <w:r>
              <w:rPr>
                <w:rFonts w:hint="eastAsia" w:ascii="宋体" w:hAnsi="宋体" w:cs="宋体"/>
                <w:bCs/>
                <w:color w:val="000000"/>
                <w:szCs w:val="21"/>
              </w:rPr>
              <w:t>待报废</w:t>
            </w:r>
          </w:p>
        </w:tc>
        <w:tc>
          <w:tcPr>
            <w:tcW w:w="3821"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sz w:val="21"/>
                <w:szCs w:val="21"/>
              </w:rPr>
              <w:t>待报废</w:t>
            </w:r>
            <w:r>
              <w:rPr>
                <w:rFonts w:hint="eastAsia" w:ascii="宋体" w:hAnsi="宋体" w:cs="宋体"/>
                <w:bCs/>
                <w:color w:val="000000"/>
                <w:kern w:val="2"/>
                <w:sz w:val="21"/>
                <w:szCs w:val="21"/>
              </w:rPr>
              <w:t>PLC通信单元应及时销毁，并采用防止信息失密的销毁措施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7"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待测故障PLC通信单元通过外观检测，并判断为或包含性能故障、通信故障、功能故障中的</w:t>
            </w:r>
            <w:r>
              <w:rPr>
                <w:rFonts w:hint="eastAsia" w:ascii="宋体" w:hAnsi="宋体" w:cs="宋体"/>
                <w:color w:val="000000"/>
                <w:sz w:val="21"/>
                <w:szCs w:val="21"/>
              </w:rPr>
              <w:t>事件上报功能故障</w:t>
            </w:r>
          </w:p>
        </w:tc>
        <w:tc>
          <w:tcPr>
            <w:tcW w:w="1603" w:type="dxa"/>
          </w:tcPr>
          <w:p>
            <w:pPr>
              <w:pStyle w:val="37"/>
              <w:widowControl/>
              <w:spacing w:beforeAutospacing="0" w:afterAutospacing="0"/>
              <w:jc w:val="center"/>
              <w:rPr>
                <w:rFonts w:ascii="宋体" w:hAnsi="宋体" w:cs="宋体"/>
                <w:bCs/>
                <w:color w:val="000000"/>
                <w:sz w:val="21"/>
                <w:szCs w:val="21"/>
              </w:rPr>
            </w:pPr>
            <w:r>
              <w:rPr>
                <w:rFonts w:hint="eastAsia" w:ascii="宋体" w:hAnsi="宋体" w:cs="宋体"/>
                <w:bCs/>
                <w:color w:val="000000"/>
                <w:kern w:val="2"/>
                <w:sz w:val="21"/>
                <w:szCs w:val="21"/>
              </w:rPr>
              <w:t>待理赔</w:t>
            </w:r>
          </w:p>
        </w:tc>
        <w:tc>
          <w:tcPr>
            <w:tcW w:w="3821"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依据PLC通信单元采购合同，对仍在质保期内的待理赔PLC通信单元执行理赔程序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7"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待测故障PLC通信单元通过外观检测，并仅有</w:t>
            </w:r>
            <w:r>
              <w:rPr>
                <w:rFonts w:hint="eastAsia" w:ascii="宋体" w:hAnsi="宋体" w:cs="宋体"/>
                <w:color w:val="000000"/>
                <w:sz w:val="21"/>
                <w:szCs w:val="21"/>
              </w:rPr>
              <w:t>资产信息错误、停复电上报功能异常</w:t>
            </w:r>
            <w:r>
              <w:rPr>
                <w:rFonts w:hint="eastAsia" w:ascii="宋体" w:hAnsi="宋体" w:cs="宋体"/>
                <w:bCs/>
                <w:color w:val="000000"/>
                <w:kern w:val="2"/>
                <w:sz w:val="21"/>
                <w:szCs w:val="21"/>
              </w:rPr>
              <w:t>、相位识别功能异常故障</w:t>
            </w:r>
          </w:p>
        </w:tc>
        <w:tc>
          <w:tcPr>
            <w:tcW w:w="1603" w:type="dxa"/>
          </w:tcPr>
          <w:p>
            <w:pPr>
              <w:pStyle w:val="37"/>
              <w:widowControl/>
              <w:spacing w:beforeAutospacing="0" w:afterAutospacing="0"/>
              <w:jc w:val="center"/>
              <w:rPr>
                <w:rFonts w:ascii="宋体" w:hAnsi="宋体" w:cs="宋体"/>
                <w:bCs/>
                <w:color w:val="000000"/>
                <w:sz w:val="21"/>
                <w:szCs w:val="21"/>
              </w:rPr>
            </w:pPr>
            <w:r>
              <w:rPr>
                <w:rFonts w:hint="eastAsia" w:ascii="宋体" w:hAnsi="宋体" w:cs="宋体"/>
                <w:bCs/>
                <w:color w:val="000000"/>
                <w:kern w:val="2"/>
                <w:sz w:val="21"/>
                <w:szCs w:val="21"/>
              </w:rPr>
              <w:t>设备可升级</w:t>
            </w:r>
          </w:p>
        </w:tc>
        <w:tc>
          <w:tcPr>
            <w:tcW w:w="3821"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经检测为设备可升级的PLC通信单元，可由运维厂商升级后再次利用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7"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待测故障PLC通信单元通过外观检测以及内部故障判断，未发现所列各类故障</w:t>
            </w:r>
          </w:p>
        </w:tc>
        <w:tc>
          <w:tcPr>
            <w:tcW w:w="1603" w:type="dxa"/>
          </w:tcPr>
          <w:p>
            <w:pPr>
              <w:pStyle w:val="37"/>
              <w:widowControl/>
              <w:spacing w:beforeAutospacing="0" w:afterAutospacing="0"/>
              <w:jc w:val="center"/>
              <w:rPr>
                <w:rFonts w:ascii="宋体" w:hAnsi="宋体" w:cs="宋体"/>
                <w:bCs/>
                <w:color w:val="000000"/>
                <w:sz w:val="21"/>
                <w:szCs w:val="21"/>
              </w:rPr>
            </w:pPr>
            <w:r>
              <w:rPr>
                <w:rFonts w:hint="eastAsia" w:ascii="宋体" w:hAnsi="宋体" w:cs="宋体"/>
                <w:bCs/>
                <w:color w:val="000000"/>
                <w:kern w:val="2"/>
                <w:sz w:val="21"/>
                <w:szCs w:val="21"/>
              </w:rPr>
              <w:t>检测合格</w:t>
            </w:r>
          </w:p>
        </w:tc>
        <w:tc>
          <w:tcPr>
            <w:tcW w:w="3821" w:type="dxa"/>
          </w:tcPr>
          <w:p>
            <w:pPr>
              <w:pStyle w:val="37"/>
              <w:widowControl/>
              <w:spacing w:beforeAutospacing="0" w:afterAutospacing="0"/>
              <w:rPr>
                <w:rFonts w:ascii="宋体" w:hAnsi="宋体" w:cs="宋体"/>
                <w:bCs/>
                <w:color w:val="000000"/>
                <w:sz w:val="21"/>
                <w:szCs w:val="21"/>
              </w:rPr>
            </w:pPr>
            <w:r>
              <w:rPr>
                <w:rFonts w:hint="eastAsia" w:ascii="宋体" w:hAnsi="宋体" w:cs="宋体"/>
                <w:bCs/>
                <w:color w:val="000000"/>
                <w:kern w:val="2"/>
                <w:sz w:val="21"/>
                <w:szCs w:val="21"/>
              </w:rPr>
              <w:t>经检测合格的PLC通信单元可再次利用</w:t>
            </w:r>
          </w:p>
        </w:tc>
      </w:tr>
    </w:tbl>
    <w:p>
      <w:pPr>
        <w:rPr>
          <w:rFonts w:ascii="黑体" w:hAnsi="黑体" w:eastAsia="黑体" w:cs="黑体"/>
          <w:bCs/>
          <w:color w:val="000000"/>
          <w:szCs w:val="21"/>
        </w:rPr>
      </w:pPr>
      <w:bookmarkStart w:id="162" w:name="_Toc31886"/>
      <w:bookmarkStart w:id="163" w:name="_Toc30851"/>
      <w:r>
        <w:rPr>
          <w:rFonts w:hint="eastAsia" w:ascii="黑体" w:hAnsi="黑体" w:eastAsia="黑体" w:cs="黑体"/>
          <w:bCs/>
          <w:color w:val="000000"/>
          <w:szCs w:val="21"/>
        </w:rPr>
        <w:br w:type="page"/>
      </w:r>
    </w:p>
    <w:p>
      <w:pPr>
        <w:pStyle w:val="37"/>
        <w:spacing w:beforeAutospacing="0" w:afterAutospacing="0"/>
        <w:jc w:val="center"/>
        <w:outlineLvl w:val="0"/>
        <w:rPr>
          <w:rFonts w:hint="eastAsia" w:ascii="黑体" w:hAnsi="黑体" w:eastAsia="黑体" w:cs="黑体"/>
          <w:bCs/>
          <w:color w:val="000000"/>
          <w:szCs w:val="21"/>
        </w:rPr>
      </w:pPr>
      <w:bookmarkStart w:id="164" w:name="_Toc5607"/>
      <w:r>
        <w:rPr>
          <w:rFonts w:hint="eastAsia" w:ascii="黑体" w:hAnsi="黑体" w:eastAsia="黑体" w:cs="黑体"/>
          <w:bCs/>
          <w:color w:val="000000"/>
          <w:szCs w:val="21"/>
        </w:rPr>
        <w:t>附录 A</w:t>
      </w:r>
    </w:p>
    <w:p>
      <w:pPr>
        <w:pStyle w:val="37"/>
        <w:spacing w:beforeAutospacing="0" w:afterAutospacing="0"/>
        <w:jc w:val="center"/>
        <w:outlineLvl w:val="0"/>
        <w:rPr>
          <w:rFonts w:hint="eastAsia" w:ascii="黑体" w:hAnsi="黑体" w:eastAsia="黑体" w:cs="黑体"/>
          <w:bCs/>
          <w:color w:val="000000"/>
          <w:szCs w:val="21"/>
        </w:rPr>
      </w:pPr>
      <w:r>
        <w:rPr>
          <w:rFonts w:hint="eastAsia" w:ascii="黑体" w:hAnsi="黑体" w:eastAsia="黑体" w:cs="黑体"/>
          <w:bCs/>
          <w:color w:val="000000"/>
          <w:szCs w:val="21"/>
        </w:rPr>
        <w:t>（规范性）</w:t>
      </w:r>
    </w:p>
    <w:p>
      <w:pPr>
        <w:pStyle w:val="37"/>
        <w:spacing w:beforeAutospacing="0" w:afterAutospacing="0"/>
        <w:jc w:val="center"/>
        <w:outlineLvl w:val="0"/>
        <w:rPr>
          <w:rFonts w:ascii="黑体" w:hAnsi="黑体" w:eastAsia="黑体" w:cs="黑体"/>
          <w:bCs/>
          <w:color w:val="000000"/>
          <w:szCs w:val="21"/>
        </w:rPr>
      </w:pPr>
      <w:r>
        <w:rPr>
          <w:rFonts w:hint="eastAsia" w:ascii="黑体" w:hAnsi="黑体" w:eastAsia="黑体" w:cs="黑体"/>
          <w:bCs/>
          <w:color w:val="000000"/>
          <w:szCs w:val="21"/>
        </w:rPr>
        <w:t>PLC通信单元故障处置分类</w:t>
      </w:r>
      <w:bookmarkEnd w:id="162"/>
      <w:bookmarkEnd w:id="163"/>
      <w:bookmarkEnd w:id="164"/>
    </w:p>
    <w:p>
      <w:pPr>
        <w:pStyle w:val="37"/>
        <w:spacing w:beforeAutospacing="0" w:afterAutospacing="0"/>
        <w:rPr>
          <w:rFonts w:ascii="黑体" w:hAnsi="黑体" w:eastAsia="黑体" w:cs="黑体"/>
          <w:bCs/>
          <w:color w:val="000000"/>
          <w:szCs w:val="21"/>
        </w:rPr>
      </w:pPr>
    </w:p>
    <w:tbl>
      <w:tblPr>
        <w:tblStyle w:val="40"/>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459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tcPr>
          <w:p>
            <w:pPr>
              <w:pStyle w:val="37"/>
              <w:jc w:val="center"/>
              <w:rPr>
                <w:rFonts w:ascii="宋体" w:hAnsi="宋体" w:cs="宋体"/>
                <w:b/>
                <w:bCs/>
                <w:sz w:val="21"/>
                <w:szCs w:val="21"/>
              </w:rPr>
            </w:pPr>
            <w:r>
              <w:rPr>
                <w:rFonts w:hint="eastAsia" w:ascii="宋体" w:hAnsi="宋体" w:cs="宋体"/>
                <w:b/>
                <w:bCs/>
                <w:sz w:val="21"/>
                <w:szCs w:val="21"/>
              </w:rPr>
              <w:t>一类故障</w:t>
            </w:r>
          </w:p>
        </w:tc>
        <w:tc>
          <w:tcPr>
            <w:tcW w:w="4596" w:type="dxa"/>
          </w:tcPr>
          <w:p>
            <w:pPr>
              <w:pStyle w:val="37"/>
              <w:jc w:val="center"/>
              <w:rPr>
                <w:rFonts w:ascii="宋体" w:hAnsi="宋体" w:cs="宋体"/>
                <w:b/>
                <w:bCs/>
                <w:sz w:val="21"/>
                <w:szCs w:val="21"/>
              </w:rPr>
            </w:pPr>
            <w:r>
              <w:rPr>
                <w:rFonts w:hint="eastAsia" w:ascii="宋体" w:hAnsi="宋体" w:cs="宋体"/>
                <w:b/>
                <w:bCs/>
                <w:sz w:val="21"/>
                <w:szCs w:val="21"/>
              </w:rPr>
              <w:t>二类故障</w:t>
            </w:r>
          </w:p>
        </w:tc>
        <w:tc>
          <w:tcPr>
            <w:tcW w:w="2152" w:type="dxa"/>
          </w:tcPr>
          <w:p>
            <w:pPr>
              <w:pStyle w:val="37"/>
              <w:jc w:val="center"/>
              <w:rPr>
                <w:rFonts w:ascii="宋体" w:hAnsi="宋体" w:cs="宋体"/>
                <w:b/>
                <w:bCs/>
                <w:sz w:val="21"/>
                <w:szCs w:val="21"/>
              </w:rPr>
            </w:pPr>
            <w:r>
              <w:rPr>
                <w:rFonts w:hint="eastAsia" w:ascii="宋体" w:hAnsi="宋体" w:cs="宋体"/>
                <w:b/>
                <w:bCs/>
                <w:sz w:val="21"/>
                <w:szCs w:val="21"/>
              </w:rPr>
              <w:t>参考处置结论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restart"/>
            <w:vAlign w:val="center"/>
          </w:tcPr>
          <w:p>
            <w:pPr>
              <w:jc w:val="center"/>
              <w:rPr>
                <w:rFonts w:ascii="宋体" w:hAnsi="宋体" w:cs="宋体"/>
                <w:szCs w:val="21"/>
              </w:rPr>
            </w:pPr>
            <w:r>
              <w:rPr>
                <w:rFonts w:hint="eastAsia" w:ascii="宋体" w:hAnsi="宋体" w:cs="宋体"/>
                <w:color w:val="000000"/>
                <w:szCs w:val="21"/>
              </w:rPr>
              <w:t>外观故障</w:t>
            </w: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烧坏</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进水</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引脚氧化</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壳体破损</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指示灯故障</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铭牌信息异常</w:t>
            </w:r>
          </w:p>
        </w:tc>
        <w:tc>
          <w:tcPr>
            <w:tcW w:w="2152" w:type="dxa"/>
          </w:tcPr>
          <w:p>
            <w:pPr>
              <w:pStyle w:val="104"/>
              <w:widowControl w:val="0"/>
              <w:ind w:left="0" w:firstLine="0"/>
              <w:jc w:val="center"/>
              <w:rPr>
                <w:rFonts w:hAnsi="宋体" w:cs="宋体"/>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pPr>
              <w:jc w:val="center"/>
              <w:rPr>
                <w:rFonts w:ascii="宋体" w:hAnsi="宋体" w:cs="宋体"/>
                <w:szCs w:val="21"/>
              </w:rPr>
            </w:pPr>
            <w:r>
              <w:rPr>
                <w:rFonts w:hint="eastAsia" w:ascii="宋体" w:hAnsi="宋体" w:cs="宋体"/>
                <w:szCs w:val="21"/>
              </w:rPr>
              <w:t>结构故障</w:t>
            </w:r>
          </w:p>
        </w:tc>
        <w:tc>
          <w:tcPr>
            <w:tcW w:w="4596" w:type="dxa"/>
            <w:vAlign w:val="center"/>
          </w:tcPr>
          <w:p>
            <w:pPr>
              <w:widowControl/>
              <w:textAlignment w:val="center"/>
              <w:rPr>
                <w:rFonts w:ascii="宋体" w:hAnsi="宋体" w:cs="宋体"/>
                <w:color w:val="000000"/>
                <w:kern w:val="0"/>
                <w:szCs w:val="21"/>
              </w:rPr>
            </w:pPr>
            <w:r>
              <w:rPr>
                <w:rFonts w:hint="eastAsia" w:ascii="宋体" w:hAnsi="宋体" w:cs="宋体"/>
                <w:szCs w:val="21"/>
              </w:rPr>
              <w:t>结构故障</w:t>
            </w:r>
          </w:p>
        </w:tc>
        <w:tc>
          <w:tcPr>
            <w:tcW w:w="2152" w:type="dxa"/>
          </w:tcPr>
          <w:p>
            <w:pPr>
              <w:pStyle w:val="104"/>
              <w:widowControl w:val="0"/>
              <w:ind w:left="0" w:firstLine="0"/>
              <w:jc w:val="center"/>
              <w:rPr>
                <w:rFonts w:hAnsi="宋体" w:cs="宋体"/>
                <w:bCs/>
                <w:szCs w:val="21"/>
              </w:rPr>
            </w:pPr>
            <w:r>
              <w:rPr>
                <w:rFonts w:hint="eastAsia" w:hAnsi="宋体" w:cs="宋体"/>
                <w:bCs/>
                <w:szCs w:val="21"/>
              </w:rPr>
              <w:t>待报废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Align w:val="center"/>
          </w:tcPr>
          <w:p>
            <w:pPr>
              <w:jc w:val="center"/>
              <w:rPr>
                <w:rFonts w:ascii="宋体" w:hAnsi="宋体" w:cs="宋体"/>
                <w:szCs w:val="21"/>
              </w:rPr>
            </w:pPr>
            <w:r>
              <w:rPr>
                <w:rFonts w:hint="eastAsia" w:ascii="宋体" w:hAnsi="宋体" w:cs="宋体"/>
                <w:color w:val="000000"/>
                <w:szCs w:val="21"/>
              </w:rPr>
              <w:t>信息错误</w:t>
            </w: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资产信息错误</w:t>
            </w:r>
          </w:p>
        </w:tc>
        <w:tc>
          <w:tcPr>
            <w:tcW w:w="2152" w:type="dxa"/>
          </w:tcPr>
          <w:p>
            <w:pPr>
              <w:pStyle w:val="104"/>
              <w:widowControl w:val="0"/>
              <w:ind w:left="0" w:firstLine="0"/>
              <w:jc w:val="center"/>
              <w:rPr>
                <w:rFonts w:hAnsi="宋体" w:cs="宋体"/>
                <w:szCs w:val="21"/>
              </w:rPr>
            </w:pPr>
            <w:r>
              <w:rPr>
                <w:rFonts w:hint="eastAsia" w:hAnsi="宋体" w:cs="宋体"/>
                <w:szCs w:val="21"/>
              </w:rPr>
              <w:t>设备可升级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226" w:type="dxa"/>
            <w:vMerge w:val="restart"/>
            <w:vAlign w:val="center"/>
          </w:tcPr>
          <w:p>
            <w:pPr>
              <w:jc w:val="center"/>
              <w:rPr>
                <w:rFonts w:ascii="宋体" w:hAnsi="宋体" w:cs="宋体"/>
                <w:szCs w:val="21"/>
              </w:rPr>
            </w:pPr>
            <w:r>
              <w:rPr>
                <w:rFonts w:hint="eastAsia" w:ascii="宋体" w:hAnsi="宋体" w:cs="宋体"/>
                <w:color w:val="000000"/>
                <w:szCs w:val="21"/>
              </w:rPr>
              <w:t>性能故障</w:t>
            </w: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电源异常</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功耗超标</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死机</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restart"/>
            <w:vAlign w:val="center"/>
          </w:tcPr>
          <w:p>
            <w:pPr>
              <w:jc w:val="center"/>
              <w:rPr>
                <w:rFonts w:ascii="宋体" w:hAnsi="宋体" w:cs="宋体"/>
                <w:szCs w:val="21"/>
              </w:rPr>
            </w:pPr>
            <w:r>
              <w:rPr>
                <w:rFonts w:hint="eastAsia" w:ascii="宋体" w:hAnsi="宋体" w:cs="宋体"/>
                <w:color w:val="000000"/>
                <w:szCs w:val="21"/>
              </w:rPr>
              <w:t>通信故障</w:t>
            </w: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通信不稳定</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组网异常</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弱电接口故障</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协议不匹配</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restart"/>
            <w:vAlign w:val="center"/>
          </w:tcPr>
          <w:p>
            <w:pPr>
              <w:jc w:val="center"/>
              <w:rPr>
                <w:rFonts w:ascii="宋体" w:hAnsi="宋体" w:cs="宋体"/>
                <w:szCs w:val="21"/>
              </w:rPr>
            </w:pPr>
            <w:r>
              <w:rPr>
                <w:rFonts w:hint="eastAsia" w:ascii="宋体" w:hAnsi="宋体" w:cs="宋体"/>
                <w:color w:val="000000"/>
                <w:szCs w:val="21"/>
              </w:rPr>
              <w:t>功能故障</w:t>
            </w: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事件上报功能故障</w:t>
            </w:r>
          </w:p>
        </w:tc>
        <w:tc>
          <w:tcPr>
            <w:tcW w:w="2152" w:type="dxa"/>
          </w:tcPr>
          <w:p>
            <w:pPr>
              <w:pStyle w:val="104"/>
              <w:widowControl w:val="0"/>
              <w:ind w:left="0" w:firstLine="0"/>
              <w:jc w:val="center"/>
              <w:rPr>
                <w:rFonts w:hAnsi="宋体" w:cs="宋体"/>
                <w:szCs w:val="21"/>
              </w:rPr>
            </w:pPr>
            <w:r>
              <w:rPr>
                <w:rFonts w:hint="eastAsia" w:hAnsi="宋体" w:cs="宋体"/>
                <w:bCs/>
                <w:szCs w:val="21"/>
              </w:rPr>
              <w:t>待理赔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停复电上报功能异常</w:t>
            </w:r>
          </w:p>
        </w:tc>
        <w:tc>
          <w:tcPr>
            <w:tcW w:w="2152" w:type="dxa"/>
          </w:tcPr>
          <w:p>
            <w:pPr>
              <w:pStyle w:val="104"/>
              <w:widowControl w:val="0"/>
              <w:ind w:left="0" w:firstLine="0"/>
              <w:jc w:val="center"/>
              <w:rPr>
                <w:rFonts w:hAnsi="宋体" w:cs="宋体"/>
                <w:szCs w:val="21"/>
              </w:rPr>
            </w:pPr>
            <w:r>
              <w:rPr>
                <w:rFonts w:hint="eastAsia" w:hAnsi="宋体" w:cs="宋体"/>
                <w:szCs w:val="21"/>
              </w:rPr>
              <w:t>设备可升级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6" w:type="dxa"/>
            <w:vMerge w:val="continue"/>
            <w:vAlign w:val="center"/>
          </w:tcPr>
          <w:p>
            <w:pPr>
              <w:jc w:val="center"/>
              <w:rPr>
                <w:rFonts w:ascii="宋体" w:hAnsi="宋体" w:cs="宋体"/>
                <w:szCs w:val="21"/>
              </w:rPr>
            </w:pPr>
          </w:p>
        </w:tc>
        <w:tc>
          <w:tcPr>
            <w:tcW w:w="4596" w:type="dxa"/>
            <w:vAlign w:val="center"/>
          </w:tcPr>
          <w:p>
            <w:pPr>
              <w:widowControl/>
              <w:textAlignment w:val="center"/>
              <w:rPr>
                <w:rFonts w:ascii="宋体" w:hAnsi="宋体" w:cs="宋体"/>
                <w:szCs w:val="21"/>
              </w:rPr>
            </w:pPr>
            <w:r>
              <w:rPr>
                <w:rFonts w:hint="eastAsia" w:ascii="宋体" w:hAnsi="宋体" w:cs="宋体"/>
                <w:color w:val="000000"/>
                <w:kern w:val="0"/>
                <w:szCs w:val="21"/>
              </w:rPr>
              <w:t>相位识别功能异常</w:t>
            </w:r>
          </w:p>
        </w:tc>
        <w:tc>
          <w:tcPr>
            <w:tcW w:w="2152" w:type="dxa"/>
          </w:tcPr>
          <w:p>
            <w:pPr>
              <w:pStyle w:val="104"/>
              <w:widowControl w:val="0"/>
              <w:ind w:left="0" w:firstLine="0"/>
              <w:jc w:val="center"/>
              <w:rPr>
                <w:rFonts w:hAnsi="宋体" w:cs="宋体"/>
                <w:szCs w:val="21"/>
              </w:rPr>
            </w:pPr>
            <w:r>
              <w:rPr>
                <w:rFonts w:hint="eastAsia" w:hAnsi="宋体" w:cs="宋体"/>
                <w:szCs w:val="21"/>
              </w:rPr>
              <w:t>设备可升级</w:t>
            </w:r>
          </w:p>
        </w:tc>
      </w:tr>
    </w:tbl>
    <w:p>
      <w:pPr>
        <w:pStyle w:val="30"/>
        <w:rPr>
          <w:rFonts w:ascii="Times New Roman"/>
        </w:rPr>
      </w:pPr>
    </w:p>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黑体-简">
    <w:altName w:val="黑体"/>
    <w:panose1 w:val="00000000000000000000"/>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17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ind w:left="1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4"/>
    </w:pPr>
    <w:r>
      <w:pict>
        <v:shape id="Text Box 1" o:spid="_x0000_s2049" o:spt="202" type="#_x0000_t202" style="position:absolute;left:0pt;margin-top:0pt;height:17.65pt;width:14.45pt;mso-position-horizontal:right;mso-position-horizontal-relative:margin;mso-wrap-style:none;z-index:251663360;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ed2LfPcBAAABBAAADgAAAGRycy9lMm9Eb2MueG1srVPBbtswDL0P&#10;2D8Iui+Os2UojDhF1yDDgG4r0O4DZFmOhVqiQCmxs68fJdtZ11166EWgJOrxvUdqcz2Yjp0Ueg22&#10;5PliyZmyEmptDyX/9bj/cMWZD8LWogOrSn5Wnl9v37/b9K5QK2ihqxUyArG+6F3J2xBckWVetsoI&#10;vwCnLF02gEYE2uIhq1H0hG66bLVcfs56wNohSOU9ne7GSz4h4msAoWm0VDuQR6NsGFFRdSKQJN9q&#10;5/k2sW0aJcPPpvEqsK7kpDSklYpQXMU1225EcUDhWi0nCuI1FF5oMkJbKnqB2okg2BH1f1BGSwQP&#10;TVhIMNkoJDlCKvLlC28eWuFU0kJWe3cx3b8drPxxukema5oEzqww1PBHNQT2BQaWR3d65wtKenCU&#10;FgY6jplRqXd3IJ88s3DbCntQN4jQt0rUxC69zJ49HXF8BKn671BTGXEMkICGBk0EJDMYoVNnzpfO&#10;RCoylrz6uM7XnEm6Wq0+5et15JaJYn7s0IevCgyLQcmRGp/AxenOhzF1Tom1LOx116Xmd/afA8KM&#10;J4l85DsyD0M1TGZUUJ9JBsI4S/STKGgBf3PW0xyV3NK34az7ZsmIOHJzgHNQzYGwkh6WPHA2hrdh&#10;HM2jQ31oCXe2+obM2uskJLo6cphY0mQkK6YpjqP3fJ+y/v7c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Bsxz0gAAAAMBAAAPAAAAAAAAAAEAIAAAACIAAABkcnMvZG93bnJldi54bWxQSwECFAAU&#10;AAAACACHTuJAed2LfPcBAAABBAAADgAAAAAAAAABACAAAAAhAQAAZHJzL2Uyb0RvYy54bWxQSwUG&#10;AAAAAAYABgBZAQAAigUAAAAA&#10;">
          <v:path/>
          <v:fill on="f" focussize="0,0"/>
          <v:stroke on="f" joinstyle="miter"/>
          <v:imagedata o:title=""/>
          <o:lock v:ext="edit"/>
          <v:textbox inset="0mm,0mm,0mm,0mm" style="mso-fit-shape-to-text:t;">
            <w:txbxContent>
              <w:p>
                <w:pPr>
                  <w:pStyle w:val="94"/>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2"/>
    </w:pPr>
    <w:r>
      <w:rPr>
        <w:rFonts w:hint="eastAsia"/>
      </w:rPr>
      <w:t>T/CIMA</w:t>
    </w:r>
    <w:r>
      <w:t xml:space="preserve"> </w:t>
    </w:r>
    <w:r>
      <w:rPr>
        <w:rFonts w:hint="eastAsia"/>
      </w:rPr>
      <w:t>0098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D93BF"/>
    <w:multiLevelType w:val="multilevel"/>
    <w:tmpl w:val="D0FD93B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10D600C"/>
    <w:multiLevelType w:val="multilevel"/>
    <w:tmpl w:val="D10D600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1"/>
    <w:multiLevelType w:val="multilevel"/>
    <w:tmpl w:val="0000000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06"/>
    <w:multiLevelType w:val="multilevel"/>
    <w:tmpl w:val="0000000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989D6FF"/>
    <w:multiLevelType w:val="multilevel"/>
    <w:tmpl w:val="0989D6F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C91163"/>
    <w:multiLevelType w:val="multilevel"/>
    <w:tmpl w:val="1FC91163"/>
    <w:lvl w:ilvl="0" w:tentative="0">
      <w:start w:val="1"/>
      <w:numFmt w:val="decimal"/>
      <w:pStyle w:val="79"/>
      <w:suff w:val="nothing"/>
      <w:lvlText w:val="%1　"/>
      <w:lvlJc w:val="left"/>
      <w:pPr>
        <w:ind w:left="0" w:firstLine="0"/>
      </w:pPr>
      <w:rPr>
        <w:rFonts w:hint="default" w:ascii="黑体" w:hAnsi="Times New Roman" w:eastAsia="黑体"/>
        <w:b w:val="0"/>
        <w:i w:val="0"/>
        <w:color w:val="auto"/>
        <w:sz w:val="21"/>
        <w:szCs w:val="21"/>
      </w:rPr>
    </w:lvl>
    <w:lvl w:ilvl="1" w:tentative="0">
      <w:start w:val="1"/>
      <w:numFmt w:val="decimal"/>
      <w:pStyle w:val="59"/>
      <w:suff w:val="nothing"/>
      <w:lvlText w:val="%1.%2　"/>
      <w:lvlJc w:val="left"/>
      <w:pPr>
        <w:ind w:left="127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8"/>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D4D5ACE"/>
    <w:multiLevelType w:val="multilevel"/>
    <w:tmpl w:val="3D4D5AC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140"/>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B2D6718"/>
    <w:multiLevelType w:val="multilevel"/>
    <w:tmpl w:val="6B2D6718"/>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2"/>
  </w:num>
  <w:num w:numId="5">
    <w:abstractNumId w:val="9"/>
  </w:num>
  <w:num w:numId="6">
    <w:abstractNumId w:val="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doNotDisplayPageBoundaries w:val="1"/>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Y0YmRhZWNlN2ZkMDlkMzQ4OTMzNjFjMWM0ODVhYzQifQ=="/>
  </w:docVars>
  <w:rsids>
    <w:rsidRoot w:val="00035925"/>
    <w:rsid w:val="00000244"/>
    <w:rsid w:val="0000185F"/>
    <w:rsid w:val="000029C9"/>
    <w:rsid w:val="000037A4"/>
    <w:rsid w:val="00005339"/>
    <w:rsid w:val="0000586F"/>
    <w:rsid w:val="00013D86"/>
    <w:rsid w:val="00013E02"/>
    <w:rsid w:val="0002143C"/>
    <w:rsid w:val="00023A7E"/>
    <w:rsid w:val="000252C6"/>
    <w:rsid w:val="00025A65"/>
    <w:rsid w:val="00025F5F"/>
    <w:rsid w:val="000260CE"/>
    <w:rsid w:val="00026C31"/>
    <w:rsid w:val="00027280"/>
    <w:rsid w:val="000320A7"/>
    <w:rsid w:val="000325AB"/>
    <w:rsid w:val="0003317E"/>
    <w:rsid w:val="00035925"/>
    <w:rsid w:val="00040B44"/>
    <w:rsid w:val="000412C5"/>
    <w:rsid w:val="00041E26"/>
    <w:rsid w:val="00042FF9"/>
    <w:rsid w:val="000447CB"/>
    <w:rsid w:val="00047992"/>
    <w:rsid w:val="000503F6"/>
    <w:rsid w:val="00052DCD"/>
    <w:rsid w:val="00053FA3"/>
    <w:rsid w:val="000615CE"/>
    <w:rsid w:val="00062A52"/>
    <w:rsid w:val="00062EE0"/>
    <w:rsid w:val="00063202"/>
    <w:rsid w:val="00063ABE"/>
    <w:rsid w:val="00064CD7"/>
    <w:rsid w:val="000650A9"/>
    <w:rsid w:val="000663C5"/>
    <w:rsid w:val="00066F92"/>
    <w:rsid w:val="00067CDF"/>
    <w:rsid w:val="00070CF3"/>
    <w:rsid w:val="00074A8F"/>
    <w:rsid w:val="00074FBE"/>
    <w:rsid w:val="00075311"/>
    <w:rsid w:val="00075549"/>
    <w:rsid w:val="00077FFA"/>
    <w:rsid w:val="000815B3"/>
    <w:rsid w:val="00083A09"/>
    <w:rsid w:val="000851FA"/>
    <w:rsid w:val="0008605A"/>
    <w:rsid w:val="0009005E"/>
    <w:rsid w:val="000900D3"/>
    <w:rsid w:val="0009280E"/>
    <w:rsid w:val="00092857"/>
    <w:rsid w:val="00092E36"/>
    <w:rsid w:val="0009324A"/>
    <w:rsid w:val="000957DC"/>
    <w:rsid w:val="000A0C73"/>
    <w:rsid w:val="000A0FB6"/>
    <w:rsid w:val="000A20A9"/>
    <w:rsid w:val="000A3E1C"/>
    <w:rsid w:val="000A48B1"/>
    <w:rsid w:val="000A4F86"/>
    <w:rsid w:val="000A568A"/>
    <w:rsid w:val="000B3143"/>
    <w:rsid w:val="000B7BD8"/>
    <w:rsid w:val="000C029F"/>
    <w:rsid w:val="000C0314"/>
    <w:rsid w:val="000C1A90"/>
    <w:rsid w:val="000C1C77"/>
    <w:rsid w:val="000C2C33"/>
    <w:rsid w:val="000C45CE"/>
    <w:rsid w:val="000C4619"/>
    <w:rsid w:val="000C64E0"/>
    <w:rsid w:val="000C6B05"/>
    <w:rsid w:val="000C6DD6"/>
    <w:rsid w:val="000C73D4"/>
    <w:rsid w:val="000D013A"/>
    <w:rsid w:val="000D0E60"/>
    <w:rsid w:val="000D3284"/>
    <w:rsid w:val="000D3519"/>
    <w:rsid w:val="000D3D4C"/>
    <w:rsid w:val="000D409E"/>
    <w:rsid w:val="000D482E"/>
    <w:rsid w:val="000D4F51"/>
    <w:rsid w:val="000D5EB0"/>
    <w:rsid w:val="000D718B"/>
    <w:rsid w:val="000E004A"/>
    <w:rsid w:val="000E0A92"/>
    <w:rsid w:val="000E0C46"/>
    <w:rsid w:val="000E499F"/>
    <w:rsid w:val="000E74DA"/>
    <w:rsid w:val="000F030C"/>
    <w:rsid w:val="000F114D"/>
    <w:rsid w:val="000F129C"/>
    <w:rsid w:val="000F1718"/>
    <w:rsid w:val="000F1F0E"/>
    <w:rsid w:val="000F2FFF"/>
    <w:rsid w:val="000F73D5"/>
    <w:rsid w:val="00101A70"/>
    <w:rsid w:val="00102F62"/>
    <w:rsid w:val="00103698"/>
    <w:rsid w:val="001056DE"/>
    <w:rsid w:val="001063E2"/>
    <w:rsid w:val="00107E23"/>
    <w:rsid w:val="00110C9D"/>
    <w:rsid w:val="0011113B"/>
    <w:rsid w:val="00111CD0"/>
    <w:rsid w:val="001124C0"/>
    <w:rsid w:val="0012042C"/>
    <w:rsid w:val="001207DD"/>
    <w:rsid w:val="00120AEB"/>
    <w:rsid w:val="00120ED8"/>
    <w:rsid w:val="00121EEA"/>
    <w:rsid w:val="00127B3D"/>
    <w:rsid w:val="0013175F"/>
    <w:rsid w:val="00135541"/>
    <w:rsid w:val="0013627D"/>
    <w:rsid w:val="001412FB"/>
    <w:rsid w:val="00141410"/>
    <w:rsid w:val="00141FAC"/>
    <w:rsid w:val="0014333C"/>
    <w:rsid w:val="00144C3A"/>
    <w:rsid w:val="001459B8"/>
    <w:rsid w:val="0014652A"/>
    <w:rsid w:val="00147F2D"/>
    <w:rsid w:val="00151208"/>
    <w:rsid w:val="001512B4"/>
    <w:rsid w:val="00153839"/>
    <w:rsid w:val="00154296"/>
    <w:rsid w:val="00157E5A"/>
    <w:rsid w:val="00157EEF"/>
    <w:rsid w:val="00160063"/>
    <w:rsid w:val="001620A5"/>
    <w:rsid w:val="0016320F"/>
    <w:rsid w:val="00164E53"/>
    <w:rsid w:val="00165368"/>
    <w:rsid w:val="00166046"/>
    <w:rsid w:val="00166936"/>
    <w:rsid w:val="0016699D"/>
    <w:rsid w:val="0017104A"/>
    <w:rsid w:val="00171E1E"/>
    <w:rsid w:val="00172538"/>
    <w:rsid w:val="001740BF"/>
    <w:rsid w:val="00175159"/>
    <w:rsid w:val="00175D7A"/>
    <w:rsid w:val="00176208"/>
    <w:rsid w:val="0018211B"/>
    <w:rsid w:val="001840D3"/>
    <w:rsid w:val="0018779C"/>
    <w:rsid w:val="001900F8"/>
    <w:rsid w:val="00191258"/>
    <w:rsid w:val="00191CFF"/>
    <w:rsid w:val="00192680"/>
    <w:rsid w:val="00193037"/>
    <w:rsid w:val="00193222"/>
    <w:rsid w:val="00193A2C"/>
    <w:rsid w:val="00194035"/>
    <w:rsid w:val="00196B26"/>
    <w:rsid w:val="001A01C0"/>
    <w:rsid w:val="001A288E"/>
    <w:rsid w:val="001A28A9"/>
    <w:rsid w:val="001A50DC"/>
    <w:rsid w:val="001B0192"/>
    <w:rsid w:val="001B038C"/>
    <w:rsid w:val="001B454D"/>
    <w:rsid w:val="001B6DC2"/>
    <w:rsid w:val="001C0D19"/>
    <w:rsid w:val="001C149C"/>
    <w:rsid w:val="001C21AC"/>
    <w:rsid w:val="001C26E2"/>
    <w:rsid w:val="001C34C1"/>
    <w:rsid w:val="001C3899"/>
    <w:rsid w:val="001C3F9E"/>
    <w:rsid w:val="001C47BA"/>
    <w:rsid w:val="001C52EA"/>
    <w:rsid w:val="001C59EA"/>
    <w:rsid w:val="001D07C0"/>
    <w:rsid w:val="001D0C56"/>
    <w:rsid w:val="001D0F77"/>
    <w:rsid w:val="001D406C"/>
    <w:rsid w:val="001D41EE"/>
    <w:rsid w:val="001D6143"/>
    <w:rsid w:val="001D6CEC"/>
    <w:rsid w:val="001D7331"/>
    <w:rsid w:val="001E0380"/>
    <w:rsid w:val="001E13B1"/>
    <w:rsid w:val="001E27B6"/>
    <w:rsid w:val="001E2848"/>
    <w:rsid w:val="001E5D21"/>
    <w:rsid w:val="001E7AB6"/>
    <w:rsid w:val="001F23AC"/>
    <w:rsid w:val="001F3A19"/>
    <w:rsid w:val="001F51E4"/>
    <w:rsid w:val="001F616B"/>
    <w:rsid w:val="00201A84"/>
    <w:rsid w:val="00203020"/>
    <w:rsid w:val="0020586A"/>
    <w:rsid w:val="00206452"/>
    <w:rsid w:val="00207D20"/>
    <w:rsid w:val="00212CA0"/>
    <w:rsid w:val="002163C0"/>
    <w:rsid w:val="00226A58"/>
    <w:rsid w:val="00227E54"/>
    <w:rsid w:val="002309E6"/>
    <w:rsid w:val="002339CA"/>
    <w:rsid w:val="00234467"/>
    <w:rsid w:val="0023492E"/>
    <w:rsid w:val="0023516A"/>
    <w:rsid w:val="00235CAB"/>
    <w:rsid w:val="00236704"/>
    <w:rsid w:val="0023750B"/>
    <w:rsid w:val="00237D8D"/>
    <w:rsid w:val="00240214"/>
    <w:rsid w:val="002408E7"/>
    <w:rsid w:val="00241C4F"/>
    <w:rsid w:val="00241DA2"/>
    <w:rsid w:val="00244134"/>
    <w:rsid w:val="002448FA"/>
    <w:rsid w:val="0024566D"/>
    <w:rsid w:val="0024573A"/>
    <w:rsid w:val="00247FEE"/>
    <w:rsid w:val="00250E7D"/>
    <w:rsid w:val="0025442F"/>
    <w:rsid w:val="002565D5"/>
    <w:rsid w:val="00261BE6"/>
    <w:rsid w:val="002622C0"/>
    <w:rsid w:val="00262629"/>
    <w:rsid w:val="002630BC"/>
    <w:rsid w:val="0026317D"/>
    <w:rsid w:val="00263BB6"/>
    <w:rsid w:val="0026430E"/>
    <w:rsid w:val="00264BE5"/>
    <w:rsid w:val="002672D4"/>
    <w:rsid w:val="002673C1"/>
    <w:rsid w:val="00267E96"/>
    <w:rsid w:val="002740E7"/>
    <w:rsid w:val="0027475A"/>
    <w:rsid w:val="002775B0"/>
    <w:rsid w:val="002778AE"/>
    <w:rsid w:val="0028269A"/>
    <w:rsid w:val="00283590"/>
    <w:rsid w:val="00286973"/>
    <w:rsid w:val="002923E4"/>
    <w:rsid w:val="00294E70"/>
    <w:rsid w:val="002A0220"/>
    <w:rsid w:val="002A0D09"/>
    <w:rsid w:val="002A0D6B"/>
    <w:rsid w:val="002A1924"/>
    <w:rsid w:val="002A19A9"/>
    <w:rsid w:val="002A3D0D"/>
    <w:rsid w:val="002A51B2"/>
    <w:rsid w:val="002A662D"/>
    <w:rsid w:val="002A684E"/>
    <w:rsid w:val="002A7420"/>
    <w:rsid w:val="002B0F12"/>
    <w:rsid w:val="002B1308"/>
    <w:rsid w:val="002B2F68"/>
    <w:rsid w:val="002B3A7A"/>
    <w:rsid w:val="002B4554"/>
    <w:rsid w:val="002B70C7"/>
    <w:rsid w:val="002B7569"/>
    <w:rsid w:val="002C038D"/>
    <w:rsid w:val="002C1C7D"/>
    <w:rsid w:val="002C333D"/>
    <w:rsid w:val="002C38DD"/>
    <w:rsid w:val="002C6480"/>
    <w:rsid w:val="002C72D8"/>
    <w:rsid w:val="002C77CF"/>
    <w:rsid w:val="002D10E9"/>
    <w:rsid w:val="002D11FA"/>
    <w:rsid w:val="002D3372"/>
    <w:rsid w:val="002D494A"/>
    <w:rsid w:val="002D7B7E"/>
    <w:rsid w:val="002E0C57"/>
    <w:rsid w:val="002E0DDF"/>
    <w:rsid w:val="002E179C"/>
    <w:rsid w:val="002E2906"/>
    <w:rsid w:val="002E4B5A"/>
    <w:rsid w:val="002E4B6B"/>
    <w:rsid w:val="002E5635"/>
    <w:rsid w:val="002E64C3"/>
    <w:rsid w:val="002E6A2C"/>
    <w:rsid w:val="002F167B"/>
    <w:rsid w:val="002F1D8C"/>
    <w:rsid w:val="002F21DA"/>
    <w:rsid w:val="002F3C2C"/>
    <w:rsid w:val="00300D3F"/>
    <w:rsid w:val="00301F39"/>
    <w:rsid w:val="003026D7"/>
    <w:rsid w:val="0030334D"/>
    <w:rsid w:val="003100F1"/>
    <w:rsid w:val="003115F9"/>
    <w:rsid w:val="00311A6D"/>
    <w:rsid w:val="00312090"/>
    <w:rsid w:val="00313C7A"/>
    <w:rsid w:val="0031570B"/>
    <w:rsid w:val="00315CD9"/>
    <w:rsid w:val="0031700D"/>
    <w:rsid w:val="00321192"/>
    <w:rsid w:val="00325926"/>
    <w:rsid w:val="00325DF6"/>
    <w:rsid w:val="00327A8A"/>
    <w:rsid w:val="0033126C"/>
    <w:rsid w:val="0033524A"/>
    <w:rsid w:val="00336002"/>
    <w:rsid w:val="00336610"/>
    <w:rsid w:val="003409C3"/>
    <w:rsid w:val="0034348A"/>
    <w:rsid w:val="00343F73"/>
    <w:rsid w:val="003445E6"/>
    <w:rsid w:val="00345060"/>
    <w:rsid w:val="003504CD"/>
    <w:rsid w:val="0035323B"/>
    <w:rsid w:val="00356E76"/>
    <w:rsid w:val="00357846"/>
    <w:rsid w:val="003609D2"/>
    <w:rsid w:val="00360CD8"/>
    <w:rsid w:val="00361871"/>
    <w:rsid w:val="00363F22"/>
    <w:rsid w:val="00364601"/>
    <w:rsid w:val="00364C60"/>
    <w:rsid w:val="00365D54"/>
    <w:rsid w:val="00371245"/>
    <w:rsid w:val="003732DF"/>
    <w:rsid w:val="003746B9"/>
    <w:rsid w:val="00375564"/>
    <w:rsid w:val="00376AD4"/>
    <w:rsid w:val="00376CEC"/>
    <w:rsid w:val="00377EC1"/>
    <w:rsid w:val="00381A8F"/>
    <w:rsid w:val="00382016"/>
    <w:rsid w:val="00382CED"/>
    <w:rsid w:val="00383191"/>
    <w:rsid w:val="003853DE"/>
    <w:rsid w:val="00385439"/>
    <w:rsid w:val="003858AF"/>
    <w:rsid w:val="00386DED"/>
    <w:rsid w:val="003908EA"/>
    <w:rsid w:val="003912E7"/>
    <w:rsid w:val="00392381"/>
    <w:rsid w:val="00393947"/>
    <w:rsid w:val="00393F34"/>
    <w:rsid w:val="00394EEA"/>
    <w:rsid w:val="00394FB9"/>
    <w:rsid w:val="003A0FFE"/>
    <w:rsid w:val="003A2275"/>
    <w:rsid w:val="003A4648"/>
    <w:rsid w:val="003A6A4F"/>
    <w:rsid w:val="003A6E43"/>
    <w:rsid w:val="003A7088"/>
    <w:rsid w:val="003B00DF"/>
    <w:rsid w:val="003B04A6"/>
    <w:rsid w:val="003B1275"/>
    <w:rsid w:val="003B1778"/>
    <w:rsid w:val="003B64B8"/>
    <w:rsid w:val="003C11CB"/>
    <w:rsid w:val="003C27CA"/>
    <w:rsid w:val="003C4587"/>
    <w:rsid w:val="003C4D6F"/>
    <w:rsid w:val="003C6C18"/>
    <w:rsid w:val="003C75F3"/>
    <w:rsid w:val="003C78A3"/>
    <w:rsid w:val="003D046C"/>
    <w:rsid w:val="003D20CA"/>
    <w:rsid w:val="003D52F4"/>
    <w:rsid w:val="003D726F"/>
    <w:rsid w:val="003E1867"/>
    <w:rsid w:val="003E5178"/>
    <w:rsid w:val="003E5729"/>
    <w:rsid w:val="003F2732"/>
    <w:rsid w:val="003F321F"/>
    <w:rsid w:val="003F381B"/>
    <w:rsid w:val="003F3FBD"/>
    <w:rsid w:val="003F4EE0"/>
    <w:rsid w:val="003F5E16"/>
    <w:rsid w:val="003F78A3"/>
    <w:rsid w:val="00402153"/>
    <w:rsid w:val="00402FC1"/>
    <w:rsid w:val="00405656"/>
    <w:rsid w:val="0040776A"/>
    <w:rsid w:val="0041387E"/>
    <w:rsid w:val="00413B0B"/>
    <w:rsid w:val="0041721B"/>
    <w:rsid w:val="004210EE"/>
    <w:rsid w:val="00425082"/>
    <w:rsid w:val="0042608A"/>
    <w:rsid w:val="00431DEB"/>
    <w:rsid w:val="0043280D"/>
    <w:rsid w:val="00437C3C"/>
    <w:rsid w:val="0044033B"/>
    <w:rsid w:val="00444EA5"/>
    <w:rsid w:val="00446B29"/>
    <w:rsid w:val="00446DDD"/>
    <w:rsid w:val="004512BD"/>
    <w:rsid w:val="0045395B"/>
    <w:rsid w:val="00453F9A"/>
    <w:rsid w:val="004554AC"/>
    <w:rsid w:val="0045783A"/>
    <w:rsid w:val="00460BA7"/>
    <w:rsid w:val="004614F3"/>
    <w:rsid w:val="00462CF5"/>
    <w:rsid w:val="00464717"/>
    <w:rsid w:val="00464FDE"/>
    <w:rsid w:val="00465768"/>
    <w:rsid w:val="00466B5B"/>
    <w:rsid w:val="00471E91"/>
    <w:rsid w:val="0047316C"/>
    <w:rsid w:val="00474675"/>
    <w:rsid w:val="0047470C"/>
    <w:rsid w:val="00474819"/>
    <w:rsid w:val="004751C2"/>
    <w:rsid w:val="00475A39"/>
    <w:rsid w:val="00480258"/>
    <w:rsid w:val="00481D98"/>
    <w:rsid w:val="00483CD7"/>
    <w:rsid w:val="00485E88"/>
    <w:rsid w:val="00491616"/>
    <w:rsid w:val="004934F5"/>
    <w:rsid w:val="004936C2"/>
    <w:rsid w:val="00495370"/>
    <w:rsid w:val="00497517"/>
    <w:rsid w:val="004A0532"/>
    <w:rsid w:val="004A227C"/>
    <w:rsid w:val="004A25EA"/>
    <w:rsid w:val="004A35F9"/>
    <w:rsid w:val="004B24C1"/>
    <w:rsid w:val="004B47AB"/>
    <w:rsid w:val="004C04AB"/>
    <w:rsid w:val="004C292F"/>
    <w:rsid w:val="004C44B2"/>
    <w:rsid w:val="004D3AC9"/>
    <w:rsid w:val="004D6F07"/>
    <w:rsid w:val="004E400B"/>
    <w:rsid w:val="004E771B"/>
    <w:rsid w:val="004F2689"/>
    <w:rsid w:val="004F298A"/>
    <w:rsid w:val="004F7155"/>
    <w:rsid w:val="00501CF2"/>
    <w:rsid w:val="00506B16"/>
    <w:rsid w:val="00510280"/>
    <w:rsid w:val="00513961"/>
    <w:rsid w:val="00513D73"/>
    <w:rsid w:val="00514A43"/>
    <w:rsid w:val="005174E5"/>
    <w:rsid w:val="0052016F"/>
    <w:rsid w:val="005216B9"/>
    <w:rsid w:val="00522393"/>
    <w:rsid w:val="00522620"/>
    <w:rsid w:val="00523E6B"/>
    <w:rsid w:val="005245DE"/>
    <w:rsid w:val="00525434"/>
    <w:rsid w:val="00525656"/>
    <w:rsid w:val="00525BC6"/>
    <w:rsid w:val="005277CC"/>
    <w:rsid w:val="00527B5B"/>
    <w:rsid w:val="0053168D"/>
    <w:rsid w:val="00532B4D"/>
    <w:rsid w:val="00532EF9"/>
    <w:rsid w:val="00534C02"/>
    <w:rsid w:val="005359C7"/>
    <w:rsid w:val="0053711E"/>
    <w:rsid w:val="00540A34"/>
    <w:rsid w:val="0054264B"/>
    <w:rsid w:val="00543182"/>
    <w:rsid w:val="00543786"/>
    <w:rsid w:val="00544A12"/>
    <w:rsid w:val="00545D42"/>
    <w:rsid w:val="005460CB"/>
    <w:rsid w:val="00546349"/>
    <w:rsid w:val="005530B4"/>
    <w:rsid w:val="005533D7"/>
    <w:rsid w:val="005544CC"/>
    <w:rsid w:val="00557CCD"/>
    <w:rsid w:val="00565807"/>
    <w:rsid w:val="00566B2D"/>
    <w:rsid w:val="0056761D"/>
    <w:rsid w:val="005703DE"/>
    <w:rsid w:val="005719ED"/>
    <w:rsid w:val="00571C05"/>
    <w:rsid w:val="00572F73"/>
    <w:rsid w:val="00572F80"/>
    <w:rsid w:val="00581739"/>
    <w:rsid w:val="00581F76"/>
    <w:rsid w:val="005829EC"/>
    <w:rsid w:val="0058464E"/>
    <w:rsid w:val="00587CAF"/>
    <w:rsid w:val="00592E9F"/>
    <w:rsid w:val="005966DB"/>
    <w:rsid w:val="005A01CB"/>
    <w:rsid w:val="005A28C4"/>
    <w:rsid w:val="005A58FF"/>
    <w:rsid w:val="005A5EAF"/>
    <w:rsid w:val="005A64C0"/>
    <w:rsid w:val="005A7998"/>
    <w:rsid w:val="005B0D20"/>
    <w:rsid w:val="005B121D"/>
    <w:rsid w:val="005B3C11"/>
    <w:rsid w:val="005B3D66"/>
    <w:rsid w:val="005B412D"/>
    <w:rsid w:val="005B4C6E"/>
    <w:rsid w:val="005B5849"/>
    <w:rsid w:val="005B643F"/>
    <w:rsid w:val="005C1C28"/>
    <w:rsid w:val="005C6DB5"/>
    <w:rsid w:val="005D3947"/>
    <w:rsid w:val="005E01D5"/>
    <w:rsid w:val="005E0B5B"/>
    <w:rsid w:val="005E19E7"/>
    <w:rsid w:val="005E3703"/>
    <w:rsid w:val="005E61C4"/>
    <w:rsid w:val="005E7FD0"/>
    <w:rsid w:val="005F05B0"/>
    <w:rsid w:val="005F3866"/>
    <w:rsid w:val="005F3D75"/>
    <w:rsid w:val="005F4202"/>
    <w:rsid w:val="005F421E"/>
    <w:rsid w:val="005F4BB6"/>
    <w:rsid w:val="005F5A71"/>
    <w:rsid w:val="006028B2"/>
    <w:rsid w:val="0060386B"/>
    <w:rsid w:val="00603BA9"/>
    <w:rsid w:val="00605872"/>
    <w:rsid w:val="0060656B"/>
    <w:rsid w:val="0060791E"/>
    <w:rsid w:val="00610679"/>
    <w:rsid w:val="00614561"/>
    <w:rsid w:val="0061716C"/>
    <w:rsid w:val="006201CC"/>
    <w:rsid w:val="00622E1D"/>
    <w:rsid w:val="006243A1"/>
    <w:rsid w:val="00624688"/>
    <w:rsid w:val="006269A4"/>
    <w:rsid w:val="00626E12"/>
    <w:rsid w:val="00630928"/>
    <w:rsid w:val="00632731"/>
    <w:rsid w:val="00632E56"/>
    <w:rsid w:val="00633A99"/>
    <w:rsid w:val="00633D7F"/>
    <w:rsid w:val="006343F6"/>
    <w:rsid w:val="00635CBA"/>
    <w:rsid w:val="006416A7"/>
    <w:rsid w:val="00641ABD"/>
    <w:rsid w:val="00641C1C"/>
    <w:rsid w:val="006427CC"/>
    <w:rsid w:val="00642922"/>
    <w:rsid w:val="0064338B"/>
    <w:rsid w:val="006458E4"/>
    <w:rsid w:val="00646542"/>
    <w:rsid w:val="00646BDA"/>
    <w:rsid w:val="00647E3A"/>
    <w:rsid w:val="006504F4"/>
    <w:rsid w:val="006535B0"/>
    <w:rsid w:val="006542CA"/>
    <w:rsid w:val="0065493F"/>
    <w:rsid w:val="00654BC9"/>
    <w:rsid w:val="006552FD"/>
    <w:rsid w:val="00656BE1"/>
    <w:rsid w:val="00660415"/>
    <w:rsid w:val="006606E1"/>
    <w:rsid w:val="0066262F"/>
    <w:rsid w:val="00663AF3"/>
    <w:rsid w:val="00666B6C"/>
    <w:rsid w:val="00667056"/>
    <w:rsid w:val="00670B1F"/>
    <w:rsid w:val="00670E07"/>
    <w:rsid w:val="0067135C"/>
    <w:rsid w:val="0067237B"/>
    <w:rsid w:val="0067332E"/>
    <w:rsid w:val="00677644"/>
    <w:rsid w:val="006800D0"/>
    <w:rsid w:val="00682682"/>
    <w:rsid w:val="00682702"/>
    <w:rsid w:val="00684EB5"/>
    <w:rsid w:val="0068529E"/>
    <w:rsid w:val="0069194A"/>
    <w:rsid w:val="00692368"/>
    <w:rsid w:val="006A08F1"/>
    <w:rsid w:val="006A105A"/>
    <w:rsid w:val="006A1AA9"/>
    <w:rsid w:val="006A1F39"/>
    <w:rsid w:val="006A2137"/>
    <w:rsid w:val="006A2EBC"/>
    <w:rsid w:val="006A3CCD"/>
    <w:rsid w:val="006A5EA0"/>
    <w:rsid w:val="006A783B"/>
    <w:rsid w:val="006A7B33"/>
    <w:rsid w:val="006B0E96"/>
    <w:rsid w:val="006B298E"/>
    <w:rsid w:val="006B4E13"/>
    <w:rsid w:val="006B75DD"/>
    <w:rsid w:val="006C4F07"/>
    <w:rsid w:val="006C6357"/>
    <w:rsid w:val="006C67E0"/>
    <w:rsid w:val="006C76FA"/>
    <w:rsid w:val="006C7ABA"/>
    <w:rsid w:val="006D08C5"/>
    <w:rsid w:val="006D0D60"/>
    <w:rsid w:val="006D1122"/>
    <w:rsid w:val="006D3C00"/>
    <w:rsid w:val="006D56E5"/>
    <w:rsid w:val="006E0FF2"/>
    <w:rsid w:val="006E1BBB"/>
    <w:rsid w:val="006E2C78"/>
    <w:rsid w:val="006E3675"/>
    <w:rsid w:val="006E4A7F"/>
    <w:rsid w:val="006E694D"/>
    <w:rsid w:val="006E7936"/>
    <w:rsid w:val="006F07B3"/>
    <w:rsid w:val="006F12F3"/>
    <w:rsid w:val="006F7493"/>
    <w:rsid w:val="00700962"/>
    <w:rsid w:val="007034FA"/>
    <w:rsid w:val="007039C1"/>
    <w:rsid w:val="00704DF6"/>
    <w:rsid w:val="0070502D"/>
    <w:rsid w:val="0070651C"/>
    <w:rsid w:val="007132A3"/>
    <w:rsid w:val="00716421"/>
    <w:rsid w:val="007205C8"/>
    <w:rsid w:val="00724EFB"/>
    <w:rsid w:val="0073234A"/>
    <w:rsid w:val="007419C3"/>
    <w:rsid w:val="00742448"/>
    <w:rsid w:val="00743F64"/>
    <w:rsid w:val="00746099"/>
    <w:rsid w:val="007467A7"/>
    <w:rsid w:val="007469DD"/>
    <w:rsid w:val="00746A90"/>
    <w:rsid w:val="0074741B"/>
    <w:rsid w:val="0074759E"/>
    <w:rsid w:val="007476A0"/>
    <w:rsid w:val="007478EA"/>
    <w:rsid w:val="00751AEB"/>
    <w:rsid w:val="00752A14"/>
    <w:rsid w:val="007531B7"/>
    <w:rsid w:val="0075415C"/>
    <w:rsid w:val="00754E4F"/>
    <w:rsid w:val="0075501A"/>
    <w:rsid w:val="007552ED"/>
    <w:rsid w:val="00755391"/>
    <w:rsid w:val="00755D01"/>
    <w:rsid w:val="00757D91"/>
    <w:rsid w:val="0076045F"/>
    <w:rsid w:val="00763502"/>
    <w:rsid w:val="007652EC"/>
    <w:rsid w:val="00765601"/>
    <w:rsid w:val="00773E10"/>
    <w:rsid w:val="007750D7"/>
    <w:rsid w:val="00775B01"/>
    <w:rsid w:val="0077671D"/>
    <w:rsid w:val="007834D3"/>
    <w:rsid w:val="00784168"/>
    <w:rsid w:val="00785BF7"/>
    <w:rsid w:val="00790245"/>
    <w:rsid w:val="00790CAC"/>
    <w:rsid w:val="007913AB"/>
    <w:rsid w:val="007914F7"/>
    <w:rsid w:val="00791E75"/>
    <w:rsid w:val="00797D37"/>
    <w:rsid w:val="007B04AE"/>
    <w:rsid w:val="007B13ED"/>
    <w:rsid w:val="007B1625"/>
    <w:rsid w:val="007B1819"/>
    <w:rsid w:val="007B27F0"/>
    <w:rsid w:val="007B6625"/>
    <w:rsid w:val="007B6897"/>
    <w:rsid w:val="007B706E"/>
    <w:rsid w:val="007B71EB"/>
    <w:rsid w:val="007C1C83"/>
    <w:rsid w:val="007C3154"/>
    <w:rsid w:val="007C6205"/>
    <w:rsid w:val="007C686A"/>
    <w:rsid w:val="007C728E"/>
    <w:rsid w:val="007D08AA"/>
    <w:rsid w:val="007D1813"/>
    <w:rsid w:val="007D2C53"/>
    <w:rsid w:val="007D3D60"/>
    <w:rsid w:val="007D7123"/>
    <w:rsid w:val="007D74C2"/>
    <w:rsid w:val="007E1980"/>
    <w:rsid w:val="007E1FCA"/>
    <w:rsid w:val="007E4B76"/>
    <w:rsid w:val="007E5EA8"/>
    <w:rsid w:val="007F0CF1"/>
    <w:rsid w:val="007F12A5"/>
    <w:rsid w:val="007F3B20"/>
    <w:rsid w:val="007F4ACA"/>
    <w:rsid w:val="007F4CF1"/>
    <w:rsid w:val="007F664B"/>
    <w:rsid w:val="007F7081"/>
    <w:rsid w:val="007F758D"/>
    <w:rsid w:val="007F7D52"/>
    <w:rsid w:val="00800FDE"/>
    <w:rsid w:val="00801C40"/>
    <w:rsid w:val="008025DB"/>
    <w:rsid w:val="00802BD8"/>
    <w:rsid w:val="0080654C"/>
    <w:rsid w:val="0080716F"/>
    <w:rsid w:val="008071C6"/>
    <w:rsid w:val="0081039F"/>
    <w:rsid w:val="00810754"/>
    <w:rsid w:val="00813D58"/>
    <w:rsid w:val="00815239"/>
    <w:rsid w:val="00817A00"/>
    <w:rsid w:val="0082211A"/>
    <w:rsid w:val="0082550B"/>
    <w:rsid w:val="00825B3A"/>
    <w:rsid w:val="00834662"/>
    <w:rsid w:val="00835DB3"/>
    <w:rsid w:val="0083617B"/>
    <w:rsid w:val="008371BD"/>
    <w:rsid w:val="0084077E"/>
    <w:rsid w:val="00845FCA"/>
    <w:rsid w:val="0085045B"/>
    <w:rsid w:val="008504A8"/>
    <w:rsid w:val="00851151"/>
    <w:rsid w:val="00851EE7"/>
    <w:rsid w:val="0085282E"/>
    <w:rsid w:val="00854773"/>
    <w:rsid w:val="00861E5A"/>
    <w:rsid w:val="00864080"/>
    <w:rsid w:val="00865486"/>
    <w:rsid w:val="008654A0"/>
    <w:rsid w:val="00870D70"/>
    <w:rsid w:val="0087198C"/>
    <w:rsid w:val="00872C1F"/>
    <w:rsid w:val="00873B42"/>
    <w:rsid w:val="008745E7"/>
    <w:rsid w:val="00875611"/>
    <w:rsid w:val="00875EE9"/>
    <w:rsid w:val="00882788"/>
    <w:rsid w:val="00882CAB"/>
    <w:rsid w:val="008856D8"/>
    <w:rsid w:val="00885949"/>
    <w:rsid w:val="00891C75"/>
    <w:rsid w:val="00892E82"/>
    <w:rsid w:val="0089564F"/>
    <w:rsid w:val="008A0A01"/>
    <w:rsid w:val="008A1233"/>
    <w:rsid w:val="008A15A9"/>
    <w:rsid w:val="008A375C"/>
    <w:rsid w:val="008A614D"/>
    <w:rsid w:val="008A7BC4"/>
    <w:rsid w:val="008B49D2"/>
    <w:rsid w:val="008C0E5E"/>
    <w:rsid w:val="008C142E"/>
    <w:rsid w:val="008C1B58"/>
    <w:rsid w:val="008C39AE"/>
    <w:rsid w:val="008C444F"/>
    <w:rsid w:val="008C590D"/>
    <w:rsid w:val="008C67B6"/>
    <w:rsid w:val="008C7D7D"/>
    <w:rsid w:val="008D15C2"/>
    <w:rsid w:val="008D180E"/>
    <w:rsid w:val="008D18BB"/>
    <w:rsid w:val="008D3148"/>
    <w:rsid w:val="008D6067"/>
    <w:rsid w:val="008D6C17"/>
    <w:rsid w:val="008E031B"/>
    <w:rsid w:val="008E3FE7"/>
    <w:rsid w:val="008E4699"/>
    <w:rsid w:val="008E526F"/>
    <w:rsid w:val="008E7029"/>
    <w:rsid w:val="008E7833"/>
    <w:rsid w:val="008E7B1E"/>
    <w:rsid w:val="008E7EF6"/>
    <w:rsid w:val="008F1383"/>
    <w:rsid w:val="008F1F98"/>
    <w:rsid w:val="008F3FA0"/>
    <w:rsid w:val="008F6758"/>
    <w:rsid w:val="009018AE"/>
    <w:rsid w:val="009040DD"/>
    <w:rsid w:val="00904518"/>
    <w:rsid w:val="00905416"/>
    <w:rsid w:val="00905B47"/>
    <w:rsid w:val="009063F5"/>
    <w:rsid w:val="00907D6A"/>
    <w:rsid w:val="00912870"/>
    <w:rsid w:val="0091331C"/>
    <w:rsid w:val="009275D0"/>
    <w:rsid w:val="009279DE"/>
    <w:rsid w:val="00930116"/>
    <w:rsid w:val="0093258D"/>
    <w:rsid w:val="00936C64"/>
    <w:rsid w:val="00941835"/>
    <w:rsid w:val="00941F3B"/>
    <w:rsid w:val="0094212C"/>
    <w:rsid w:val="009441E8"/>
    <w:rsid w:val="00947E20"/>
    <w:rsid w:val="00950344"/>
    <w:rsid w:val="00951247"/>
    <w:rsid w:val="00954097"/>
    <w:rsid w:val="00954689"/>
    <w:rsid w:val="00956563"/>
    <w:rsid w:val="009617C9"/>
    <w:rsid w:val="00961C93"/>
    <w:rsid w:val="0096201E"/>
    <w:rsid w:val="0096213D"/>
    <w:rsid w:val="009622E4"/>
    <w:rsid w:val="00962FE0"/>
    <w:rsid w:val="00965156"/>
    <w:rsid w:val="00965324"/>
    <w:rsid w:val="009664DF"/>
    <w:rsid w:val="0097091E"/>
    <w:rsid w:val="009710C5"/>
    <w:rsid w:val="00971581"/>
    <w:rsid w:val="00971C3D"/>
    <w:rsid w:val="00972F3A"/>
    <w:rsid w:val="009732B3"/>
    <w:rsid w:val="00975539"/>
    <w:rsid w:val="009760D3"/>
    <w:rsid w:val="00976172"/>
    <w:rsid w:val="00977132"/>
    <w:rsid w:val="00980737"/>
    <w:rsid w:val="00981A4B"/>
    <w:rsid w:val="00981D7C"/>
    <w:rsid w:val="00982501"/>
    <w:rsid w:val="00987603"/>
    <w:rsid w:val="009877D3"/>
    <w:rsid w:val="00990150"/>
    <w:rsid w:val="00994E8F"/>
    <w:rsid w:val="009951DC"/>
    <w:rsid w:val="009959BB"/>
    <w:rsid w:val="00996062"/>
    <w:rsid w:val="00997158"/>
    <w:rsid w:val="009A2533"/>
    <w:rsid w:val="009A25F7"/>
    <w:rsid w:val="009A3283"/>
    <w:rsid w:val="009A3A7C"/>
    <w:rsid w:val="009A3D36"/>
    <w:rsid w:val="009A5AA9"/>
    <w:rsid w:val="009B27FF"/>
    <w:rsid w:val="009B2ADB"/>
    <w:rsid w:val="009B2E53"/>
    <w:rsid w:val="009B603A"/>
    <w:rsid w:val="009C09D2"/>
    <w:rsid w:val="009C2D0E"/>
    <w:rsid w:val="009C3DAC"/>
    <w:rsid w:val="009C42E0"/>
    <w:rsid w:val="009C4E57"/>
    <w:rsid w:val="009D04F7"/>
    <w:rsid w:val="009D4F66"/>
    <w:rsid w:val="009D5362"/>
    <w:rsid w:val="009D5ED9"/>
    <w:rsid w:val="009D6821"/>
    <w:rsid w:val="009D7962"/>
    <w:rsid w:val="009E0C4D"/>
    <w:rsid w:val="009E1415"/>
    <w:rsid w:val="009E17B1"/>
    <w:rsid w:val="009E5E75"/>
    <w:rsid w:val="009E6116"/>
    <w:rsid w:val="009F4660"/>
    <w:rsid w:val="009F7E79"/>
    <w:rsid w:val="00A02E43"/>
    <w:rsid w:val="00A04972"/>
    <w:rsid w:val="00A065F9"/>
    <w:rsid w:val="00A07F34"/>
    <w:rsid w:val="00A144C4"/>
    <w:rsid w:val="00A1744A"/>
    <w:rsid w:val="00A2048C"/>
    <w:rsid w:val="00A21A07"/>
    <w:rsid w:val="00A22154"/>
    <w:rsid w:val="00A25C38"/>
    <w:rsid w:val="00A26687"/>
    <w:rsid w:val="00A26CDD"/>
    <w:rsid w:val="00A31D89"/>
    <w:rsid w:val="00A330EE"/>
    <w:rsid w:val="00A34585"/>
    <w:rsid w:val="00A35247"/>
    <w:rsid w:val="00A36BBE"/>
    <w:rsid w:val="00A37006"/>
    <w:rsid w:val="00A41982"/>
    <w:rsid w:val="00A41FB9"/>
    <w:rsid w:val="00A421A1"/>
    <w:rsid w:val="00A4276D"/>
    <w:rsid w:val="00A4307A"/>
    <w:rsid w:val="00A43143"/>
    <w:rsid w:val="00A43278"/>
    <w:rsid w:val="00A43C01"/>
    <w:rsid w:val="00A43E1E"/>
    <w:rsid w:val="00A47EBB"/>
    <w:rsid w:val="00A51CDD"/>
    <w:rsid w:val="00A532A1"/>
    <w:rsid w:val="00A55266"/>
    <w:rsid w:val="00A61AC2"/>
    <w:rsid w:val="00A6447A"/>
    <w:rsid w:val="00A66A2A"/>
    <w:rsid w:val="00A6730D"/>
    <w:rsid w:val="00A71625"/>
    <w:rsid w:val="00A71B9B"/>
    <w:rsid w:val="00A725DA"/>
    <w:rsid w:val="00A751C7"/>
    <w:rsid w:val="00A76B8E"/>
    <w:rsid w:val="00A80D26"/>
    <w:rsid w:val="00A80FFA"/>
    <w:rsid w:val="00A833C2"/>
    <w:rsid w:val="00A84547"/>
    <w:rsid w:val="00A86686"/>
    <w:rsid w:val="00A86CD9"/>
    <w:rsid w:val="00A87844"/>
    <w:rsid w:val="00A909C5"/>
    <w:rsid w:val="00A93576"/>
    <w:rsid w:val="00A95CF9"/>
    <w:rsid w:val="00AA038C"/>
    <w:rsid w:val="00AA16E2"/>
    <w:rsid w:val="00AA452E"/>
    <w:rsid w:val="00AA7A09"/>
    <w:rsid w:val="00AB09F2"/>
    <w:rsid w:val="00AB0D49"/>
    <w:rsid w:val="00AB1462"/>
    <w:rsid w:val="00AB21FA"/>
    <w:rsid w:val="00AB243C"/>
    <w:rsid w:val="00AB3B50"/>
    <w:rsid w:val="00AB5410"/>
    <w:rsid w:val="00AB5786"/>
    <w:rsid w:val="00AC0084"/>
    <w:rsid w:val="00AC05B1"/>
    <w:rsid w:val="00AC211C"/>
    <w:rsid w:val="00AC79F9"/>
    <w:rsid w:val="00AD1034"/>
    <w:rsid w:val="00AD1368"/>
    <w:rsid w:val="00AD16C0"/>
    <w:rsid w:val="00AD1CD6"/>
    <w:rsid w:val="00AD356C"/>
    <w:rsid w:val="00AD4EC4"/>
    <w:rsid w:val="00AD57A3"/>
    <w:rsid w:val="00AD58B2"/>
    <w:rsid w:val="00AD785F"/>
    <w:rsid w:val="00AE253D"/>
    <w:rsid w:val="00AE2914"/>
    <w:rsid w:val="00AE569A"/>
    <w:rsid w:val="00AE591D"/>
    <w:rsid w:val="00AE6D15"/>
    <w:rsid w:val="00AF0EF2"/>
    <w:rsid w:val="00AF1FAB"/>
    <w:rsid w:val="00AF46B8"/>
    <w:rsid w:val="00AF5476"/>
    <w:rsid w:val="00AF6E24"/>
    <w:rsid w:val="00B04182"/>
    <w:rsid w:val="00B043F3"/>
    <w:rsid w:val="00B077D8"/>
    <w:rsid w:val="00B07AE3"/>
    <w:rsid w:val="00B07D23"/>
    <w:rsid w:val="00B100C6"/>
    <w:rsid w:val="00B11183"/>
    <w:rsid w:val="00B11430"/>
    <w:rsid w:val="00B16066"/>
    <w:rsid w:val="00B16174"/>
    <w:rsid w:val="00B17D38"/>
    <w:rsid w:val="00B26F2D"/>
    <w:rsid w:val="00B31C55"/>
    <w:rsid w:val="00B353EB"/>
    <w:rsid w:val="00B37000"/>
    <w:rsid w:val="00B37F23"/>
    <w:rsid w:val="00B439C4"/>
    <w:rsid w:val="00B43ABA"/>
    <w:rsid w:val="00B4535E"/>
    <w:rsid w:val="00B45731"/>
    <w:rsid w:val="00B473C0"/>
    <w:rsid w:val="00B4769D"/>
    <w:rsid w:val="00B51B86"/>
    <w:rsid w:val="00B52A8C"/>
    <w:rsid w:val="00B54C17"/>
    <w:rsid w:val="00B6288F"/>
    <w:rsid w:val="00B636A8"/>
    <w:rsid w:val="00B63ED0"/>
    <w:rsid w:val="00B665C6"/>
    <w:rsid w:val="00B72812"/>
    <w:rsid w:val="00B72828"/>
    <w:rsid w:val="00B757BB"/>
    <w:rsid w:val="00B766B9"/>
    <w:rsid w:val="00B805AF"/>
    <w:rsid w:val="00B809A2"/>
    <w:rsid w:val="00B867C6"/>
    <w:rsid w:val="00B869EC"/>
    <w:rsid w:val="00B87A75"/>
    <w:rsid w:val="00B92BCA"/>
    <w:rsid w:val="00B93837"/>
    <w:rsid w:val="00B9397A"/>
    <w:rsid w:val="00B944E4"/>
    <w:rsid w:val="00B9485A"/>
    <w:rsid w:val="00B9633D"/>
    <w:rsid w:val="00B97B10"/>
    <w:rsid w:val="00BA0A45"/>
    <w:rsid w:val="00BA2EBE"/>
    <w:rsid w:val="00BA5272"/>
    <w:rsid w:val="00BA6380"/>
    <w:rsid w:val="00BB0F28"/>
    <w:rsid w:val="00BB40F0"/>
    <w:rsid w:val="00BB458A"/>
    <w:rsid w:val="00BB4871"/>
    <w:rsid w:val="00BC01EA"/>
    <w:rsid w:val="00BC0CB9"/>
    <w:rsid w:val="00BC15B9"/>
    <w:rsid w:val="00BC6FE3"/>
    <w:rsid w:val="00BD00D3"/>
    <w:rsid w:val="00BD1659"/>
    <w:rsid w:val="00BD3AA9"/>
    <w:rsid w:val="00BD4A18"/>
    <w:rsid w:val="00BD4F7D"/>
    <w:rsid w:val="00BD5B61"/>
    <w:rsid w:val="00BD6DB2"/>
    <w:rsid w:val="00BD7747"/>
    <w:rsid w:val="00BE0578"/>
    <w:rsid w:val="00BE11CF"/>
    <w:rsid w:val="00BE21AB"/>
    <w:rsid w:val="00BE3D69"/>
    <w:rsid w:val="00BE4383"/>
    <w:rsid w:val="00BE55CB"/>
    <w:rsid w:val="00BE6A03"/>
    <w:rsid w:val="00BF32EA"/>
    <w:rsid w:val="00BF617A"/>
    <w:rsid w:val="00BF623F"/>
    <w:rsid w:val="00BF647D"/>
    <w:rsid w:val="00C0379D"/>
    <w:rsid w:val="00C03931"/>
    <w:rsid w:val="00C05FE3"/>
    <w:rsid w:val="00C0723E"/>
    <w:rsid w:val="00C105AF"/>
    <w:rsid w:val="00C11173"/>
    <w:rsid w:val="00C123BA"/>
    <w:rsid w:val="00C124BD"/>
    <w:rsid w:val="00C1304F"/>
    <w:rsid w:val="00C145E8"/>
    <w:rsid w:val="00C15EE0"/>
    <w:rsid w:val="00C16098"/>
    <w:rsid w:val="00C16E61"/>
    <w:rsid w:val="00C20398"/>
    <w:rsid w:val="00C20830"/>
    <w:rsid w:val="00C2136D"/>
    <w:rsid w:val="00C214EE"/>
    <w:rsid w:val="00C21BAD"/>
    <w:rsid w:val="00C2314B"/>
    <w:rsid w:val="00C24971"/>
    <w:rsid w:val="00C25B1A"/>
    <w:rsid w:val="00C2607B"/>
    <w:rsid w:val="00C26BE5"/>
    <w:rsid w:val="00C26E4D"/>
    <w:rsid w:val="00C27036"/>
    <w:rsid w:val="00C277EF"/>
    <w:rsid w:val="00C27909"/>
    <w:rsid w:val="00C27B03"/>
    <w:rsid w:val="00C30E7B"/>
    <w:rsid w:val="00C314E1"/>
    <w:rsid w:val="00C34397"/>
    <w:rsid w:val="00C34E32"/>
    <w:rsid w:val="00C360F1"/>
    <w:rsid w:val="00C4095D"/>
    <w:rsid w:val="00C4159C"/>
    <w:rsid w:val="00C4637F"/>
    <w:rsid w:val="00C46724"/>
    <w:rsid w:val="00C5253F"/>
    <w:rsid w:val="00C5365E"/>
    <w:rsid w:val="00C53C2F"/>
    <w:rsid w:val="00C5401A"/>
    <w:rsid w:val="00C56975"/>
    <w:rsid w:val="00C601D2"/>
    <w:rsid w:val="00C61055"/>
    <w:rsid w:val="00C64215"/>
    <w:rsid w:val="00C643E1"/>
    <w:rsid w:val="00C65446"/>
    <w:rsid w:val="00C657AB"/>
    <w:rsid w:val="00C65BCC"/>
    <w:rsid w:val="00C66970"/>
    <w:rsid w:val="00C671D5"/>
    <w:rsid w:val="00C70AEE"/>
    <w:rsid w:val="00C70F0C"/>
    <w:rsid w:val="00C7730E"/>
    <w:rsid w:val="00C83EB2"/>
    <w:rsid w:val="00C8691C"/>
    <w:rsid w:val="00C87CFF"/>
    <w:rsid w:val="00C95647"/>
    <w:rsid w:val="00C971E1"/>
    <w:rsid w:val="00CA168A"/>
    <w:rsid w:val="00CA1E71"/>
    <w:rsid w:val="00CA357E"/>
    <w:rsid w:val="00CA44F9"/>
    <w:rsid w:val="00CA453F"/>
    <w:rsid w:val="00CA4A69"/>
    <w:rsid w:val="00CA78D4"/>
    <w:rsid w:val="00CB1602"/>
    <w:rsid w:val="00CB2D31"/>
    <w:rsid w:val="00CB45C0"/>
    <w:rsid w:val="00CB4EA0"/>
    <w:rsid w:val="00CB5CAF"/>
    <w:rsid w:val="00CB5D94"/>
    <w:rsid w:val="00CB6C4C"/>
    <w:rsid w:val="00CC3E0C"/>
    <w:rsid w:val="00CC4B6A"/>
    <w:rsid w:val="00CC58D3"/>
    <w:rsid w:val="00CC784D"/>
    <w:rsid w:val="00CD59E5"/>
    <w:rsid w:val="00CD607A"/>
    <w:rsid w:val="00CE0E61"/>
    <w:rsid w:val="00CE262C"/>
    <w:rsid w:val="00CE31C8"/>
    <w:rsid w:val="00CE3E36"/>
    <w:rsid w:val="00CF1BE9"/>
    <w:rsid w:val="00CF24A4"/>
    <w:rsid w:val="00CF411B"/>
    <w:rsid w:val="00CF4336"/>
    <w:rsid w:val="00CF499E"/>
    <w:rsid w:val="00CF6613"/>
    <w:rsid w:val="00D01768"/>
    <w:rsid w:val="00D01A9A"/>
    <w:rsid w:val="00D0337B"/>
    <w:rsid w:val="00D03477"/>
    <w:rsid w:val="00D079B2"/>
    <w:rsid w:val="00D10F16"/>
    <w:rsid w:val="00D114E9"/>
    <w:rsid w:val="00D1485D"/>
    <w:rsid w:val="00D14B28"/>
    <w:rsid w:val="00D150C0"/>
    <w:rsid w:val="00D15A04"/>
    <w:rsid w:val="00D1676D"/>
    <w:rsid w:val="00D22C7C"/>
    <w:rsid w:val="00D23103"/>
    <w:rsid w:val="00D25DDB"/>
    <w:rsid w:val="00D25EE7"/>
    <w:rsid w:val="00D30949"/>
    <w:rsid w:val="00D34406"/>
    <w:rsid w:val="00D34960"/>
    <w:rsid w:val="00D368B0"/>
    <w:rsid w:val="00D403E2"/>
    <w:rsid w:val="00D4221D"/>
    <w:rsid w:val="00D429C6"/>
    <w:rsid w:val="00D4356C"/>
    <w:rsid w:val="00D4687F"/>
    <w:rsid w:val="00D468AA"/>
    <w:rsid w:val="00D47748"/>
    <w:rsid w:val="00D518DD"/>
    <w:rsid w:val="00D5408D"/>
    <w:rsid w:val="00D54CC3"/>
    <w:rsid w:val="00D6041A"/>
    <w:rsid w:val="00D61C64"/>
    <w:rsid w:val="00D633EB"/>
    <w:rsid w:val="00D641DC"/>
    <w:rsid w:val="00D648A0"/>
    <w:rsid w:val="00D716EF"/>
    <w:rsid w:val="00D7296F"/>
    <w:rsid w:val="00D81519"/>
    <w:rsid w:val="00D82FF7"/>
    <w:rsid w:val="00D847FE"/>
    <w:rsid w:val="00D878B7"/>
    <w:rsid w:val="00D94312"/>
    <w:rsid w:val="00D964EA"/>
    <w:rsid w:val="00D966D0"/>
    <w:rsid w:val="00DA04D1"/>
    <w:rsid w:val="00DA0C59"/>
    <w:rsid w:val="00DA1C14"/>
    <w:rsid w:val="00DA3949"/>
    <w:rsid w:val="00DA3991"/>
    <w:rsid w:val="00DB7E6C"/>
    <w:rsid w:val="00DC2D1C"/>
    <w:rsid w:val="00DC4478"/>
    <w:rsid w:val="00DC4C5B"/>
    <w:rsid w:val="00DC56B6"/>
    <w:rsid w:val="00DC6BCD"/>
    <w:rsid w:val="00DD08BB"/>
    <w:rsid w:val="00DD5A29"/>
    <w:rsid w:val="00DD5D9D"/>
    <w:rsid w:val="00DE3494"/>
    <w:rsid w:val="00DE35CB"/>
    <w:rsid w:val="00DE4D93"/>
    <w:rsid w:val="00DE5CBA"/>
    <w:rsid w:val="00DE5EDA"/>
    <w:rsid w:val="00DF12CB"/>
    <w:rsid w:val="00DF21E9"/>
    <w:rsid w:val="00DF57B9"/>
    <w:rsid w:val="00E0084A"/>
    <w:rsid w:val="00E00F14"/>
    <w:rsid w:val="00E01C36"/>
    <w:rsid w:val="00E04D59"/>
    <w:rsid w:val="00E05E74"/>
    <w:rsid w:val="00E06386"/>
    <w:rsid w:val="00E06B96"/>
    <w:rsid w:val="00E10964"/>
    <w:rsid w:val="00E21A42"/>
    <w:rsid w:val="00E2359E"/>
    <w:rsid w:val="00E24EB4"/>
    <w:rsid w:val="00E2593A"/>
    <w:rsid w:val="00E27645"/>
    <w:rsid w:val="00E31F9B"/>
    <w:rsid w:val="00E320ED"/>
    <w:rsid w:val="00E32AD1"/>
    <w:rsid w:val="00E33AFB"/>
    <w:rsid w:val="00E34218"/>
    <w:rsid w:val="00E35866"/>
    <w:rsid w:val="00E372D6"/>
    <w:rsid w:val="00E40CC5"/>
    <w:rsid w:val="00E41CD5"/>
    <w:rsid w:val="00E41F46"/>
    <w:rsid w:val="00E44854"/>
    <w:rsid w:val="00E46282"/>
    <w:rsid w:val="00E50659"/>
    <w:rsid w:val="00E5216E"/>
    <w:rsid w:val="00E56273"/>
    <w:rsid w:val="00E63F3B"/>
    <w:rsid w:val="00E649C3"/>
    <w:rsid w:val="00E64A98"/>
    <w:rsid w:val="00E64CE7"/>
    <w:rsid w:val="00E65190"/>
    <w:rsid w:val="00E65363"/>
    <w:rsid w:val="00E6697E"/>
    <w:rsid w:val="00E66FDA"/>
    <w:rsid w:val="00E741D5"/>
    <w:rsid w:val="00E74525"/>
    <w:rsid w:val="00E77F1E"/>
    <w:rsid w:val="00E81611"/>
    <w:rsid w:val="00E820F0"/>
    <w:rsid w:val="00E82344"/>
    <w:rsid w:val="00E84110"/>
    <w:rsid w:val="00E84AFB"/>
    <w:rsid w:val="00E84C82"/>
    <w:rsid w:val="00E84D64"/>
    <w:rsid w:val="00E87408"/>
    <w:rsid w:val="00E87612"/>
    <w:rsid w:val="00E914C4"/>
    <w:rsid w:val="00E9251E"/>
    <w:rsid w:val="00E92B1D"/>
    <w:rsid w:val="00E934F5"/>
    <w:rsid w:val="00E94110"/>
    <w:rsid w:val="00E957B8"/>
    <w:rsid w:val="00E96961"/>
    <w:rsid w:val="00EA1D60"/>
    <w:rsid w:val="00EA2B03"/>
    <w:rsid w:val="00EA49C8"/>
    <w:rsid w:val="00EA5B1A"/>
    <w:rsid w:val="00EA6424"/>
    <w:rsid w:val="00EA72EC"/>
    <w:rsid w:val="00EB11CB"/>
    <w:rsid w:val="00EB1E77"/>
    <w:rsid w:val="00EB20C1"/>
    <w:rsid w:val="00EB275A"/>
    <w:rsid w:val="00EB7520"/>
    <w:rsid w:val="00EB786A"/>
    <w:rsid w:val="00EB7D4A"/>
    <w:rsid w:val="00EC034E"/>
    <w:rsid w:val="00EC1578"/>
    <w:rsid w:val="00EC1C72"/>
    <w:rsid w:val="00EC215E"/>
    <w:rsid w:val="00EC229C"/>
    <w:rsid w:val="00EC3CC9"/>
    <w:rsid w:val="00EC4F80"/>
    <w:rsid w:val="00EC57EE"/>
    <w:rsid w:val="00EC680A"/>
    <w:rsid w:val="00ED11C3"/>
    <w:rsid w:val="00ED2573"/>
    <w:rsid w:val="00ED3440"/>
    <w:rsid w:val="00ED39DA"/>
    <w:rsid w:val="00ED683F"/>
    <w:rsid w:val="00EE1C4D"/>
    <w:rsid w:val="00EE2BED"/>
    <w:rsid w:val="00EE374B"/>
    <w:rsid w:val="00EE4ADF"/>
    <w:rsid w:val="00EE4C62"/>
    <w:rsid w:val="00EE73C1"/>
    <w:rsid w:val="00EF014D"/>
    <w:rsid w:val="00EF349A"/>
    <w:rsid w:val="00EF3557"/>
    <w:rsid w:val="00EF387B"/>
    <w:rsid w:val="00EF5BAE"/>
    <w:rsid w:val="00EF7D75"/>
    <w:rsid w:val="00F02CB9"/>
    <w:rsid w:val="00F06CC7"/>
    <w:rsid w:val="00F117A1"/>
    <w:rsid w:val="00F11BB5"/>
    <w:rsid w:val="00F122E0"/>
    <w:rsid w:val="00F138DD"/>
    <w:rsid w:val="00F1417B"/>
    <w:rsid w:val="00F1473D"/>
    <w:rsid w:val="00F15DEE"/>
    <w:rsid w:val="00F1691A"/>
    <w:rsid w:val="00F16CB0"/>
    <w:rsid w:val="00F16DDD"/>
    <w:rsid w:val="00F20210"/>
    <w:rsid w:val="00F20F08"/>
    <w:rsid w:val="00F248EA"/>
    <w:rsid w:val="00F2534C"/>
    <w:rsid w:val="00F26B6A"/>
    <w:rsid w:val="00F27F13"/>
    <w:rsid w:val="00F319AA"/>
    <w:rsid w:val="00F31B81"/>
    <w:rsid w:val="00F34B99"/>
    <w:rsid w:val="00F36CE8"/>
    <w:rsid w:val="00F370CB"/>
    <w:rsid w:val="00F3777C"/>
    <w:rsid w:val="00F419BA"/>
    <w:rsid w:val="00F43E11"/>
    <w:rsid w:val="00F45A2D"/>
    <w:rsid w:val="00F5160B"/>
    <w:rsid w:val="00F52DAB"/>
    <w:rsid w:val="00F5413C"/>
    <w:rsid w:val="00F543F0"/>
    <w:rsid w:val="00F55F7D"/>
    <w:rsid w:val="00F604A4"/>
    <w:rsid w:val="00F621A3"/>
    <w:rsid w:val="00F63235"/>
    <w:rsid w:val="00F650FF"/>
    <w:rsid w:val="00F6641D"/>
    <w:rsid w:val="00F672F6"/>
    <w:rsid w:val="00F70655"/>
    <w:rsid w:val="00F712BE"/>
    <w:rsid w:val="00F719F1"/>
    <w:rsid w:val="00F74941"/>
    <w:rsid w:val="00F81D29"/>
    <w:rsid w:val="00F832E6"/>
    <w:rsid w:val="00F84129"/>
    <w:rsid w:val="00F864E1"/>
    <w:rsid w:val="00F87DF5"/>
    <w:rsid w:val="00F91C4D"/>
    <w:rsid w:val="00F92FD9"/>
    <w:rsid w:val="00F9675B"/>
    <w:rsid w:val="00F97A44"/>
    <w:rsid w:val="00FA2838"/>
    <w:rsid w:val="00FA37FA"/>
    <w:rsid w:val="00FA3FBB"/>
    <w:rsid w:val="00FA6684"/>
    <w:rsid w:val="00FA731E"/>
    <w:rsid w:val="00FA748D"/>
    <w:rsid w:val="00FA76D9"/>
    <w:rsid w:val="00FA7EEC"/>
    <w:rsid w:val="00FB0283"/>
    <w:rsid w:val="00FB188F"/>
    <w:rsid w:val="00FB2B38"/>
    <w:rsid w:val="00FB6DA1"/>
    <w:rsid w:val="00FC18AC"/>
    <w:rsid w:val="00FC6358"/>
    <w:rsid w:val="00FC6F4A"/>
    <w:rsid w:val="00FC7006"/>
    <w:rsid w:val="00FD2294"/>
    <w:rsid w:val="00FD297F"/>
    <w:rsid w:val="00FD320D"/>
    <w:rsid w:val="00FD6BBD"/>
    <w:rsid w:val="00FE23DE"/>
    <w:rsid w:val="00FE47B0"/>
    <w:rsid w:val="00FE5033"/>
    <w:rsid w:val="00FE50E5"/>
    <w:rsid w:val="00FF1C9E"/>
    <w:rsid w:val="00FF227D"/>
    <w:rsid w:val="00FF3AAB"/>
    <w:rsid w:val="00FF5F10"/>
    <w:rsid w:val="00FF61FA"/>
    <w:rsid w:val="026B32BD"/>
    <w:rsid w:val="02EC0EEC"/>
    <w:rsid w:val="039B7B94"/>
    <w:rsid w:val="039D1FD0"/>
    <w:rsid w:val="04417DEA"/>
    <w:rsid w:val="078B3C21"/>
    <w:rsid w:val="090B398C"/>
    <w:rsid w:val="0AF72AE5"/>
    <w:rsid w:val="0CE923F0"/>
    <w:rsid w:val="0D1D20C4"/>
    <w:rsid w:val="0EE61CF6"/>
    <w:rsid w:val="107B65A4"/>
    <w:rsid w:val="1090695E"/>
    <w:rsid w:val="10AD63A3"/>
    <w:rsid w:val="12E535C0"/>
    <w:rsid w:val="14732CD8"/>
    <w:rsid w:val="17067A18"/>
    <w:rsid w:val="17440BE5"/>
    <w:rsid w:val="176839CD"/>
    <w:rsid w:val="18A1557C"/>
    <w:rsid w:val="19A12081"/>
    <w:rsid w:val="1A1574C2"/>
    <w:rsid w:val="1AF059EB"/>
    <w:rsid w:val="1B396C33"/>
    <w:rsid w:val="1B3B5316"/>
    <w:rsid w:val="1B9C7110"/>
    <w:rsid w:val="1DEC4571"/>
    <w:rsid w:val="1E8758D3"/>
    <w:rsid w:val="1F9337B1"/>
    <w:rsid w:val="204A2E46"/>
    <w:rsid w:val="22314F9B"/>
    <w:rsid w:val="22BC267F"/>
    <w:rsid w:val="2319013B"/>
    <w:rsid w:val="23D91F0A"/>
    <w:rsid w:val="247E0DD0"/>
    <w:rsid w:val="25673990"/>
    <w:rsid w:val="2599008A"/>
    <w:rsid w:val="26583B18"/>
    <w:rsid w:val="28E243C2"/>
    <w:rsid w:val="29AD060F"/>
    <w:rsid w:val="2A734072"/>
    <w:rsid w:val="2AA527CD"/>
    <w:rsid w:val="2C8660F2"/>
    <w:rsid w:val="2DBD5B48"/>
    <w:rsid w:val="2E9D6904"/>
    <w:rsid w:val="2FB83DC9"/>
    <w:rsid w:val="31397E87"/>
    <w:rsid w:val="31EE5C0F"/>
    <w:rsid w:val="32832F48"/>
    <w:rsid w:val="329123EA"/>
    <w:rsid w:val="33B02EC4"/>
    <w:rsid w:val="358271BE"/>
    <w:rsid w:val="371E2502"/>
    <w:rsid w:val="39DD347B"/>
    <w:rsid w:val="3B381632"/>
    <w:rsid w:val="3CE138B0"/>
    <w:rsid w:val="3E916146"/>
    <w:rsid w:val="3EBA1EF0"/>
    <w:rsid w:val="40C33A32"/>
    <w:rsid w:val="44EF71A1"/>
    <w:rsid w:val="450A0AE9"/>
    <w:rsid w:val="45CF24A7"/>
    <w:rsid w:val="4ABD1749"/>
    <w:rsid w:val="4EFC1913"/>
    <w:rsid w:val="4F291EDB"/>
    <w:rsid w:val="4F9D574C"/>
    <w:rsid w:val="50243DC2"/>
    <w:rsid w:val="51024CDC"/>
    <w:rsid w:val="51937CDF"/>
    <w:rsid w:val="58230682"/>
    <w:rsid w:val="5A9B39E7"/>
    <w:rsid w:val="5E0B5586"/>
    <w:rsid w:val="5F4B1255"/>
    <w:rsid w:val="5F64694A"/>
    <w:rsid w:val="5FF469E1"/>
    <w:rsid w:val="65005BCF"/>
    <w:rsid w:val="65DA4851"/>
    <w:rsid w:val="667D2F3C"/>
    <w:rsid w:val="66BC55C3"/>
    <w:rsid w:val="6ADD5321"/>
    <w:rsid w:val="6B4C128D"/>
    <w:rsid w:val="6E254BA2"/>
    <w:rsid w:val="6F327E52"/>
    <w:rsid w:val="6FC169B7"/>
    <w:rsid w:val="7064263D"/>
    <w:rsid w:val="72F07E08"/>
    <w:rsid w:val="747800B5"/>
    <w:rsid w:val="75266D08"/>
    <w:rsid w:val="77894387"/>
    <w:rsid w:val="77946B6A"/>
    <w:rsid w:val="78A2155B"/>
    <w:rsid w:val="78E254F7"/>
    <w:rsid w:val="7ABD2CC5"/>
    <w:rsid w:val="7BBF626A"/>
    <w:rsid w:val="7BF03A84"/>
    <w:rsid w:val="7C081B97"/>
    <w:rsid w:val="7C39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61"/>
    <w:qFormat/>
    <w:uiPriority w:val="0"/>
    <w:pPr>
      <w:keepNext/>
      <w:keepLines/>
      <w:spacing w:before="260" w:after="260" w:line="416" w:lineRule="auto"/>
      <w:outlineLvl w:val="2"/>
    </w:pPr>
    <w:rPr>
      <w:b/>
      <w:bCs/>
      <w:sz w:val="32"/>
      <w:szCs w:val="32"/>
    </w:rPr>
  </w:style>
  <w:style w:type="paragraph" w:styleId="6">
    <w:name w:val="heading 4"/>
    <w:basedOn w:val="1"/>
    <w:next w:val="1"/>
    <w:link w:val="18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toc 7"/>
    <w:basedOn w:val="1"/>
    <w:next w:val="1"/>
    <w:semiHidden/>
    <w:qFormat/>
    <w:uiPriority w:val="0"/>
    <w:pPr>
      <w:tabs>
        <w:tab w:val="right" w:leader="dot" w:pos="9241"/>
      </w:tabs>
      <w:ind w:firstLine="505"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annotation text"/>
    <w:basedOn w:val="1"/>
    <w:link w:val="153"/>
    <w:unhideWhenUsed/>
    <w:qFormat/>
    <w:uiPriority w:val="0"/>
    <w:pPr>
      <w:jc w:val="left"/>
    </w:pPr>
    <w:rPr>
      <w:szCs w:val="22"/>
    </w:rPr>
  </w:style>
  <w:style w:type="paragraph" w:styleId="13">
    <w:name w:val="index 6"/>
    <w:basedOn w:val="1"/>
    <w:next w:val="1"/>
    <w:qFormat/>
    <w:uiPriority w:val="0"/>
    <w:pPr>
      <w:ind w:left="1260" w:hanging="210"/>
      <w:jc w:val="left"/>
    </w:pPr>
    <w:rPr>
      <w:rFonts w:ascii="Calibri" w:hAnsi="Calibri"/>
      <w:sz w:val="20"/>
      <w:szCs w:val="20"/>
    </w:rPr>
  </w:style>
  <w:style w:type="paragraph" w:styleId="14">
    <w:name w:val="Body Text"/>
    <w:basedOn w:val="1"/>
    <w:link w:val="164"/>
    <w:unhideWhenUsed/>
    <w:qFormat/>
    <w:uiPriority w:val="99"/>
    <w:pPr>
      <w:spacing w:after="120"/>
    </w:pPr>
    <w:rPr>
      <w:szCs w:val="22"/>
    </w:rPr>
  </w:style>
  <w:style w:type="paragraph" w:styleId="15">
    <w:name w:val="List Bullet 2"/>
    <w:basedOn w:val="1"/>
    <w:qFormat/>
    <w:uiPriority w:val="0"/>
    <w:pPr>
      <w:tabs>
        <w:tab w:val="left" w:pos="720"/>
      </w:tabs>
      <w:ind w:left="720" w:hanging="720"/>
    </w:pPr>
  </w:style>
  <w:style w:type="paragraph" w:styleId="16">
    <w:name w:val="HTML Address"/>
    <w:basedOn w:val="1"/>
    <w:link w:val="174"/>
    <w:qFormat/>
    <w:uiPriority w:val="0"/>
    <w:rPr>
      <w:i/>
      <w:iCs/>
    </w:rPr>
  </w:style>
  <w:style w:type="paragraph" w:styleId="17">
    <w:name w:val="index 4"/>
    <w:basedOn w:val="1"/>
    <w:next w:val="1"/>
    <w:qFormat/>
    <w:uiPriority w:val="0"/>
    <w:pPr>
      <w:ind w:left="840" w:hanging="210"/>
      <w:jc w:val="left"/>
    </w:pPr>
    <w:rPr>
      <w:rFonts w:ascii="Calibri" w:hAnsi="Calibri"/>
      <w:sz w:val="20"/>
      <w:szCs w:val="20"/>
    </w:rPr>
  </w:style>
  <w:style w:type="paragraph" w:styleId="18">
    <w:name w:val="toc 5"/>
    <w:basedOn w:val="1"/>
    <w:next w:val="1"/>
    <w:semiHidden/>
    <w:qFormat/>
    <w:uiPriority w:val="0"/>
    <w:pPr>
      <w:tabs>
        <w:tab w:val="right" w:leader="dot" w:pos="9241"/>
      </w:tabs>
      <w:ind w:firstLine="300" w:firstLineChars="300"/>
      <w:jc w:val="left"/>
    </w:pPr>
    <w:rPr>
      <w:rFonts w:ascii="宋体"/>
      <w:szCs w:val="21"/>
    </w:rPr>
  </w:style>
  <w:style w:type="paragraph" w:styleId="19">
    <w:name w:val="toc 3"/>
    <w:basedOn w:val="1"/>
    <w:next w:val="1"/>
    <w:qFormat/>
    <w:uiPriority w:val="39"/>
    <w:pPr>
      <w:tabs>
        <w:tab w:val="right" w:leader="dot" w:pos="9241"/>
      </w:tabs>
      <w:ind w:firstLine="102" w:firstLineChars="100"/>
      <w:jc w:val="left"/>
    </w:pPr>
    <w:rPr>
      <w:rFonts w:ascii="宋体"/>
      <w:szCs w:val="21"/>
    </w:rPr>
  </w:style>
  <w:style w:type="paragraph" w:styleId="20">
    <w:name w:val="toc 8"/>
    <w:basedOn w:val="1"/>
    <w:next w:val="1"/>
    <w:semiHidden/>
    <w:qFormat/>
    <w:uiPriority w:val="0"/>
    <w:pPr>
      <w:tabs>
        <w:tab w:val="right" w:leader="dot" w:pos="9241"/>
      </w:tabs>
      <w:ind w:firstLine="607" w:firstLineChars="600"/>
      <w:jc w:val="left"/>
    </w:pPr>
    <w:rPr>
      <w:rFonts w:ascii="宋体"/>
      <w:szCs w:val="21"/>
    </w:rPr>
  </w:style>
  <w:style w:type="paragraph" w:styleId="21">
    <w:name w:val="index 3"/>
    <w:basedOn w:val="1"/>
    <w:next w:val="1"/>
    <w:qFormat/>
    <w:uiPriority w:val="0"/>
    <w:pPr>
      <w:ind w:left="630" w:hanging="210"/>
      <w:jc w:val="left"/>
    </w:pPr>
    <w:rPr>
      <w:rFonts w:ascii="Calibri" w:hAnsi="Calibri"/>
      <w:sz w:val="20"/>
      <w:szCs w:val="20"/>
    </w:rPr>
  </w:style>
  <w:style w:type="paragraph" w:styleId="22">
    <w:name w:val="endnote text"/>
    <w:basedOn w:val="1"/>
    <w:semiHidden/>
    <w:qFormat/>
    <w:uiPriority w:val="0"/>
    <w:pPr>
      <w:snapToGrid w:val="0"/>
      <w:jc w:val="left"/>
    </w:pPr>
  </w:style>
  <w:style w:type="paragraph" w:styleId="23">
    <w:name w:val="Balloon Text"/>
    <w:basedOn w:val="1"/>
    <w:link w:val="58"/>
    <w:qFormat/>
    <w:uiPriority w:val="0"/>
    <w:rPr>
      <w:sz w:val="18"/>
      <w:szCs w:val="18"/>
    </w:rPr>
  </w:style>
  <w:style w:type="paragraph" w:styleId="24">
    <w:name w:val="footer"/>
    <w:basedOn w:val="1"/>
    <w:qFormat/>
    <w:uiPriority w:val="0"/>
    <w:pPr>
      <w:snapToGrid w:val="0"/>
      <w:ind w:right="210" w:rightChars="100"/>
      <w:jc w:val="right"/>
    </w:pPr>
    <w:rPr>
      <w:sz w:val="18"/>
      <w:szCs w:val="18"/>
    </w:rPr>
  </w:style>
  <w:style w:type="paragraph" w:styleId="25">
    <w:name w:val="header"/>
    <w:basedOn w:val="1"/>
    <w:link w:val="57"/>
    <w:qFormat/>
    <w:uiPriority w:val="0"/>
    <w:pPr>
      <w:snapToGrid w:val="0"/>
      <w:jc w:val="left"/>
    </w:pPr>
    <w:rPr>
      <w:sz w:val="18"/>
      <w:szCs w:val="18"/>
    </w:rPr>
  </w:style>
  <w:style w:type="paragraph" w:styleId="26">
    <w:name w:val="toc 1"/>
    <w:basedOn w:val="1"/>
    <w:next w:val="1"/>
    <w:qFormat/>
    <w:uiPriority w:val="39"/>
    <w:pPr>
      <w:tabs>
        <w:tab w:val="right" w:leader="dot" w:pos="9241"/>
      </w:tabs>
      <w:spacing w:beforeLines="25" w:afterLines="25"/>
      <w:jc w:val="left"/>
    </w:pPr>
    <w:rPr>
      <w:rFonts w:ascii="宋体"/>
      <w:szCs w:val="21"/>
    </w:rPr>
  </w:style>
  <w:style w:type="paragraph" w:styleId="27">
    <w:name w:val="toc 4"/>
    <w:basedOn w:val="1"/>
    <w:next w:val="1"/>
    <w:qFormat/>
    <w:uiPriority w:val="39"/>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tabs>
        <w:tab w:val="left" w:pos="0"/>
      </w:tabs>
      <w:snapToGrid w:val="0"/>
      <w:ind w:left="720" w:hanging="357"/>
      <w:jc w:val="left"/>
    </w:pPr>
    <w:rPr>
      <w:rFonts w:ascii="宋体"/>
      <w:sz w:val="18"/>
      <w:szCs w:val="18"/>
    </w:rPr>
  </w:style>
  <w:style w:type="paragraph" w:styleId="32">
    <w:name w:val="toc 6"/>
    <w:basedOn w:val="1"/>
    <w:next w:val="1"/>
    <w:semiHidden/>
    <w:qFormat/>
    <w:uiPriority w:val="0"/>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Normal (Web)"/>
    <w:basedOn w:val="1"/>
    <w:qFormat/>
    <w:uiPriority w:val="0"/>
    <w:pPr>
      <w:spacing w:beforeAutospacing="1" w:afterAutospacing="1"/>
      <w:jc w:val="left"/>
    </w:pPr>
    <w:rPr>
      <w:kern w:val="0"/>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2"/>
    <w:next w:val="12"/>
    <w:link w:val="176"/>
    <w:qFormat/>
    <w:uiPriority w:val="0"/>
    <w:rPr>
      <w:b/>
      <w:bCs/>
      <w:szCs w:val="24"/>
    </w:rPr>
  </w:style>
  <w:style w:type="table" w:styleId="41">
    <w:name w:val="Table Grid"/>
    <w:basedOn w:val="4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qFormat/>
    <w:uiPriority w:val="22"/>
    <w:rPr>
      <w:b/>
      <w:bCs/>
    </w:rPr>
  </w:style>
  <w:style w:type="character" w:styleId="44">
    <w:name w:val="endnote reference"/>
    <w:semiHidden/>
    <w:qFormat/>
    <w:uiPriority w:val="0"/>
    <w:rPr>
      <w:vertAlign w:val="superscript"/>
    </w:rPr>
  </w:style>
  <w:style w:type="character" w:styleId="45">
    <w:name w:val="page number"/>
    <w:qFormat/>
    <w:uiPriority w:val="0"/>
    <w:rPr>
      <w:rFonts w:ascii="Times New Roman" w:hAnsi="Times New Roman" w:eastAsia="宋体"/>
      <w:sz w:val="18"/>
    </w:rPr>
  </w:style>
  <w:style w:type="character" w:styleId="46">
    <w:name w:val="FollowedHyperlink"/>
    <w:qFormat/>
    <w:uiPriority w:val="0"/>
    <w:rPr>
      <w:color w:val="800080"/>
      <w:u w:val="single"/>
    </w:rPr>
  </w:style>
  <w:style w:type="character" w:styleId="47">
    <w:name w:val="HTML Definition"/>
    <w:qFormat/>
    <w:uiPriority w:val="0"/>
    <w:rPr>
      <w:i/>
      <w:iCs/>
    </w:rPr>
  </w:style>
  <w:style w:type="character" w:styleId="48">
    <w:name w:val="Hyperlink"/>
    <w:qFormat/>
    <w:uiPriority w:val="99"/>
    <w:rPr>
      <w:color w:val="0000FF"/>
      <w:spacing w:val="0"/>
      <w:w w:val="100"/>
      <w:szCs w:val="21"/>
      <w:u w:val="single"/>
      <w:lang w:val="en-US" w:eastAsia="zh-CN"/>
    </w:rPr>
  </w:style>
  <w:style w:type="character" w:styleId="49">
    <w:name w:val="annotation reference"/>
    <w:basedOn w:val="42"/>
    <w:qFormat/>
    <w:uiPriority w:val="0"/>
    <w:rPr>
      <w:sz w:val="21"/>
      <w:szCs w:val="21"/>
    </w:rPr>
  </w:style>
  <w:style w:type="character" w:styleId="50">
    <w:name w:val="footnote reference"/>
    <w:semiHidden/>
    <w:qFormat/>
    <w:uiPriority w:val="0"/>
    <w:rPr>
      <w:vertAlign w:val="superscript"/>
    </w:rPr>
  </w:style>
  <w:style w:type="character" w:customStyle="1" w:styleId="51">
    <w:name w:val="附录公式 Char"/>
    <w:basedOn w:val="52"/>
    <w:link w:val="53"/>
    <w:qFormat/>
    <w:uiPriority w:val="0"/>
    <w:rPr>
      <w:rFonts w:ascii="宋体"/>
      <w:sz w:val="21"/>
      <w:lang w:val="en-US" w:eastAsia="zh-CN" w:bidi="ar-SA"/>
    </w:rPr>
  </w:style>
  <w:style w:type="character" w:customStyle="1" w:styleId="52">
    <w:name w:val="段 Char"/>
    <w:link w:val="30"/>
    <w:qFormat/>
    <w:uiPriority w:val="0"/>
    <w:rPr>
      <w:rFonts w:ascii="宋体"/>
      <w:sz w:val="21"/>
      <w:lang w:val="en-US" w:eastAsia="zh-CN" w:bidi="ar-SA"/>
    </w:rPr>
  </w:style>
  <w:style w:type="paragraph" w:customStyle="1" w:styleId="53">
    <w:name w:val="附录公式"/>
    <w:basedOn w:val="30"/>
    <w:next w:val="30"/>
    <w:link w:val="51"/>
    <w:qFormat/>
    <w:uiPriority w:val="0"/>
  </w:style>
  <w:style w:type="character" w:customStyle="1" w:styleId="54">
    <w:name w:val="发布"/>
    <w:qFormat/>
    <w:uiPriority w:val="0"/>
    <w:rPr>
      <w:rFonts w:ascii="黑体" w:eastAsia="黑体"/>
      <w:spacing w:val="85"/>
      <w:w w:val="100"/>
      <w:position w:val="3"/>
      <w:sz w:val="28"/>
      <w:szCs w:val="28"/>
    </w:rPr>
  </w:style>
  <w:style w:type="character" w:customStyle="1" w:styleId="55">
    <w:name w:val="首示例 Char"/>
    <w:link w:val="56"/>
    <w:qFormat/>
    <w:uiPriority w:val="0"/>
    <w:rPr>
      <w:rFonts w:ascii="宋体" w:hAnsi="宋体"/>
      <w:kern w:val="2"/>
      <w:sz w:val="18"/>
      <w:szCs w:val="18"/>
    </w:rPr>
  </w:style>
  <w:style w:type="paragraph" w:customStyle="1" w:styleId="56">
    <w:name w:val="首示例"/>
    <w:next w:val="30"/>
    <w:link w:val="55"/>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页眉 Char"/>
    <w:link w:val="25"/>
    <w:qFormat/>
    <w:uiPriority w:val="0"/>
    <w:rPr>
      <w:kern w:val="2"/>
      <w:sz w:val="18"/>
      <w:szCs w:val="18"/>
    </w:rPr>
  </w:style>
  <w:style w:type="character" w:customStyle="1" w:styleId="58">
    <w:name w:val="批注框文本 Char"/>
    <w:link w:val="23"/>
    <w:qFormat/>
    <w:uiPriority w:val="0"/>
    <w:rPr>
      <w:kern w:val="2"/>
      <w:sz w:val="18"/>
      <w:szCs w:val="18"/>
    </w:rPr>
  </w:style>
  <w:style w:type="paragraph" w:customStyle="1" w:styleId="59">
    <w:name w:val="一级条标题"/>
    <w:next w:val="30"/>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60">
    <w:name w:val="封面标准文稿类别"/>
    <w:basedOn w:val="61"/>
    <w:qFormat/>
    <w:uiPriority w:val="0"/>
    <w:pPr>
      <w:framePr w:wrap="around"/>
      <w:spacing w:after="160" w:line="240" w:lineRule="auto"/>
    </w:pPr>
    <w:rPr>
      <w:sz w:val="24"/>
    </w:rPr>
  </w:style>
  <w:style w:type="paragraph" w:customStyle="1" w:styleId="61">
    <w:name w:val="封面一致性程度标识"/>
    <w:basedOn w:val="62"/>
    <w:qFormat/>
    <w:uiPriority w:val="0"/>
    <w:pPr>
      <w:framePr w:wrap="around"/>
      <w:spacing w:before="440"/>
    </w:pPr>
    <w:rPr>
      <w:rFonts w:ascii="宋体" w:eastAsia="宋体"/>
    </w:rPr>
  </w:style>
  <w:style w:type="paragraph" w:customStyle="1" w:styleId="62">
    <w:name w:val="封面标准英文名称"/>
    <w:basedOn w:val="63"/>
    <w:qFormat/>
    <w:uiPriority w:val="0"/>
    <w:pPr>
      <w:framePr w:wrap="around"/>
      <w:spacing w:before="370" w:line="400" w:lineRule="exact"/>
    </w:pPr>
    <w:rPr>
      <w:rFonts w:ascii="Times New Roman"/>
      <w:sz w:val="28"/>
      <w:szCs w:val="28"/>
    </w:rPr>
  </w:style>
  <w:style w:type="paragraph" w:customStyle="1" w:styleId="6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封面标准文稿类别2"/>
    <w:basedOn w:val="60"/>
    <w:qFormat/>
    <w:uiPriority w:val="0"/>
    <w:pPr>
      <w:framePr w:wrap="around" w:y="4469"/>
    </w:pPr>
  </w:style>
  <w:style w:type="paragraph" w:customStyle="1" w:styleId="65">
    <w:name w:val="附录五级无"/>
    <w:basedOn w:val="66"/>
    <w:qFormat/>
    <w:uiPriority w:val="0"/>
    <w:pPr>
      <w:tabs>
        <w:tab w:val="left" w:pos="360"/>
      </w:tabs>
      <w:spacing w:beforeLines="0" w:afterLines="0"/>
    </w:pPr>
    <w:rPr>
      <w:rFonts w:ascii="宋体" w:eastAsia="宋体"/>
      <w:szCs w:val="21"/>
    </w:rPr>
  </w:style>
  <w:style w:type="paragraph" w:customStyle="1" w:styleId="66">
    <w:name w:val="附录五级条标题"/>
    <w:basedOn w:val="67"/>
    <w:next w:val="30"/>
    <w:qFormat/>
    <w:uiPriority w:val="0"/>
    <w:pPr>
      <w:tabs>
        <w:tab w:val="left" w:pos="360"/>
      </w:tabs>
      <w:outlineLvl w:val="6"/>
    </w:pPr>
  </w:style>
  <w:style w:type="paragraph" w:customStyle="1" w:styleId="67">
    <w:name w:val="附录四级条标题"/>
    <w:basedOn w:val="68"/>
    <w:next w:val="30"/>
    <w:qFormat/>
    <w:uiPriority w:val="0"/>
    <w:pPr>
      <w:tabs>
        <w:tab w:val="left" w:pos="360"/>
      </w:tabs>
      <w:outlineLvl w:val="5"/>
    </w:pPr>
  </w:style>
  <w:style w:type="paragraph" w:customStyle="1" w:styleId="68">
    <w:name w:val="附录三级条标题"/>
    <w:basedOn w:val="69"/>
    <w:next w:val="30"/>
    <w:qFormat/>
    <w:uiPriority w:val="0"/>
    <w:pPr>
      <w:tabs>
        <w:tab w:val="left" w:pos="360"/>
      </w:tabs>
      <w:outlineLvl w:val="4"/>
    </w:pPr>
  </w:style>
  <w:style w:type="paragraph" w:customStyle="1" w:styleId="69">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0">
    <w:name w:val="其他标准标志"/>
    <w:basedOn w:val="71"/>
    <w:qFormat/>
    <w:uiPriority w:val="0"/>
    <w:pPr>
      <w:framePr w:w="6101" w:wrap="around" w:vAnchor="page" w:hAnchor="page" w:x="4673" w:y="942"/>
    </w:pPr>
    <w:rPr>
      <w:w w:val="130"/>
    </w:rPr>
  </w:style>
  <w:style w:type="paragraph" w:customStyle="1" w:styleId="7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2">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73">
    <w:name w:val="注：（正文）"/>
    <w:basedOn w:val="74"/>
    <w:next w:val="30"/>
    <w:qFormat/>
    <w:uiPriority w:val="0"/>
  </w:style>
  <w:style w:type="paragraph" w:customStyle="1" w:styleId="74">
    <w:name w:val="注："/>
    <w:next w:val="30"/>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5">
    <w:name w:val="附录一级无"/>
    <w:basedOn w:val="76"/>
    <w:qFormat/>
    <w:uiPriority w:val="0"/>
    <w:pPr>
      <w:tabs>
        <w:tab w:val="left" w:pos="360"/>
      </w:tabs>
      <w:spacing w:beforeLines="0" w:afterLines="0"/>
    </w:pPr>
    <w:rPr>
      <w:rFonts w:ascii="宋体" w:eastAsia="宋体"/>
      <w:szCs w:val="21"/>
    </w:rPr>
  </w:style>
  <w:style w:type="paragraph" w:customStyle="1" w:styleId="76">
    <w:name w:val="附录一级条标题"/>
    <w:basedOn w:val="77"/>
    <w:next w:val="30"/>
    <w:qFormat/>
    <w:uiPriority w:val="0"/>
    <w:pPr>
      <w:tabs>
        <w:tab w:val="left" w:pos="360"/>
      </w:tabs>
      <w:autoSpaceDN w:val="0"/>
      <w:spacing w:beforeLines="50" w:afterLines="50"/>
      <w:outlineLvl w:val="2"/>
    </w:pPr>
  </w:style>
  <w:style w:type="paragraph" w:customStyle="1" w:styleId="77">
    <w:name w:val="附录章标题"/>
    <w:next w:val="30"/>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8">
    <w:name w:val="封面标准英文名称2"/>
    <w:basedOn w:val="62"/>
    <w:qFormat/>
    <w:uiPriority w:val="0"/>
    <w:pPr>
      <w:framePr w:wrap="around" w:y="4469"/>
    </w:pPr>
  </w:style>
  <w:style w:type="paragraph" w:customStyle="1" w:styleId="79">
    <w:name w:val="章标题"/>
    <w:next w:val="3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1">
    <w:name w:val="其他发布部门"/>
    <w:basedOn w:val="82"/>
    <w:qFormat/>
    <w:uiPriority w:val="0"/>
    <w:pPr>
      <w:framePr w:wrap="around" w:y="15310"/>
      <w:spacing w:line="0" w:lineRule="atLeast"/>
    </w:pPr>
    <w:rPr>
      <w:rFonts w:ascii="黑体" w:eastAsia="黑体"/>
      <w:b w:val="0"/>
    </w:rPr>
  </w:style>
  <w:style w:type="paragraph" w:customStyle="1" w:styleId="82">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附录表标题"/>
    <w:basedOn w:val="1"/>
    <w:next w:val="30"/>
    <w:qFormat/>
    <w:uiPriority w:val="0"/>
    <w:pPr>
      <w:spacing w:beforeLines="50" w:afterLines="50"/>
      <w:ind w:left="567" w:hanging="567"/>
      <w:jc w:val="center"/>
    </w:pPr>
    <w:rPr>
      <w:rFonts w:ascii="黑体" w:eastAsia="黑体"/>
      <w:szCs w:val="21"/>
    </w:rPr>
  </w:style>
  <w:style w:type="paragraph" w:customStyle="1" w:styleId="84">
    <w:name w:val="图标脚注说明"/>
    <w:basedOn w:val="30"/>
    <w:qFormat/>
    <w:uiPriority w:val="0"/>
    <w:pPr>
      <w:ind w:left="840" w:hanging="420" w:firstLineChars="0"/>
    </w:pPr>
    <w:rPr>
      <w:sz w:val="18"/>
      <w:szCs w:val="18"/>
    </w:rPr>
  </w:style>
  <w:style w:type="paragraph" w:customStyle="1" w:styleId="85">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附录四级无"/>
    <w:basedOn w:val="67"/>
    <w:qFormat/>
    <w:uiPriority w:val="0"/>
    <w:pPr>
      <w:tabs>
        <w:tab w:val="clear" w:pos="360"/>
      </w:tabs>
      <w:spacing w:beforeLines="0" w:afterLines="0"/>
    </w:pPr>
    <w:rPr>
      <w:rFonts w:ascii="宋体" w:eastAsia="宋体"/>
      <w:szCs w:val="21"/>
    </w:rPr>
  </w:style>
  <w:style w:type="paragraph" w:customStyle="1" w:styleId="87">
    <w:name w:val="列项◆（三级）"/>
    <w:basedOn w:val="1"/>
    <w:qFormat/>
    <w:uiPriority w:val="0"/>
    <w:pPr>
      <w:tabs>
        <w:tab w:val="left" w:pos="1678"/>
      </w:tabs>
      <w:ind w:left="1678" w:hanging="414"/>
    </w:pPr>
    <w:rPr>
      <w:rFonts w:ascii="宋体"/>
      <w:szCs w:val="21"/>
    </w:rPr>
  </w:style>
  <w:style w:type="paragraph" w:customStyle="1" w:styleId="88">
    <w:name w:val="二级条标题"/>
    <w:basedOn w:val="59"/>
    <w:next w:val="30"/>
    <w:qFormat/>
    <w:uiPriority w:val="0"/>
    <w:pPr>
      <w:numPr>
        <w:ilvl w:val="2"/>
      </w:numPr>
      <w:spacing w:before="50" w:after="50"/>
      <w:outlineLvl w:val="3"/>
    </w:pPr>
  </w:style>
  <w:style w:type="paragraph" w:customStyle="1" w:styleId="89">
    <w:name w:val="其他发布日期"/>
    <w:basedOn w:val="90"/>
    <w:qFormat/>
    <w:uiPriority w:val="0"/>
    <w:pPr>
      <w:framePr w:wrap="around" w:vAnchor="page" w:hAnchor="text" w:x="1419"/>
    </w:pPr>
  </w:style>
  <w:style w:type="paragraph" w:customStyle="1" w:styleId="9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1">
    <w:name w:val="附录图标题"/>
    <w:basedOn w:val="1"/>
    <w:next w:val="30"/>
    <w:qFormat/>
    <w:uiPriority w:val="0"/>
    <w:pPr>
      <w:tabs>
        <w:tab w:val="left" w:pos="363"/>
      </w:tabs>
      <w:spacing w:beforeLines="50" w:afterLines="50"/>
      <w:jc w:val="center"/>
    </w:pPr>
    <w:rPr>
      <w:rFonts w:ascii="黑体" w:eastAsia="黑体"/>
      <w:szCs w:val="21"/>
    </w:rPr>
  </w:style>
  <w:style w:type="paragraph" w:customStyle="1" w:styleId="92">
    <w:name w:val="正文公式编号制表符"/>
    <w:basedOn w:val="30"/>
    <w:next w:val="30"/>
    <w:qFormat/>
    <w:uiPriority w:val="0"/>
    <w:pPr>
      <w:ind w:firstLine="0" w:firstLineChars="0"/>
    </w:p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6">
    <w:name w:val="四级条标题"/>
    <w:basedOn w:val="97"/>
    <w:next w:val="30"/>
    <w:qFormat/>
    <w:uiPriority w:val="0"/>
    <w:pPr>
      <w:ind w:left="0"/>
      <w:outlineLvl w:val="5"/>
    </w:pPr>
  </w:style>
  <w:style w:type="paragraph" w:customStyle="1" w:styleId="97">
    <w:name w:val="三级条标题"/>
    <w:basedOn w:val="88"/>
    <w:next w:val="30"/>
    <w:qFormat/>
    <w:uiPriority w:val="99"/>
    <w:pPr>
      <w:numPr>
        <w:ilvl w:val="0"/>
        <w:numId w:val="0"/>
      </w:numPr>
      <w:ind w:left="710"/>
      <w:outlineLvl w:val="4"/>
    </w:pPr>
  </w:style>
  <w:style w:type="paragraph" w:customStyle="1" w:styleId="98">
    <w:name w:val="二级无"/>
    <w:basedOn w:val="88"/>
    <w:qFormat/>
    <w:uiPriority w:val="0"/>
    <w:pPr>
      <w:spacing w:beforeLines="0" w:afterLines="0"/>
    </w:pPr>
    <w:rPr>
      <w:rFonts w:ascii="宋体" w:eastAsia="宋体"/>
    </w:rPr>
  </w:style>
  <w:style w:type="paragraph" w:customStyle="1" w:styleId="99">
    <w:name w:val="三级无"/>
    <w:basedOn w:val="97"/>
    <w:qFormat/>
    <w:uiPriority w:val="0"/>
    <w:pPr>
      <w:spacing w:beforeLines="0" w:afterLines="0"/>
    </w:pPr>
    <w:rPr>
      <w:rFonts w:ascii="宋体" w:eastAsia="宋体"/>
    </w:rPr>
  </w:style>
  <w:style w:type="paragraph" w:customStyle="1" w:styleId="100">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0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4">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5">
    <w:name w:val="示例"/>
    <w:next w:val="10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7">
    <w:name w:val="正文图标题"/>
    <w:next w:val="30"/>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08">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0">
    <w:name w:val="示例×："/>
    <w:basedOn w:val="79"/>
    <w:qFormat/>
    <w:uiPriority w:val="0"/>
    <w:pPr>
      <w:numPr>
        <w:numId w:val="0"/>
      </w:numPr>
      <w:spacing w:beforeLines="0" w:afterLines="0"/>
      <w:ind w:firstLine="363"/>
      <w:outlineLvl w:val="9"/>
    </w:pPr>
    <w:rPr>
      <w:rFonts w:ascii="宋体" w:eastAsia="宋体"/>
      <w:sz w:val="18"/>
      <w:szCs w:val="18"/>
    </w:rPr>
  </w:style>
  <w:style w:type="paragraph" w:customStyle="1" w:styleId="111">
    <w:name w:val="封面一致性程度标识2"/>
    <w:basedOn w:val="61"/>
    <w:qFormat/>
    <w:uiPriority w:val="0"/>
    <w:pPr>
      <w:framePr w:wrap="around" w:y="4469"/>
    </w:p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p15"/>
    <w:basedOn w:val="1"/>
    <w:qFormat/>
    <w:uiPriority w:val="0"/>
    <w:pPr>
      <w:widowControl/>
      <w:ind w:firstLine="420"/>
    </w:pPr>
    <w:rPr>
      <w:rFonts w:ascii="宋体" w:hAnsi="宋体" w:cs="宋体"/>
      <w:kern w:val="0"/>
      <w:szCs w:val="21"/>
    </w:rPr>
  </w:style>
  <w:style w:type="paragraph" w:customStyle="1" w:styleId="114">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15">
    <w:name w:val="封面标准文稿编辑信息2"/>
    <w:basedOn w:val="116"/>
    <w:qFormat/>
    <w:uiPriority w:val="0"/>
    <w:pPr>
      <w:framePr w:wrap="around" w:y="4469"/>
    </w:pPr>
  </w:style>
  <w:style w:type="paragraph" w:customStyle="1" w:styleId="116">
    <w:name w:val="封面标准文稿编辑信息"/>
    <w:basedOn w:val="60"/>
    <w:qFormat/>
    <w:uiPriority w:val="0"/>
    <w:pPr>
      <w:framePr w:wrap="around"/>
      <w:spacing w:before="180" w:line="180" w:lineRule="exact"/>
    </w:pPr>
    <w:rPr>
      <w:sz w:val="21"/>
    </w:rPr>
  </w:style>
  <w:style w:type="paragraph" w:customStyle="1" w:styleId="117">
    <w:name w:val="五级条标题"/>
    <w:basedOn w:val="96"/>
    <w:next w:val="30"/>
    <w:qFormat/>
    <w:uiPriority w:val="0"/>
    <w:pPr>
      <w:outlineLvl w:val="6"/>
    </w:pPr>
  </w:style>
  <w:style w:type="paragraph" w:customStyle="1" w:styleId="11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19">
    <w:name w:val="一级无"/>
    <w:basedOn w:val="59"/>
    <w:qFormat/>
    <w:uiPriority w:val="0"/>
    <w:pPr>
      <w:spacing w:beforeLines="0" w:afterLines="0"/>
    </w:pPr>
    <w:rPr>
      <w:rFonts w:ascii="宋体" w:eastAsia="宋体"/>
    </w:rPr>
  </w:style>
  <w:style w:type="paragraph" w:customStyle="1" w:styleId="12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1">
    <w:name w:val="附录二级无"/>
    <w:basedOn w:val="69"/>
    <w:qFormat/>
    <w:uiPriority w:val="0"/>
    <w:pPr>
      <w:tabs>
        <w:tab w:val="clear" w:pos="360"/>
      </w:tabs>
      <w:spacing w:beforeLines="0" w:afterLines="0"/>
    </w:pPr>
    <w:rPr>
      <w:rFonts w:ascii="宋体" w:eastAsia="宋体"/>
      <w:szCs w:val="21"/>
    </w:rPr>
  </w:style>
  <w:style w:type="paragraph" w:customStyle="1" w:styleId="122">
    <w:name w:val="实施日期"/>
    <w:basedOn w:val="90"/>
    <w:qFormat/>
    <w:uiPriority w:val="0"/>
    <w:pPr>
      <w:framePr w:wrap="around" w:vAnchor="page" w:hAnchor="text"/>
      <w:jc w:val="right"/>
    </w:pPr>
  </w:style>
  <w:style w:type="paragraph" w:customStyle="1" w:styleId="123">
    <w:name w:val="注×：（正文）"/>
    <w:qFormat/>
    <w:uiPriority w:val="0"/>
    <w:pPr>
      <w:jc w:val="both"/>
    </w:pPr>
    <w:rPr>
      <w:rFonts w:ascii="宋体" w:hAnsi="Times New Roman" w:eastAsia="宋体" w:cs="Times New Roman"/>
      <w:sz w:val="18"/>
      <w:szCs w:val="18"/>
      <w:lang w:val="en-US" w:eastAsia="zh-CN" w:bidi="ar-SA"/>
    </w:rPr>
  </w:style>
  <w:style w:type="paragraph" w:customStyle="1" w:styleId="124">
    <w:name w:val="表头"/>
    <w:basedOn w:val="1"/>
    <w:link w:val="168"/>
    <w:qFormat/>
    <w:uiPriority w:val="0"/>
    <w:pPr>
      <w:topLinePunct/>
      <w:spacing w:before="120" w:after="60" w:line="312" w:lineRule="exact"/>
      <w:jc w:val="center"/>
    </w:pPr>
    <w:rPr>
      <w:rFonts w:ascii="EU-F1" w:eastAsia="黑体"/>
      <w:szCs w:val="21"/>
    </w:rPr>
  </w:style>
  <w:style w:type="paragraph" w:customStyle="1" w:styleId="125">
    <w:name w:val="加粗 居中 宋体五号"/>
    <w:basedOn w:val="1"/>
    <w:qFormat/>
    <w:uiPriority w:val="0"/>
    <w:pPr>
      <w:spacing w:line="360" w:lineRule="auto"/>
      <w:jc w:val="center"/>
    </w:pPr>
    <w:rPr>
      <w:rFonts w:ascii="黑体" w:eastAsia="黑体" w:cs="宋体"/>
      <w:b/>
      <w:bCs/>
      <w:kern w:val="0"/>
      <w:szCs w:val="20"/>
    </w:r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附录三级无"/>
    <w:basedOn w:val="68"/>
    <w:qFormat/>
    <w:uiPriority w:val="0"/>
    <w:pPr>
      <w:tabs>
        <w:tab w:val="clear" w:pos="360"/>
      </w:tabs>
      <w:spacing w:beforeLines="0" w:afterLines="0"/>
    </w:pPr>
    <w:rPr>
      <w:rFonts w:ascii="宋体" w:eastAsia="宋体"/>
      <w:szCs w:val="21"/>
    </w:rPr>
  </w:style>
  <w:style w:type="paragraph" w:customStyle="1" w:styleId="128">
    <w:name w:val="标准书眉_偶数页"/>
    <w:basedOn w:val="102"/>
    <w:next w:val="1"/>
    <w:qFormat/>
    <w:uiPriority w:val="0"/>
    <w:pPr>
      <w:jc w:val="left"/>
    </w:pPr>
  </w:style>
  <w:style w:type="paragraph" w:customStyle="1" w:styleId="129">
    <w:name w:val="正文表标题"/>
    <w:next w:val="30"/>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2">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3">
    <w:name w:val="附录标题"/>
    <w:basedOn w:val="30"/>
    <w:next w:val="30"/>
    <w:qFormat/>
    <w:uiPriority w:val="0"/>
    <w:pPr>
      <w:ind w:firstLine="0" w:firstLineChars="0"/>
      <w:jc w:val="center"/>
    </w:pPr>
    <w:rPr>
      <w:rFonts w:ascii="黑体" w:eastAsia="黑体"/>
    </w:rPr>
  </w:style>
  <w:style w:type="paragraph" w:customStyle="1" w:styleId="134">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36">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3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8">
    <w:name w:val="封面正文"/>
    <w:qFormat/>
    <w:uiPriority w:val="0"/>
    <w:pPr>
      <w:jc w:val="both"/>
    </w:pPr>
    <w:rPr>
      <w:rFonts w:ascii="Times New Roman" w:hAnsi="Times New Roman" w:eastAsia="宋体" w:cs="Times New Roman"/>
      <w:lang w:val="en-US" w:eastAsia="zh-CN" w:bidi="ar-SA"/>
    </w:rPr>
  </w:style>
  <w:style w:type="paragraph" w:customStyle="1" w:styleId="139">
    <w:name w:val="示例后文字"/>
    <w:basedOn w:val="30"/>
    <w:next w:val="30"/>
    <w:qFormat/>
    <w:uiPriority w:val="0"/>
    <w:pPr>
      <w:ind w:firstLine="360"/>
    </w:pPr>
    <w:rPr>
      <w:sz w:val="18"/>
    </w:rPr>
  </w:style>
  <w:style w:type="paragraph" w:customStyle="1" w:styleId="140">
    <w:name w:val="附录标识"/>
    <w:basedOn w:val="1"/>
    <w:next w:val="3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1">
    <w:name w:val="附录表标号"/>
    <w:basedOn w:val="1"/>
    <w:next w:val="30"/>
    <w:qFormat/>
    <w:uiPriority w:val="0"/>
    <w:pPr>
      <w:spacing w:line="14" w:lineRule="exact"/>
      <w:ind w:left="811" w:hanging="448"/>
      <w:jc w:val="center"/>
      <w:outlineLvl w:val="0"/>
    </w:pPr>
    <w:rPr>
      <w:color w:val="FFFFFF"/>
    </w:rPr>
  </w:style>
  <w:style w:type="paragraph" w:customStyle="1" w:styleId="142">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143">
    <w:name w:val="终结线"/>
    <w:basedOn w:val="1"/>
    <w:qFormat/>
    <w:uiPriority w:val="0"/>
    <w:pPr>
      <w:framePr w:hSpace="181" w:vSpace="181" w:wrap="around" w:vAnchor="text" w:hAnchor="margin" w:xAlign="center" w:y="285"/>
    </w:pPr>
  </w:style>
  <w:style w:type="paragraph" w:customStyle="1" w:styleId="14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6">
    <w:name w:val="其他实施日期"/>
    <w:basedOn w:val="122"/>
    <w:qFormat/>
    <w:uiPriority w:val="0"/>
    <w:pPr>
      <w:framePr w:wrap="around"/>
    </w:pPr>
  </w:style>
  <w:style w:type="paragraph" w:customStyle="1" w:styleId="147">
    <w:name w:val="四级无"/>
    <w:basedOn w:val="96"/>
    <w:qFormat/>
    <w:uiPriority w:val="0"/>
    <w:pPr>
      <w:spacing w:beforeLines="0" w:afterLines="0"/>
    </w:pPr>
    <w:rPr>
      <w:rFonts w:ascii="宋体" w:eastAsia="宋体"/>
    </w:rPr>
  </w:style>
  <w:style w:type="paragraph" w:customStyle="1" w:styleId="148">
    <w:name w:val="条文脚注"/>
    <w:basedOn w:val="31"/>
    <w:qFormat/>
    <w:uiPriority w:val="0"/>
    <w:pPr>
      <w:ind w:left="0" w:firstLine="0"/>
      <w:jc w:val="both"/>
    </w:pPr>
  </w:style>
  <w:style w:type="paragraph" w:customStyle="1" w:styleId="149">
    <w:name w:val="图表脚注说明"/>
    <w:basedOn w:val="1"/>
    <w:qFormat/>
    <w:uiPriority w:val="0"/>
    <w:pPr>
      <w:ind w:left="544" w:hanging="181"/>
    </w:pPr>
    <w:rPr>
      <w:rFonts w:ascii="宋体"/>
      <w:sz w:val="18"/>
      <w:szCs w:val="18"/>
    </w:rPr>
  </w:style>
  <w:style w:type="paragraph" w:customStyle="1" w:styleId="150">
    <w:name w:val="五级无"/>
    <w:basedOn w:val="117"/>
    <w:qFormat/>
    <w:uiPriority w:val="0"/>
    <w:pPr>
      <w:spacing w:beforeLines="0" w:afterLines="0"/>
    </w:pPr>
    <w:rPr>
      <w:rFonts w:ascii="宋体" w:eastAsia="宋体"/>
    </w:rPr>
  </w:style>
  <w:style w:type="paragraph" w:customStyle="1" w:styleId="151">
    <w:name w:val="封面标准名称2"/>
    <w:basedOn w:val="63"/>
    <w:qFormat/>
    <w:uiPriority w:val="0"/>
    <w:pPr>
      <w:framePr w:wrap="around" w:y="4469"/>
      <w:spacing w:beforeLines="630"/>
    </w:pPr>
  </w:style>
  <w:style w:type="paragraph" w:customStyle="1" w:styleId="15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3">
    <w:name w:val="批注文字 Char1"/>
    <w:link w:val="12"/>
    <w:qFormat/>
    <w:uiPriority w:val="0"/>
    <w:rPr>
      <w:kern w:val="2"/>
      <w:sz w:val="21"/>
      <w:szCs w:val="22"/>
    </w:rPr>
  </w:style>
  <w:style w:type="character" w:customStyle="1" w:styleId="154">
    <w:name w:val="批注文字 Char"/>
    <w:qFormat/>
    <w:uiPriority w:val="0"/>
    <w:rPr>
      <w:kern w:val="2"/>
      <w:sz w:val="21"/>
      <w:szCs w:val="24"/>
    </w:rPr>
  </w:style>
  <w:style w:type="character" w:customStyle="1" w:styleId="155">
    <w:name w:val="标题 2 Char"/>
    <w:semiHidden/>
    <w:qFormat/>
    <w:uiPriority w:val="0"/>
    <w:rPr>
      <w:rFonts w:ascii="Cambria" w:hAnsi="Cambria" w:eastAsia="宋体" w:cs="Times New Roman"/>
      <w:b/>
      <w:bCs/>
      <w:kern w:val="2"/>
      <w:sz w:val="32"/>
      <w:szCs w:val="32"/>
    </w:rPr>
  </w:style>
  <w:style w:type="character" w:customStyle="1" w:styleId="156">
    <w:name w:val="标题 2 Char1"/>
    <w:link w:val="4"/>
    <w:qFormat/>
    <w:uiPriority w:val="0"/>
    <w:rPr>
      <w:rFonts w:ascii="Arial" w:hAnsi="Arial" w:eastAsia="黑体"/>
      <w:b/>
      <w:bCs/>
      <w:kern w:val="2"/>
      <w:sz w:val="32"/>
      <w:szCs w:val="32"/>
    </w:rPr>
  </w:style>
  <w:style w:type="character" w:customStyle="1" w:styleId="157">
    <w:name w:val="段 Char Char"/>
    <w:qFormat/>
    <w:uiPriority w:val="0"/>
    <w:rPr>
      <w:rFonts w:eastAsia="华文细黑"/>
      <w:kern w:val="2"/>
      <w:sz w:val="28"/>
    </w:rPr>
  </w:style>
  <w:style w:type="character" w:customStyle="1" w:styleId="158">
    <w:name w:val="样式2 Char Char"/>
    <w:link w:val="159"/>
    <w:qFormat/>
    <w:uiPriority w:val="0"/>
    <w:rPr>
      <w:rFonts w:ascii="EU-F1" w:eastAsia="黑体"/>
      <w:kern w:val="2"/>
      <w:sz w:val="21"/>
      <w:szCs w:val="21"/>
    </w:rPr>
  </w:style>
  <w:style w:type="paragraph" w:customStyle="1" w:styleId="159">
    <w:name w:val="样式2"/>
    <w:basedOn w:val="1"/>
    <w:link w:val="158"/>
    <w:qFormat/>
    <w:uiPriority w:val="0"/>
    <w:pPr>
      <w:spacing w:line="312" w:lineRule="exact"/>
    </w:pPr>
    <w:rPr>
      <w:rFonts w:ascii="EU-F1" w:eastAsia="黑体"/>
      <w:szCs w:val="21"/>
    </w:rPr>
  </w:style>
  <w:style w:type="character" w:customStyle="1" w:styleId="160">
    <w:name w:val="标题 3 Char"/>
    <w:semiHidden/>
    <w:qFormat/>
    <w:uiPriority w:val="0"/>
    <w:rPr>
      <w:b/>
      <w:bCs/>
      <w:kern w:val="2"/>
      <w:sz w:val="32"/>
      <w:szCs w:val="32"/>
    </w:rPr>
  </w:style>
  <w:style w:type="character" w:customStyle="1" w:styleId="161">
    <w:name w:val="标题 3 Char1"/>
    <w:link w:val="5"/>
    <w:qFormat/>
    <w:uiPriority w:val="0"/>
    <w:rPr>
      <w:b/>
      <w:bCs/>
      <w:kern w:val="2"/>
      <w:sz w:val="32"/>
      <w:szCs w:val="32"/>
    </w:rPr>
  </w:style>
  <w:style w:type="character" w:customStyle="1" w:styleId="162">
    <w:name w:val="列出段落 Char"/>
    <w:link w:val="163"/>
    <w:qFormat/>
    <w:uiPriority w:val="0"/>
    <w:rPr>
      <w:kern w:val="2"/>
      <w:sz w:val="21"/>
      <w:szCs w:val="22"/>
    </w:rPr>
  </w:style>
  <w:style w:type="paragraph" w:customStyle="1" w:styleId="163">
    <w:name w:val="列出段落1"/>
    <w:basedOn w:val="1"/>
    <w:link w:val="162"/>
    <w:qFormat/>
    <w:uiPriority w:val="0"/>
    <w:pPr>
      <w:ind w:firstLine="420" w:firstLineChars="200"/>
    </w:pPr>
    <w:rPr>
      <w:szCs w:val="22"/>
    </w:rPr>
  </w:style>
  <w:style w:type="character" w:customStyle="1" w:styleId="164">
    <w:name w:val="正文文本 Char1"/>
    <w:link w:val="14"/>
    <w:qFormat/>
    <w:uiPriority w:val="99"/>
    <w:rPr>
      <w:kern w:val="2"/>
      <w:sz w:val="21"/>
      <w:szCs w:val="22"/>
    </w:rPr>
  </w:style>
  <w:style w:type="character" w:customStyle="1" w:styleId="165">
    <w:name w:val="朱2 Char Char"/>
    <w:link w:val="166"/>
    <w:qFormat/>
    <w:uiPriority w:val="0"/>
    <w:rPr>
      <w:rFonts w:ascii="EU-F1" w:hAnsi="Calibri" w:eastAsia="黑体"/>
      <w:kern w:val="2"/>
      <w:sz w:val="21"/>
      <w:szCs w:val="21"/>
    </w:rPr>
  </w:style>
  <w:style w:type="paragraph" w:customStyle="1" w:styleId="166">
    <w:name w:val="朱2"/>
    <w:basedOn w:val="159"/>
    <w:link w:val="165"/>
    <w:qFormat/>
    <w:uiPriority w:val="0"/>
    <w:pPr>
      <w:topLinePunct/>
      <w:adjustRightInd w:val="0"/>
    </w:pPr>
    <w:rPr>
      <w:rFonts w:hAnsi="Calibri"/>
    </w:rPr>
  </w:style>
  <w:style w:type="character" w:customStyle="1" w:styleId="167">
    <w:name w:val="正文文本 Char"/>
    <w:qFormat/>
    <w:uiPriority w:val="0"/>
    <w:rPr>
      <w:kern w:val="2"/>
      <w:sz w:val="21"/>
      <w:szCs w:val="24"/>
    </w:rPr>
  </w:style>
  <w:style w:type="character" w:customStyle="1" w:styleId="168">
    <w:name w:val="表头 Char Char"/>
    <w:link w:val="124"/>
    <w:qFormat/>
    <w:uiPriority w:val="0"/>
    <w:rPr>
      <w:rFonts w:ascii="EU-F1" w:eastAsia="黑体"/>
      <w:kern w:val="2"/>
      <w:sz w:val="21"/>
      <w:szCs w:val="21"/>
    </w:rPr>
  </w:style>
  <w:style w:type="character" w:customStyle="1" w:styleId="169">
    <w:name w:val="大纲正文样式 Char Char"/>
    <w:link w:val="170"/>
    <w:qFormat/>
    <w:uiPriority w:val="0"/>
    <w:rPr>
      <w:color w:val="000000"/>
      <w:kern w:val="2"/>
      <w:sz w:val="24"/>
      <w:szCs w:val="24"/>
    </w:rPr>
  </w:style>
  <w:style w:type="paragraph" w:customStyle="1" w:styleId="170">
    <w:name w:val="大纲正文样式"/>
    <w:basedOn w:val="1"/>
    <w:link w:val="169"/>
    <w:qFormat/>
    <w:uiPriority w:val="0"/>
    <w:pPr>
      <w:tabs>
        <w:tab w:val="left" w:pos="540"/>
      </w:tabs>
      <w:spacing w:line="300" w:lineRule="auto"/>
      <w:ind w:firstLine="200" w:firstLineChars="200"/>
    </w:pPr>
    <w:rPr>
      <w:color w:val="000000"/>
      <w:sz w:val="24"/>
    </w:rPr>
  </w:style>
  <w:style w:type="paragraph" w:customStyle="1" w:styleId="171">
    <w:name w:val="公式"/>
    <w:basedOn w:val="30"/>
    <w:qFormat/>
    <w:uiPriority w:val="0"/>
    <w:pPr>
      <w:widowControl w:val="0"/>
      <w:tabs>
        <w:tab w:val="center" w:pos="4706"/>
        <w:tab w:val="right" w:pos="9412"/>
        <w:tab w:val="clear" w:pos="4201"/>
        <w:tab w:val="clear" w:pos="9298"/>
      </w:tabs>
      <w:topLinePunct/>
      <w:autoSpaceDE/>
      <w:autoSpaceDN/>
      <w:snapToGrid w:val="0"/>
      <w:spacing w:before="40" w:after="40"/>
      <w:ind w:firstLine="0" w:firstLineChars="0"/>
    </w:pPr>
    <w:rPr>
      <w:rFonts w:ascii="Calibri" w:hAnsi="Calibri" w:cs="Arial"/>
      <w:kern w:val="2"/>
      <w:szCs w:val="21"/>
    </w:rPr>
  </w:style>
  <w:style w:type="paragraph" w:customStyle="1" w:styleId="172">
    <w:name w:val="样式3"/>
    <w:basedOn w:val="1"/>
    <w:qFormat/>
    <w:uiPriority w:val="0"/>
    <w:pPr>
      <w:tabs>
        <w:tab w:val="left" w:pos="420"/>
        <w:tab w:val="left" w:pos="851"/>
      </w:tabs>
      <w:ind w:left="851" w:hanging="851"/>
    </w:pPr>
    <w:rPr>
      <w:szCs w:val="21"/>
    </w:rPr>
  </w:style>
  <w:style w:type="character" w:customStyle="1" w:styleId="173">
    <w:name w:val="标题 1 Char"/>
    <w:link w:val="3"/>
    <w:qFormat/>
    <w:uiPriority w:val="0"/>
    <w:rPr>
      <w:b/>
      <w:bCs/>
      <w:kern w:val="44"/>
      <w:sz w:val="44"/>
      <w:szCs w:val="44"/>
    </w:rPr>
  </w:style>
  <w:style w:type="character" w:customStyle="1" w:styleId="174">
    <w:name w:val="HTML 地址 Char1"/>
    <w:link w:val="16"/>
    <w:qFormat/>
    <w:uiPriority w:val="0"/>
    <w:rPr>
      <w:i/>
      <w:iCs/>
      <w:kern w:val="2"/>
      <w:sz w:val="21"/>
      <w:szCs w:val="24"/>
    </w:rPr>
  </w:style>
  <w:style w:type="character" w:customStyle="1" w:styleId="175">
    <w:name w:val="HTML 地址 Char"/>
    <w:qFormat/>
    <w:uiPriority w:val="0"/>
    <w:rPr>
      <w:i/>
      <w:iCs/>
      <w:kern w:val="2"/>
      <w:sz w:val="21"/>
      <w:szCs w:val="24"/>
    </w:rPr>
  </w:style>
  <w:style w:type="character" w:customStyle="1" w:styleId="176">
    <w:name w:val="批注主题 Char"/>
    <w:basedOn w:val="153"/>
    <w:link w:val="39"/>
    <w:qFormat/>
    <w:uiPriority w:val="0"/>
    <w:rPr>
      <w:b/>
      <w:bCs/>
      <w:kern w:val="2"/>
      <w:sz w:val="21"/>
      <w:szCs w:val="24"/>
    </w:rPr>
  </w:style>
  <w:style w:type="character" w:customStyle="1" w:styleId="177">
    <w:name w:val="批注文字 字符"/>
    <w:qFormat/>
    <w:uiPriority w:val="0"/>
    <w:rPr>
      <w:kern w:val="2"/>
      <w:sz w:val="21"/>
      <w:szCs w:val="22"/>
    </w:rPr>
  </w:style>
  <w:style w:type="paragraph" w:customStyle="1" w:styleId="178">
    <w:name w:val="Table Paragraph"/>
    <w:basedOn w:val="1"/>
    <w:qFormat/>
    <w:uiPriority w:val="1"/>
  </w:style>
  <w:style w:type="paragraph" w:customStyle="1" w:styleId="179">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18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1">
    <w:name w:val="标题 4 Char"/>
    <w:basedOn w:val="42"/>
    <w:link w:val="6"/>
    <w:semiHidden/>
    <w:qFormat/>
    <w:uiPriority w:val="0"/>
    <w:rPr>
      <w:rFonts w:asciiTheme="majorHAnsi" w:hAnsiTheme="majorHAnsi" w:eastAsiaTheme="majorEastAsia" w:cstheme="majorBidi"/>
      <w:b/>
      <w:bCs/>
      <w:kern w:val="2"/>
      <w:sz w:val="28"/>
      <w:szCs w:val="28"/>
    </w:rPr>
  </w:style>
  <w:style w:type="character" w:customStyle="1" w:styleId="182">
    <w:name w:val="font01"/>
    <w:basedOn w:val="42"/>
    <w:qFormat/>
    <w:uiPriority w:val="0"/>
    <w:rPr>
      <w:rFonts w:hint="eastAsia" w:ascii="宋体" w:hAnsi="宋体" w:eastAsia="宋体"/>
      <w:color w:val="000000"/>
      <w:sz w:val="21"/>
      <w:szCs w:val="21"/>
      <w:u w:val="none"/>
    </w:rPr>
  </w:style>
  <w:style w:type="character" w:customStyle="1" w:styleId="183">
    <w:name w:val="font21"/>
    <w:basedOn w:val="42"/>
    <w:qFormat/>
    <w:uiPriority w:val="0"/>
    <w:rPr>
      <w:rFonts w:hint="eastAsia" w:ascii="宋体" w:hAnsi="宋体" w:eastAsia="宋体"/>
      <w:color w:val="FF0000"/>
      <w:sz w:val="24"/>
      <w:szCs w:val="24"/>
      <w:u w:val="none"/>
    </w:rPr>
  </w:style>
  <w:style w:type="paragraph" w:customStyle="1" w:styleId="18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font51"/>
    <w:basedOn w:val="42"/>
    <w:qFormat/>
    <w:uiPriority w:val="0"/>
    <w:rPr>
      <w:rFonts w:hint="eastAsia" w:ascii="宋体" w:hAnsi="宋体" w:eastAsia="宋体"/>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6208A-C613-4738-9561-FCCE41DF50F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926</Words>
  <Characters>5283</Characters>
  <Lines>44</Lines>
  <Paragraphs>12</Paragraphs>
  <TotalTime>3</TotalTime>
  <ScaleCrop>false</ScaleCrop>
  <LinksUpToDate>false</LinksUpToDate>
  <CharactersWithSpaces>6197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2023-02-21T11:13:00Z</dcterms:created>
  <dcterms:modified xsi:type="dcterms:W3CDTF">2023-11-19T10:23:09Z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192D9946429944E1B7EA9C44755959D4_13</vt:lpwstr>
  </property>
</Properties>
</file>