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Times New Roman" w:hAnsi="Times New Roman" w:eastAsia="黑体"/>
          <w:sz w:val="52"/>
          <w:szCs w:val="52"/>
        </w:rPr>
      </w:pPr>
      <w:r>
        <w:rPr>
          <w:rFonts w:hint="eastAsia" w:ascii="Times New Roman" w:hAnsi="Times New Roman" w:eastAsia="黑体"/>
          <w:sz w:val="52"/>
          <w:szCs w:val="52"/>
        </w:rPr>
        <w:t>中国仪器仪表行业协会团体标准</w:t>
      </w:r>
    </w:p>
    <w:p>
      <w:pPr>
        <w:rPr>
          <w:rFonts w:ascii="Times New Roman" w:hAnsi="Times New Roman" w:eastAsia="黑体"/>
          <w:sz w:val="52"/>
          <w:szCs w:val="52"/>
        </w:rPr>
      </w:pPr>
    </w:p>
    <w:p>
      <w:pPr>
        <w:pStyle w:val="4"/>
        <w:jc w:val="center"/>
        <w:rPr>
          <w:rFonts w:ascii="黑体" w:hAnsi="黑体" w:eastAsia="黑体" w:cs="黑体"/>
          <w:b w:val="0"/>
          <w:bCs w:val="0"/>
        </w:rPr>
      </w:pPr>
      <w:r>
        <w:rPr>
          <w:rFonts w:hint="eastAsia" w:ascii="黑体" w:hAnsi="黑体" w:eastAsia="黑体" w:cs="黑体"/>
          <w:b w:val="0"/>
          <w:bCs w:val="0"/>
        </w:rPr>
        <w:t>《</w:t>
      </w:r>
      <w:r>
        <w:rPr>
          <w:rFonts w:hint="eastAsia" w:ascii="黑体" w:hAnsi="黑体" w:eastAsia="黑体" w:cs="黑体"/>
          <w:b w:val="0"/>
          <w:bCs w:val="0"/>
          <w:lang w:eastAsia="zh-CN"/>
        </w:rPr>
        <w:t>电动汽车无线电力传输系统 电能测量设备 第1部分：静止式交流有功电能表技术规范</w:t>
      </w:r>
      <w:r>
        <w:rPr>
          <w:rFonts w:hint="eastAsia" w:ascii="黑体" w:hAnsi="黑体" w:eastAsia="黑体" w:cs="黑体"/>
          <w:b w:val="0"/>
          <w:bCs w:val="0"/>
        </w:rPr>
        <w:t>》</w:t>
      </w: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pStyle w:val="4"/>
        <w:jc w:val="center"/>
        <w:rPr>
          <w:rFonts w:ascii="黑体" w:hAnsi="黑体" w:eastAsia="黑体" w:cs="黑体"/>
          <w:b w:val="0"/>
          <w:bCs w:val="0"/>
        </w:rPr>
      </w:pPr>
      <w:r>
        <w:rPr>
          <w:rFonts w:hint="eastAsia" w:ascii="黑体" w:hAnsi="黑体" w:eastAsia="黑体" w:cs="黑体"/>
          <w:b w:val="0"/>
          <w:bCs w:val="0"/>
        </w:rPr>
        <w:t>编制说明</w:t>
      </w:r>
    </w:p>
    <w:p>
      <w:pPr>
        <w:jc w:val="center"/>
        <w:rPr>
          <w:rFonts w:ascii="Times New Roman" w:hAnsi="Times New Roman"/>
          <w:sz w:val="32"/>
          <w:szCs w:val="32"/>
        </w:rPr>
      </w:pPr>
      <w:r>
        <w:rPr>
          <w:rFonts w:hint="eastAsia" w:ascii="Times New Roman" w:hAnsi="Times New Roman"/>
          <w:sz w:val="32"/>
          <w:szCs w:val="32"/>
        </w:rPr>
        <w:t>（</w:t>
      </w:r>
      <w:r>
        <w:rPr>
          <w:rFonts w:hint="eastAsia" w:ascii="Times New Roman" w:hAnsi="Times New Roman"/>
          <w:b/>
          <w:bCs/>
          <w:sz w:val="32"/>
          <w:szCs w:val="32"/>
          <w:lang w:val="en-US" w:eastAsia="zh-CN"/>
        </w:rPr>
        <w:t>征求意见</w:t>
      </w:r>
      <w:r>
        <w:rPr>
          <w:rFonts w:hint="eastAsia" w:ascii="Times New Roman" w:hAnsi="Times New Roman"/>
          <w:b/>
          <w:bCs/>
          <w:sz w:val="32"/>
          <w:szCs w:val="32"/>
        </w:rPr>
        <w:t>稿</w:t>
      </w:r>
      <w:r>
        <w:rPr>
          <w:rFonts w:hint="eastAsia" w:ascii="Times New Roman" w:hAnsi="Times New Roman"/>
          <w:sz w:val="32"/>
          <w:szCs w:val="32"/>
        </w:rPr>
        <w:t>）</w:t>
      </w:r>
    </w:p>
    <w:p>
      <w:pPr>
        <w:rPr>
          <w:rFonts w:ascii="Times New Roman" w:hAnsi="Times New Roman"/>
          <w:sz w:val="28"/>
          <w:szCs w:val="28"/>
        </w:rPr>
      </w:pPr>
      <w:r>
        <w:rPr>
          <w:rFonts w:hint="eastAsia" w:ascii="Times New Roman" w:hAnsi="Times New Roman"/>
          <w:sz w:val="28"/>
          <w:szCs w:val="28"/>
        </w:rPr>
        <w:t xml:space="preserve">                          </w:t>
      </w: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jc w:val="center"/>
        <w:rPr>
          <w:rFonts w:hint="default" w:ascii="Times New Roman" w:hAnsi="Times New Roman" w:eastAsia="宋体"/>
          <w:sz w:val="28"/>
          <w:szCs w:val="28"/>
          <w:lang w:val="en-US" w:eastAsia="zh-CN"/>
        </w:rPr>
      </w:pPr>
      <w:r>
        <w:rPr>
          <w:rFonts w:hint="eastAsia" w:ascii="Times New Roman" w:hAnsi="Times New Roman"/>
          <w:sz w:val="28"/>
          <w:szCs w:val="28"/>
        </w:rPr>
        <w:t>202</w:t>
      </w:r>
      <w:r>
        <w:rPr>
          <w:rFonts w:hint="eastAsia" w:ascii="Times New Roman" w:hAnsi="Times New Roman"/>
          <w:sz w:val="28"/>
          <w:szCs w:val="28"/>
          <w:lang w:val="en-US" w:eastAsia="zh-CN"/>
        </w:rPr>
        <w:t>40129</w:t>
      </w:r>
    </w:p>
    <w:p>
      <w:pPr>
        <w:pStyle w:val="20"/>
        <w:ind w:firstLine="0" w:firstLineChars="0"/>
        <w:jc w:val="center"/>
        <w:rPr>
          <w:rFonts w:ascii="黑体" w:hAnsi="黑体" w:eastAsia="黑体" w:cs="黑体"/>
          <w:sz w:val="28"/>
          <w:szCs w:val="28"/>
        </w:rPr>
      </w:pPr>
    </w:p>
    <w:p>
      <w:pPr>
        <w:pStyle w:val="22"/>
        <w:spacing w:before="360" w:after="360"/>
        <w:rPr>
          <w:rFonts w:hAnsi="黑体" w:cs="黑体"/>
          <w:shd w:val="clear" w:color="auto" w:fill="FFFFFF"/>
        </w:rPr>
        <w:sectPr>
          <w:pgSz w:w="11906" w:h="16838"/>
          <w:pgMar w:top="1440" w:right="1800" w:bottom="1440" w:left="1800" w:header="851" w:footer="992" w:gutter="0"/>
          <w:cols w:space="720" w:num="1"/>
          <w:docGrid w:type="lines" w:linePitch="312" w:charSpace="0"/>
        </w:sectPr>
      </w:pPr>
    </w:p>
    <w:p>
      <w:pPr>
        <w:pStyle w:val="5"/>
        <w:rPr>
          <w:rFonts w:ascii="宋体" w:hAnsi="宋体" w:cs="宋体"/>
          <w:sz w:val="28"/>
          <w:szCs w:val="28"/>
        </w:rPr>
      </w:pPr>
      <w:r>
        <w:rPr>
          <w:rFonts w:hint="eastAsia" w:ascii="宋体" w:hAnsi="宋体" w:cs="宋体"/>
          <w:sz w:val="28"/>
          <w:szCs w:val="28"/>
        </w:rPr>
        <w:t>一、工作简况</w:t>
      </w:r>
    </w:p>
    <w:p>
      <w:pPr>
        <w:pStyle w:val="5"/>
        <w:rPr>
          <w:rFonts w:ascii="宋体" w:hAnsi="宋体" w:cs="宋体"/>
          <w:sz w:val="28"/>
          <w:szCs w:val="28"/>
        </w:rPr>
      </w:pPr>
      <w:r>
        <w:rPr>
          <w:rFonts w:hint="eastAsia" w:ascii="宋体" w:hAnsi="宋体" w:cs="宋体"/>
          <w:sz w:val="28"/>
          <w:szCs w:val="28"/>
        </w:rPr>
        <w:t>1．任务来源</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本团体标准根据中国仪器仪表行业协会关于《静止式电能表动态误差同步测试方法》等16项团体标准立项的批复（中仪协 [2022]10号）文件立项，项目名称为《电动汽车无线充电系统电能计量技术规范》，项目编号为T/CIMA 0102，</w:t>
      </w:r>
      <w:r>
        <w:rPr>
          <w:rFonts w:hint="eastAsia" w:ascii="Times New Roman" w:hAnsi="Times New Roman"/>
          <w:b w:val="0"/>
          <w:bCs w:val="0"/>
          <w:kern w:val="2"/>
          <w:sz w:val="24"/>
          <w:szCs w:val="24"/>
        </w:rPr>
        <w:t>由中国仪器仪表行业协会电工仪器仪表分会提出，由中国仪器仪表行业协会归口。计划制定起止时间</w:t>
      </w:r>
      <w:commentRangeStart w:id="0"/>
      <w:r>
        <w:rPr>
          <w:rFonts w:hint="eastAsia" w:ascii="Times New Roman" w:hAnsi="Times New Roman"/>
          <w:b w:val="0"/>
          <w:bCs w:val="0"/>
          <w:kern w:val="2"/>
          <w:sz w:val="24"/>
          <w:szCs w:val="24"/>
        </w:rPr>
        <w:t>为2</w:t>
      </w:r>
      <w:r>
        <w:rPr>
          <w:rFonts w:ascii="Times New Roman" w:hAnsi="Times New Roman"/>
          <w:b w:val="0"/>
          <w:bCs w:val="0"/>
          <w:kern w:val="2"/>
          <w:sz w:val="24"/>
          <w:szCs w:val="24"/>
        </w:rPr>
        <w:t>02</w:t>
      </w:r>
      <w:r>
        <w:rPr>
          <w:rFonts w:hint="eastAsia" w:ascii="Times New Roman" w:hAnsi="Times New Roman"/>
          <w:b w:val="0"/>
          <w:bCs w:val="0"/>
          <w:kern w:val="2"/>
          <w:sz w:val="24"/>
          <w:szCs w:val="24"/>
          <w:lang w:val="en-US" w:eastAsia="zh-CN"/>
        </w:rPr>
        <w:t>2</w:t>
      </w:r>
      <w:r>
        <w:rPr>
          <w:rFonts w:hint="eastAsia" w:ascii="Times New Roman" w:hAnsi="Times New Roman"/>
          <w:b w:val="0"/>
          <w:bCs w:val="0"/>
          <w:kern w:val="2"/>
          <w:sz w:val="24"/>
          <w:szCs w:val="24"/>
        </w:rPr>
        <w:t>年</w:t>
      </w:r>
      <w:r>
        <w:rPr>
          <w:rFonts w:hint="eastAsia" w:ascii="Times New Roman" w:hAnsi="Times New Roman"/>
          <w:b w:val="0"/>
          <w:bCs w:val="0"/>
          <w:kern w:val="2"/>
          <w:sz w:val="24"/>
          <w:szCs w:val="24"/>
          <w:lang w:val="en-US" w:eastAsia="zh-CN"/>
        </w:rPr>
        <w:t>6</w:t>
      </w:r>
      <w:r>
        <w:rPr>
          <w:rFonts w:hint="eastAsia" w:ascii="Times New Roman" w:hAnsi="Times New Roman"/>
          <w:b w:val="0"/>
          <w:bCs w:val="0"/>
          <w:kern w:val="2"/>
          <w:sz w:val="24"/>
          <w:szCs w:val="24"/>
        </w:rPr>
        <w:t>月至2</w:t>
      </w:r>
      <w:r>
        <w:rPr>
          <w:rFonts w:ascii="Times New Roman" w:hAnsi="Times New Roman"/>
          <w:b w:val="0"/>
          <w:bCs w:val="0"/>
          <w:kern w:val="2"/>
          <w:sz w:val="24"/>
          <w:szCs w:val="24"/>
        </w:rPr>
        <w:t>02</w:t>
      </w:r>
      <w:r>
        <w:rPr>
          <w:rFonts w:hint="eastAsia" w:ascii="Times New Roman" w:hAnsi="Times New Roman"/>
          <w:b w:val="0"/>
          <w:bCs w:val="0"/>
          <w:kern w:val="2"/>
          <w:sz w:val="24"/>
          <w:szCs w:val="24"/>
          <w:lang w:val="en-US" w:eastAsia="zh-CN"/>
        </w:rPr>
        <w:t>4</w:t>
      </w:r>
      <w:r>
        <w:rPr>
          <w:rFonts w:hint="eastAsia" w:ascii="Times New Roman" w:hAnsi="Times New Roman"/>
          <w:b w:val="0"/>
          <w:bCs w:val="0"/>
          <w:kern w:val="2"/>
          <w:sz w:val="24"/>
          <w:szCs w:val="24"/>
        </w:rPr>
        <w:t>年</w:t>
      </w:r>
      <w:r>
        <w:rPr>
          <w:rFonts w:hint="eastAsia" w:ascii="Times New Roman" w:hAnsi="Times New Roman"/>
          <w:b w:val="0"/>
          <w:bCs w:val="0"/>
          <w:kern w:val="2"/>
          <w:sz w:val="24"/>
          <w:szCs w:val="24"/>
          <w:lang w:val="en-US" w:eastAsia="zh-CN"/>
        </w:rPr>
        <w:t>1</w:t>
      </w:r>
      <w:r>
        <w:rPr>
          <w:rFonts w:hint="eastAsia" w:ascii="Times New Roman" w:hAnsi="Times New Roman"/>
          <w:b w:val="0"/>
          <w:bCs w:val="0"/>
          <w:kern w:val="2"/>
          <w:sz w:val="24"/>
          <w:szCs w:val="24"/>
        </w:rPr>
        <w:t>月</w:t>
      </w:r>
      <w:commentRangeEnd w:id="0"/>
      <w:r>
        <w:commentReference w:id="0"/>
      </w:r>
      <w:r>
        <w:rPr>
          <w:rFonts w:hint="eastAsia" w:ascii="Times New Roman" w:hAnsi="Times New Roman"/>
          <w:b w:val="0"/>
          <w:bCs w:val="0"/>
          <w:kern w:val="2"/>
          <w:sz w:val="24"/>
          <w:szCs w:val="24"/>
          <w:lang w:eastAsia="zh-CN"/>
        </w:rPr>
        <w:t>，</w:t>
      </w:r>
      <w:r>
        <w:rPr>
          <w:rFonts w:hint="eastAsia" w:ascii="Times New Roman" w:hAnsi="Times New Roman"/>
          <w:b w:val="0"/>
          <w:bCs w:val="0"/>
          <w:kern w:val="2"/>
          <w:sz w:val="24"/>
          <w:szCs w:val="24"/>
          <w:lang w:val="en-US" w:eastAsia="zh-CN"/>
        </w:rPr>
        <w:t>因疫情原因延期</w:t>
      </w:r>
      <w:bookmarkStart w:id="0" w:name="_GoBack"/>
      <w:bookmarkEnd w:id="0"/>
      <w:r>
        <w:rPr>
          <w:rFonts w:hint="eastAsia" w:ascii="Times New Roman" w:hAnsi="Times New Roman"/>
          <w:b w:val="0"/>
          <w:bCs w:val="0"/>
          <w:kern w:val="2"/>
          <w:sz w:val="24"/>
          <w:szCs w:val="24"/>
          <w:lang w:eastAsia="zh-CN"/>
        </w:rPr>
        <w:t>。</w:t>
      </w:r>
    </w:p>
    <w:p>
      <w:pPr>
        <w:pStyle w:val="5"/>
        <w:rPr>
          <w:rFonts w:ascii="宋体" w:hAnsi="宋体" w:cs="宋体"/>
          <w:sz w:val="28"/>
          <w:szCs w:val="28"/>
        </w:rPr>
      </w:pPr>
      <w:r>
        <w:rPr>
          <w:rFonts w:hint="eastAsia" w:ascii="宋体" w:hAnsi="宋体" w:cs="宋体"/>
          <w:sz w:val="28"/>
          <w:szCs w:val="28"/>
        </w:rPr>
        <w:t>2．主要工作过程</w:t>
      </w:r>
    </w:p>
    <w:p>
      <w:pPr>
        <w:spacing w:line="360" w:lineRule="auto"/>
        <w:ind w:firstLine="482" w:firstLineChars="200"/>
        <w:rPr>
          <w:rFonts w:hint="eastAsia" w:ascii="宋体" w:hAnsi="宋体" w:cs="宋体"/>
          <w:b/>
          <w:sz w:val="24"/>
          <w:szCs w:val="24"/>
          <w:highlight w:val="none"/>
        </w:rPr>
      </w:pPr>
      <w:commentRangeStart w:id="1"/>
      <w:r>
        <w:rPr>
          <w:rFonts w:hint="eastAsia" w:ascii="宋体" w:hAnsi="宋体" w:cs="宋体"/>
          <w:b/>
          <w:sz w:val="24"/>
          <w:szCs w:val="24"/>
        </w:rPr>
        <w:t>202</w:t>
      </w:r>
      <w:r>
        <w:rPr>
          <w:rFonts w:hint="eastAsia" w:ascii="宋体" w:hAnsi="宋体" w:cs="宋体"/>
          <w:b/>
          <w:sz w:val="24"/>
          <w:szCs w:val="24"/>
          <w:lang w:val="en-US" w:eastAsia="zh-CN"/>
        </w:rPr>
        <w:t>2</w:t>
      </w:r>
      <w:r>
        <w:rPr>
          <w:rFonts w:hint="eastAsia" w:ascii="宋体" w:hAnsi="宋体" w:cs="宋体"/>
          <w:b/>
          <w:sz w:val="24"/>
          <w:szCs w:val="24"/>
        </w:rPr>
        <w:t>年</w:t>
      </w:r>
      <w:r>
        <w:rPr>
          <w:rFonts w:hint="eastAsia" w:ascii="宋体" w:hAnsi="宋体" w:cs="宋体"/>
          <w:b/>
          <w:sz w:val="24"/>
          <w:szCs w:val="24"/>
          <w:lang w:val="en-US" w:eastAsia="zh-CN"/>
        </w:rPr>
        <w:t>3</w:t>
      </w:r>
      <w:r>
        <w:rPr>
          <w:rFonts w:hint="eastAsia" w:ascii="宋体" w:hAnsi="宋体" w:cs="宋体"/>
          <w:b/>
          <w:sz w:val="24"/>
          <w:szCs w:val="24"/>
        </w:rPr>
        <w:t>月：</w:t>
      </w:r>
      <w:commentRangeEnd w:id="1"/>
      <w:r>
        <w:commentReference w:id="1"/>
      </w:r>
      <w:r>
        <w:rPr>
          <w:rFonts w:hint="eastAsia" w:ascii="宋体" w:hAnsi="宋体" w:cs="宋体"/>
          <w:bCs/>
          <w:sz w:val="24"/>
          <w:szCs w:val="24"/>
        </w:rPr>
        <w:t>中国仪器仪表行业协会电工仪器仪表分会申请立项，</w:t>
      </w:r>
      <w:r>
        <w:rPr>
          <w:rFonts w:hint="eastAsia" w:ascii="宋体" w:hAnsi="宋体" w:cs="宋体"/>
          <w:bCs/>
          <w:sz w:val="24"/>
          <w:szCs w:val="24"/>
          <w:lang w:eastAsia="zh-CN"/>
        </w:rPr>
        <w:t>阐明了申请必要性，</w:t>
      </w:r>
      <w:r>
        <w:rPr>
          <w:rFonts w:hint="eastAsia" w:ascii="宋体" w:hAnsi="宋体" w:cs="宋体"/>
          <w:b/>
          <w:sz w:val="24"/>
          <w:szCs w:val="24"/>
        </w:rPr>
        <w:t>并形成标准草案稿。</w:t>
      </w:r>
    </w:p>
    <w:p>
      <w:pPr>
        <w:spacing w:line="360" w:lineRule="auto"/>
        <w:ind w:firstLine="482" w:firstLineChars="200"/>
        <w:rPr>
          <w:rFonts w:ascii="宋体" w:hAnsi="宋体" w:cs="宋体"/>
          <w:sz w:val="24"/>
          <w:szCs w:val="24"/>
        </w:rPr>
      </w:pPr>
      <w:r>
        <w:rPr>
          <w:rFonts w:hint="eastAsia" w:ascii="宋体" w:hAnsi="宋体" w:cs="宋体"/>
          <w:b/>
          <w:sz w:val="24"/>
          <w:szCs w:val="24"/>
          <w:highlight w:val="none"/>
        </w:rPr>
        <w:t>202</w:t>
      </w:r>
      <w:r>
        <w:rPr>
          <w:rFonts w:hint="eastAsia" w:ascii="宋体" w:hAnsi="宋体" w:cs="宋体"/>
          <w:b/>
          <w:sz w:val="24"/>
          <w:szCs w:val="24"/>
          <w:highlight w:val="none"/>
          <w:lang w:val="en-US" w:eastAsia="zh-CN"/>
        </w:rPr>
        <w:t>2</w:t>
      </w:r>
      <w:r>
        <w:rPr>
          <w:rFonts w:hint="eastAsia" w:ascii="宋体" w:hAnsi="宋体" w:cs="宋体"/>
          <w:b/>
          <w:sz w:val="24"/>
          <w:szCs w:val="24"/>
          <w:highlight w:val="none"/>
        </w:rPr>
        <w:t>年</w:t>
      </w:r>
      <w:r>
        <w:rPr>
          <w:rFonts w:hint="eastAsia" w:ascii="宋体" w:hAnsi="宋体" w:cs="宋体"/>
          <w:b/>
          <w:sz w:val="24"/>
          <w:szCs w:val="24"/>
          <w:highlight w:val="none"/>
          <w:lang w:val="en-US" w:eastAsia="zh-CN"/>
        </w:rPr>
        <w:t>6</w:t>
      </w:r>
      <w:r>
        <w:rPr>
          <w:rFonts w:hint="eastAsia" w:ascii="宋体" w:hAnsi="宋体" w:cs="宋体"/>
          <w:b/>
          <w:sz w:val="24"/>
          <w:szCs w:val="24"/>
          <w:highlight w:val="none"/>
        </w:rPr>
        <w:t>月：</w:t>
      </w:r>
      <w:r>
        <w:rPr>
          <w:rFonts w:hint="eastAsia" w:ascii="宋体" w:hAnsi="宋体" w:cs="宋体"/>
          <w:sz w:val="24"/>
          <w:szCs w:val="24"/>
          <w:highlight w:val="none"/>
        </w:rPr>
        <w:t>中国仪器仪表行业协会组织立项评审会议，</w:t>
      </w:r>
      <w:r>
        <w:rPr>
          <w:rFonts w:hint="eastAsia" w:ascii="宋体" w:hAnsi="宋体" w:cs="宋体"/>
          <w:sz w:val="24"/>
          <w:szCs w:val="24"/>
          <w:highlight w:val="none"/>
          <w:lang w:val="en-US" w:eastAsia="zh-CN"/>
        </w:rPr>
        <w:t>会后</w:t>
      </w:r>
      <w:r>
        <w:rPr>
          <w:rFonts w:hint="eastAsia" w:ascii="宋体" w:hAnsi="宋体" w:cs="宋体"/>
          <w:sz w:val="24"/>
          <w:szCs w:val="24"/>
          <w:highlight w:val="none"/>
        </w:rPr>
        <w:t>下达了《关于《静止式电能表动态误差同步测试方法》等16项团体标准立项的批复》，由</w:t>
      </w:r>
      <w:r>
        <w:rPr>
          <w:rFonts w:hint="eastAsia" w:ascii="宋体" w:hAnsi="宋体" w:cs="宋体"/>
          <w:sz w:val="24"/>
          <w:szCs w:val="24"/>
          <w:highlight w:val="none"/>
          <w:lang w:val="en-US" w:eastAsia="zh-CN"/>
        </w:rPr>
        <w:t>南方电网科学研究院有限责任公司</w:t>
      </w:r>
      <w:r>
        <w:rPr>
          <w:rFonts w:hint="eastAsia" w:ascii="宋体" w:hAnsi="宋体" w:cs="宋体"/>
          <w:sz w:val="24"/>
          <w:szCs w:val="24"/>
        </w:rPr>
        <w:t>牵头，</w:t>
      </w:r>
      <w:r>
        <w:rPr>
          <w:rFonts w:hint="eastAsia" w:ascii="宋体" w:hAnsi="宋体" w:cs="宋体"/>
          <w:sz w:val="24"/>
          <w:szCs w:val="24"/>
          <w:lang w:eastAsia="zh-CN"/>
        </w:rPr>
        <w:t>国网及南网相关网省、</w:t>
      </w:r>
      <w:r>
        <w:rPr>
          <w:rFonts w:hint="eastAsia" w:ascii="宋体" w:hAnsi="宋体" w:cs="宋体"/>
          <w:sz w:val="24"/>
          <w:szCs w:val="24"/>
          <w:lang w:val="en-US" w:eastAsia="zh-CN"/>
        </w:rPr>
        <w:t>部分仪表制造企业</w:t>
      </w:r>
      <w:r>
        <w:rPr>
          <w:rFonts w:hint="eastAsia" w:ascii="宋体" w:hAnsi="宋体" w:cs="宋体"/>
          <w:sz w:val="24"/>
          <w:szCs w:val="24"/>
          <w:lang w:eastAsia="zh-CN"/>
        </w:rPr>
        <w:t>参与，</w:t>
      </w:r>
      <w:r>
        <w:rPr>
          <w:rFonts w:hint="eastAsia" w:ascii="宋体" w:hAnsi="宋体" w:cs="宋体"/>
          <w:sz w:val="24"/>
          <w:szCs w:val="24"/>
        </w:rPr>
        <w:t>组织</w:t>
      </w:r>
      <w:r>
        <w:rPr>
          <w:rFonts w:hint="eastAsia" w:ascii="黑体" w:hAnsi="黑体" w:eastAsia="黑体" w:cs="黑体"/>
          <w:b/>
          <w:sz w:val="24"/>
          <w:szCs w:val="24"/>
        </w:rPr>
        <w:t>成立标准起草工作组</w:t>
      </w:r>
      <w:r>
        <w:rPr>
          <w:rFonts w:hint="eastAsia" w:ascii="宋体" w:hAnsi="宋体" w:cs="宋体"/>
          <w:sz w:val="24"/>
          <w:szCs w:val="24"/>
        </w:rPr>
        <w:t>。</w:t>
      </w:r>
    </w:p>
    <w:p>
      <w:pPr>
        <w:spacing w:line="360" w:lineRule="auto"/>
        <w:ind w:firstLine="482" w:firstLineChars="200"/>
        <w:rPr>
          <w:rFonts w:ascii="宋体" w:hAnsi="宋体" w:cs="宋体"/>
          <w:sz w:val="24"/>
          <w:szCs w:val="24"/>
        </w:rPr>
      </w:pPr>
      <w:commentRangeStart w:id="2"/>
      <w:r>
        <w:rPr>
          <w:rFonts w:hint="eastAsia" w:ascii="宋体" w:hAnsi="宋体" w:cs="宋体"/>
          <w:b/>
          <w:sz w:val="24"/>
          <w:szCs w:val="24"/>
        </w:rPr>
        <w:t>202</w:t>
      </w:r>
      <w:r>
        <w:rPr>
          <w:rFonts w:hint="eastAsia" w:ascii="宋体" w:hAnsi="宋体" w:cs="宋体"/>
          <w:b/>
          <w:sz w:val="24"/>
          <w:szCs w:val="24"/>
          <w:lang w:val="en-US" w:eastAsia="zh-CN"/>
        </w:rPr>
        <w:t>2</w:t>
      </w:r>
      <w:r>
        <w:rPr>
          <w:rFonts w:hint="eastAsia" w:ascii="宋体" w:hAnsi="宋体" w:cs="宋体"/>
          <w:b/>
          <w:sz w:val="24"/>
          <w:szCs w:val="24"/>
        </w:rPr>
        <w:t>年</w:t>
      </w:r>
      <w:r>
        <w:rPr>
          <w:rFonts w:hint="eastAsia" w:ascii="宋体" w:hAnsi="宋体" w:cs="宋体"/>
          <w:b/>
          <w:sz w:val="24"/>
          <w:szCs w:val="24"/>
          <w:lang w:val="en-US" w:eastAsia="zh-CN"/>
        </w:rPr>
        <w:t>6</w:t>
      </w:r>
      <w:r>
        <w:rPr>
          <w:rFonts w:hint="eastAsia" w:ascii="宋体" w:hAnsi="宋体" w:cs="宋体"/>
          <w:b/>
          <w:sz w:val="24"/>
          <w:szCs w:val="24"/>
        </w:rPr>
        <w:t>月-202</w:t>
      </w:r>
      <w:r>
        <w:rPr>
          <w:rFonts w:hint="eastAsia" w:ascii="宋体" w:hAnsi="宋体" w:cs="宋体"/>
          <w:b/>
          <w:sz w:val="24"/>
          <w:szCs w:val="24"/>
          <w:lang w:val="en-US" w:eastAsia="zh-CN"/>
        </w:rPr>
        <w:t>3</w:t>
      </w:r>
      <w:r>
        <w:rPr>
          <w:rFonts w:hint="eastAsia" w:ascii="宋体" w:hAnsi="宋体" w:cs="宋体"/>
          <w:b/>
          <w:sz w:val="24"/>
          <w:szCs w:val="24"/>
        </w:rPr>
        <w:t>年</w:t>
      </w:r>
      <w:r>
        <w:rPr>
          <w:rFonts w:hint="eastAsia" w:ascii="宋体" w:hAnsi="宋体" w:cs="宋体"/>
          <w:b/>
          <w:sz w:val="24"/>
          <w:szCs w:val="24"/>
          <w:lang w:val="en-US" w:eastAsia="zh-CN"/>
        </w:rPr>
        <w:t>4</w:t>
      </w:r>
      <w:r>
        <w:rPr>
          <w:rFonts w:hint="eastAsia" w:ascii="宋体" w:hAnsi="宋体" w:cs="宋体"/>
          <w:b/>
          <w:sz w:val="24"/>
          <w:szCs w:val="24"/>
        </w:rPr>
        <w:t>月</w:t>
      </w:r>
      <w:commentRangeEnd w:id="2"/>
      <w:r>
        <w:commentReference w:id="2"/>
      </w:r>
      <w:r>
        <w:rPr>
          <w:rFonts w:hint="eastAsia" w:ascii="宋体" w:hAnsi="宋体" w:cs="宋体"/>
          <w:b/>
          <w:sz w:val="24"/>
          <w:szCs w:val="24"/>
        </w:rPr>
        <w:t>：</w:t>
      </w:r>
      <w:r>
        <w:rPr>
          <w:rFonts w:hint="eastAsia" w:ascii="宋体" w:hAnsi="宋体" w:cs="宋体"/>
          <w:sz w:val="24"/>
          <w:szCs w:val="24"/>
        </w:rPr>
        <w:t>启动团体标准制定工作。起草组严格按照《国家标准管理办法》、GB/T 1.1—2020《标准化工作导则 第1部分：标准化文件的结构和起草规则编写》等文件的要求</w:t>
      </w:r>
      <w:r>
        <w:rPr>
          <w:rFonts w:hint="eastAsia" w:ascii="宋体" w:hAnsi="宋体" w:cs="宋体"/>
          <w:sz w:val="24"/>
          <w:szCs w:val="24"/>
          <w:lang w:eastAsia="zh-CN"/>
        </w:rPr>
        <w:t>，并最终</w:t>
      </w:r>
      <w:r>
        <w:rPr>
          <w:rFonts w:hint="eastAsia" w:ascii="黑体" w:hAnsi="黑体" w:eastAsia="黑体" w:cs="黑体"/>
          <w:b/>
          <w:sz w:val="24"/>
          <w:szCs w:val="24"/>
        </w:rPr>
        <w:t>形成了工作组讨论稿</w:t>
      </w:r>
      <w:r>
        <w:rPr>
          <w:rFonts w:hint="eastAsia" w:ascii="宋体" w:hAnsi="宋体" w:cs="宋体"/>
          <w:sz w:val="24"/>
          <w:szCs w:val="24"/>
        </w:rPr>
        <w:t>。</w:t>
      </w:r>
    </w:p>
    <w:p>
      <w:pPr>
        <w:spacing w:line="360" w:lineRule="auto"/>
        <w:ind w:firstLine="472" w:firstLineChars="196"/>
        <w:rPr>
          <w:rFonts w:ascii="宋体" w:hAnsi="宋体" w:cs="宋体"/>
          <w:sz w:val="24"/>
          <w:szCs w:val="24"/>
          <w:highlight w:val="none"/>
        </w:rPr>
      </w:pPr>
      <w:r>
        <w:rPr>
          <w:rFonts w:hint="eastAsia" w:ascii="宋体" w:hAnsi="宋体" w:cs="宋体"/>
          <w:b/>
          <w:sz w:val="24"/>
          <w:szCs w:val="24"/>
          <w:highlight w:val="none"/>
        </w:rPr>
        <w:t>202</w:t>
      </w:r>
      <w:r>
        <w:rPr>
          <w:rFonts w:hint="eastAsia" w:ascii="宋体" w:hAnsi="宋体" w:cs="宋体"/>
          <w:b/>
          <w:sz w:val="24"/>
          <w:szCs w:val="24"/>
          <w:highlight w:val="none"/>
          <w:lang w:val="en-US" w:eastAsia="zh-CN"/>
        </w:rPr>
        <w:t>3</w:t>
      </w:r>
      <w:r>
        <w:rPr>
          <w:rFonts w:hint="eastAsia" w:ascii="宋体" w:hAnsi="宋体" w:cs="宋体"/>
          <w:b/>
          <w:sz w:val="24"/>
          <w:szCs w:val="24"/>
          <w:highlight w:val="none"/>
        </w:rPr>
        <w:t>年</w:t>
      </w:r>
      <w:r>
        <w:rPr>
          <w:rFonts w:hint="eastAsia" w:ascii="宋体" w:hAnsi="宋体" w:cs="宋体"/>
          <w:b/>
          <w:sz w:val="24"/>
          <w:szCs w:val="24"/>
          <w:highlight w:val="none"/>
          <w:lang w:val="en-US" w:eastAsia="zh-CN"/>
        </w:rPr>
        <w:t>5月8日</w:t>
      </w:r>
      <w:r>
        <w:rPr>
          <w:rFonts w:hint="eastAsia" w:ascii="宋体" w:hAnsi="宋体" w:cs="宋体"/>
          <w:b/>
          <w:sz w:val="24"/>
          <w:szCs w:val="24"/>
          <w:highlight w:val="none"/>
        </w:rPr>
        <w:t>：</w:t>
      </w:r>
      <w:r>
        <w:rPr>
          <w:rFonts w:hint="eastAsia" w:ascii="宋体" w:hAnsi="宋体" w:cs="宋体"/>
          <w:bCs/>
          <w:sz w:val="24"/>
          <w:szCs w:val="24"/>
          <w:highlight w:val="none"/>
        </w:rPr>
        <w:t>在</w:t>
      </w:r>
      <w:r>
        <w:rPr>
          <w:rFonts w:hint="eastAsia" w:ascii="宋体" w:hAnsi="宋体" w:cs="宋体"/>
          <w:bCs/>
          <w:sz w:val="24"/>
          <w:szCs w:val="24"/>
          <w:highlight w:val="none"/>
          <w:lang w:val="en-US" w:eastAsia="zh-CN"/>
        </w:rPr>
        <w:t>海南海口</w:t>
      </w:r>
      <w:r>
        <w:rPr>
          <w:rFonts w:hint="eastAsia" w:ascii="宋体" w:hAnsi="宋体" w:cs="宋体"/>
          <w:sz w:val="24"/>
          <w:szCs w:val="24"/>
          <w:highlight w:val="none"/>
        </w:rPr>
        <w:t>召开起草工作组第一次会议，工作组对工作组讨论稿的标准化对象、标准结构及主要技术内容进行了认真、细致的逐条讨论，明确了标准化对象、标准的适用范围和整体结构，形成</w:t>
      </w:r>
      <w:r>
        <w:rPr>
          <w:rFonts w:hint="eastAsia" w:ascii="宋体" w:hAnsi="宋体" w:cs="宋体"/>
          <w:sz w:val="24"/>
          <w:szCs w:val="24"/>
          <w:highlight w:val="none"/>
          <w:lang w:eastAsia="zh-CN"/>
        </w:rPr>
        <w:t>第一次工作组</w:t>
      </w:r>
      <w:r>
        <w:rPr>
          <w:rFonts w:hint="eastAsia" w:ascii="宋体" w:hAnsi="宋体" w:cs="宋体"/>
          <w:sz w:val="24"/>
          <w:szCs w:val="24"/>
          <w:highlight w:val="none"/>
        </w:rPr>
        <w:t>会议纪要。</w:t>
      </w:r>
    </w:p>
    <w:p>
      <w:pPr>
        <w:spacing w:line="360" w:lineRule="auto"/>
        <w:ind w:firstLine="472" w:firstLineChars="196"/>
        <w:rPr>
          <w:rFonts w:ascii="宋体" w:hAnsi="宋体" w:cs="宋体"/>
          <w:sz w:val="24"/>
          <w:szCs w:val="24"/>
        </w:rPr>
      </w:pPr>
      <w:r>
        <w:rPr>
          <w:rFonts w:hint="eastAsia" w:ascii="宋体" w:hAnsi="宋体" w:cs="宋体"/>
          <w:b/>
          <w:bCs/>
          <w:sz w:val="24"/>
          <w:szCs w:val="24"/>
        </w:rPr>
        <w:t>2023年11月21日：</w:t>
      </w:r>
      <w:r>
        <w:rPr>
          <w:rFonts w:hint="eastAsia" w:ascii="宋体" w:hAnsi="宋体" w:cs="宋体"/>
          <w:sz w:val="24"/>
          <w:szCs w:val="24"/>
        </w:rPr>
        <w:t>在</w:t>
      </w:r>
      <w:r>
        <w:rPr>
          <w:rFonts w:hint="eastAsia" w:ascii="宋体" w:hAnsi="宋体" w:cs="宋体"/>
          <w:sz w:val="24"/>
          <w:szCs w:val="24"/>
          <w:lang w:val="en-US" w:eastAsia="zh-CN"/>
        </w:rPr>
        <w:t>广东广州</w:t>
      </w:r>
      <w:r>
        <w:rPr>
          <w:rFonts w:hint="eastAsia" w:ascii="宋体" w:hAnsi="宋体" w:cs="宋体"/>
          <w:sz w:val="24"/>
          <w:szCs w:val="24"/>
        </w:rPr>
        <w:t>召开起草工作组第二次会议，对标准工作组讨论稿整体架构</w:t>
      </w:r>
      <w:r>
        <w:rPr>
          <w:rFonts w:hint="eastAsia" w:ascii="宋体" w:hAnsi="宋体" w:cs="宋体"/>
          <w:sz w:val="24"/>
          <w:szCs w:val="24"/>
          <w:lang w:eastAsia="zh-CN"/>
        </w:rPr>
        <w:t>、</w:t>
      </w:r>
      <w:r>
        <w:rPr>
          <w:rFonts w:hint="eastAsia" w:ascii="宋体" w:hAnsi="宋体" w:cs="宋体"/>
          <w:sz w:val="24"/>
          <w:szCs w:val="24"/>
        </w:rPr>
        <w:t>主要技术内容细节以及所征求的意见内容进行了仔细讨论，形成</w:t>
      </w:r>
      <w:r>
        <w:rPr>
          <w:rFonts w:hint="eastAsia" w:ascii="宋体" w:hAnsi="宋体" w:cs="宋体"/>
          <w:sz w:val="24"/>
          <w:szCs w:val="24"/>
          <w:lang w:eastAsia="zh-CN"/>
        </w:rPr>
        <w:t>第二次工作组</w:t>
      </w:r>
      <w:r>
        <w:rPr>
          <w:rFonts w:hint="eastAsia" w:ascii="宋体" w:hAnsi="宋体" w:cs="宋体"/>
          <w:sz w:val="24"/>
          <w:szCs w:val="24"/>
        </w:rPr>
        <w:t>会议纪要。</w:t>
      </w:r>
    </w:p>
    <w:p>
      <w:pPr>
        <w:spacing w:line="360" w:lineRule="auto"/>
        <w:ind w:firstLine="472" w:firstLineChars="196"/>
        <w:rPr>
          <w:rFonts w:ascii="宋体" w:hAnsi="宋体" w:cs="宋体"/>
          <w:b/>
          <w:sz w:val="24"/>
          <w:szCs w:val="24"/>
        </w:rPr>
      </w:pPr>
      <w:r>
        <w:rPr>
          <w:rFonts w:hint="eastAsia" w:ascii="宋体" w:hAnsi="宋体" w:cs="宋体"/>
          <w:b/>
          <w:bCs/>
          <w:sz w:val="24"/>
          <w:szCs w:val="24"/>
        </w:rPr>
        <w:t>202</w:t>
      </w:r>
      <w:r>
        <w:rPr>
          <w:rFonts w:hint="eastAsia" w:ascii="宋体" w:hAnsi="宋体" w:cs="宋体"/>
          <w:b/>
          <w:bCs/>
          <w:sz w:val="24"/>
          <w:szCs w:val="24"/>
          <w:lang w:val="en-US" w:eastAsia="zh-CN"/>
        </w:rPr>
        <w:t>3</w:t>
      </w:r>
      <w:r>
        <w:rPr>
          <w:rFonts w:hint="eastAsia" w:ascii="宋体" w:hAnsi="宋体" w:cs="宋体"/>
          <w:b/>
          <w:bCs/>
          <w:sz w:val="24"/>
          <w:szCs w:val="24"/>
        </w:rPr>
        <w:t>年</w:t>
      </w:r>
      <w:r>
        <w:rPr>
          <w:rFonts w:hint="eastAsia" w:ascii="宋体" w:hAnsi="宋体" w:cs="宋体"/>
          <w:b/>
          <w:bCs/>
          <w:sz w:val="24"/>
          <w:szCs w:val="24"/>
          <w:lang w:val="en-US" w:eastAsia="zh-CN"/>
        </w:rPr>
        <w:t>12月</w:t>
      </w:r>
      <w:r>
        <w:rPr>
          <w:rFonts w:hint="eastAsia" w:ascii="宋体" w:hAnsi="宋体" w:cs="宋体"/>
          <w:b/>
          <w:bCs/>
          <w:sz w:val="24"/>
          <w:szCs w:val="24"/>
        </w:rPr>
        <w:t>：</w:t>
      </w:r>
      <w:r>
        <w:rPr>
          <w:rFonts w:hint="eastAsia" w:ascii="宋体" w:hAnsi="宋体" w:cs="宋体"/>
          <w:sz w:val="24"/>
          <w:szCs w:val="24"/>
        </w:rPr>
        <w:t>标准编制工作组</w:t>
      </w:r>
      <w:r>
        <w:rPr>
          <w:rFonts w:hint="eastAsia" w:ascii="宋体" w:hAnsi="宋体" w:cs="宋体"/>
          <w:sz w:val="24"/>
          <w:szCs w:val="24"/>
          <w:lang w:eastAsia="zh-CN"/>
        </w:rPr>
        <w:t>根据第二次会议纪要</w:t>
      </w:r>
      <w:r>
        <w:rPr>
          <w:rFonts w:hint="eastAsia" w:ascii="宋体" w:hAnsi="宋体" w:cs="宋体"/>
          <w:sz w:val="24"/>
          <w:szCs w:val="24"/>
        </w:rPr>
        <w:t>对工作组讨论稿进行了修改完善</w:t>
      </w:r>
      <w:r>
        <w:rPr>
          <w:rFonts w:hint="eastAsia" w:ascii="宋体" w:hAnsi="宋体" w:cs="宋体"/>
          <w:sz w:val="24"/>
          <w:szCs w:val="24"/>
          <w:lang w:eastAsia="zh-CN"/>
        </w:rPr>
        <w:t>，</w:t>
      </w:r>
      <w:r>
        <w:rPr>
          <w:rFonts w:hint="eastAsia" w:ascii="宋体" w:hAnsi="宋体" w:cs="宋体"/>
          <w:b/>
          <w:bCs/>
          <w:sz w:val="24"/>
          <w:szCs w:val="24"/>
        </w:rPr>
        <w:t>形成</w:t>
      </w:r>
      <w:r>
        <w:rPr>
          <w:rFonts w:hint="eastAsia" w:ascii="宋体" w:hAnsi="宋体" w:cs="宋体"/>
          <w:b/>
          <w:bCs/>
          <w:sz w:val="24"/>
          <w:szCs w:val="24"/>
          <w:lang w:val="en-US" w:eastAsia="zh-CN"/>
        </w:rPr>
        <w:t>征求意见</w:t>
      </w:r>
      <w:r>
        <w:rPr>
          <w:rFonts w:hint="eastAsia" w:ascii="宋体" w:hAnsi="宋体" w:cs="宋体"/>
          <w:b/>
          <w:bCs/>
          <w:sz w:val="24"/>
          <w:szCs w:val="24"/>
        </w:rPr>
        <w:t>稿</w:t>
      </w:r>
      <w:r>
        <w:rPr>
          <w:rFonts w:hint="eastAsia" w:ascii="宋体" w:hAnsi="宋体" w:cs="宋体"/>
          <w:b/>
          <w:bCs/>
          <w:sz w:val="24"/>
          <w:szCs w:val="24"/>
          <w:lang w:eastAsia="zh-CN"/>
        </w:rPr>
        <w:t>、</w:t>
      </w:r>
      <w:r>
        <w:rPr>
          <w:rFonts w:hint="eastAsia" w:ascii="宋体" w:hAnsi="宋体" w:cs="宋体"/>
          <w:b/>
          <w:bCs/>
          <w:sz w:val="24"/>
          <w:szCs w:val="24"/>
          <w:lang w:val="en-US" w:eastAsia="zh-CN"/>
        </w:rPr>
        <w:t>征求意见</w:t>
      </w:r>
      <w:r>
        <w:rPr>
          <w:rFonts w:hint="eastAsia" w:ascii="宋体" w:hAnsi="宋体" w:cs="宋体"/>
          <w:b/>
          <w:bCs/>
          <w:sz w:val="24"/>
          <w:szCs w:val="24"/>
        </w:rPr>
        <w:t>稿编制说明、征求意见汇总处理表</w:t>
      </w:r>
      <w:r>
        <w:rPr>
          <w:rFonts w:hint="eastAsia" w:ascii="宋体" w:hAnsi="宋体" w:cs="宋体"/>
          <w:bCs/>
          <w:sz w:val="24"/>
          <w:szCs w:val="24"/>
        </w:rPr>
        <w:t>。于</w:t>
      </w:r>
      <w:r>
        <w:rPr>
          <w:rFonts w:hint="eastAsia" w:ascii="宋体" w:hAnsi="宋体" w:cs="宋体"/>
          <w:bCs/>
          <w:sz w:val="24"/>
          <w:szCs w:val="24"/>
          <w:highlight w:val="none"/>
        </w:rPr>
        <w:t>2</w:t>
      </w:r>
      <w:r>
        <w:rPr>
          <w:rFonts w:ascii="宋体" w:hAnsi="宋体" w:cs="宋体"/>
          <w:bCs/>
          <w:sz w:val="24"/>
          <w:szCs w:val="24"/>
          <w:highlight w:val="none"/>
        </w:rPr>
        <w:t>0</w:t>
      </w:r>
      <w:r>
        <w:rPr>
          <w:rFonts w:hint="eastAsia" w:ascii="宋体" w:hAnsi="宋体" w:cs="宋体"/>
          <w:bCs/>
          <w:sz w:val="24"/>
          <w:szCs w:val="24"/>
        </w:rPr>
        <w:t>2</w:t>
      </w:r>
      <w:r>
        <w:rPr>
          <w:rFonts w:hint="eastAsia" w:ascii="宋体" w:hAnsi="宋体" w:cs="宋体"/>
          <w:bCs/>
          <w:sz w:val="24"/>
          <w:szCs w:val="24"/>
          <w:lang w:val="en-US" w:eastAsia="zh-CN"/>
        </w:rPr>
        <w:t>4</w:t>
      </w:r>
      <w:r>
        <w:rPr>
          <w:rFonts w:hint="eastAsia" w:ascii="宋体" w:hAnsi="宋体" w:cs="宋体"/>
          <w:bCs/>
          <w:sz w:val="24"/>
          <w:szCs w:val="24"/>
        </w:rPr>
        <w:t>年</w:t>
      </w:r>
      <w:r>
        <w:rPr>
          <w:rFonts w:hint="eastAsia" w:ascii="宋体" w:hAnsi="宋体" w:cs="宋体"/>
          <w:bCs/>
          <w:sz w:val="24"/>
          <w:szCs w:val="24"/>
          <w:lang w:val="en-US" w:eastAsia="zh-CN"/>
        </w:rPr>
        <w:t>1</w:t>
      </w:r>
      <w:r>
        <w:rPr>
          <w:rFonts w:hint="eastAsia" w:ascii="宋体" w:hAnsi="宋体" w:cs="宋体"/>
          <w:bCs/>
          <w:sz w:val="24"/>
          <w:szCs w:val="24"/>
        </w:rPr>
        <w:t>月份</w:t>
      </w:r>
      <w:r>
        <w:rPr>
          <w:rFonts w:hint="eastAsia" w:ascii="宋体" w:hAnsi="宋体" w:cs="宋体"/>
          <w:bCs/>
          <w:sz w:val="24"/>
          <w:szCs w:val="24"/>
          <w:lang w:val="en-US" w:eastAsia="zh-CN"/>
        </w:rPr>
        <w:t>面向社会公开征求意见</w:t>
      </w:r>
      <w:r>
        <w:rPr>
          <w:rFonts w:hint="eastAsia" w:ascii="宋体" w:hAnsi="宋体" w:cs="宋体"/>
          <w:bCs/>
          <w:sz w:val="24"/>
          <w:szCs w:val="24"/>
        </w:rPr>
        <w:t>。</w:t>
      </w:r>
    </w:p>
    <w:p>
      <w:pPr>
        <w:pStyle w:val="5"/>
        <w:rPr>
          <w:rFonts w:ascii="宋体" w:hAnsi="宋体" w:cs="宋体"/>
          <w:sz w:val="28"/>
          <w:szCs w:val="28"/>
          <w:lang w:val="zh-CN"/>
        </w:rPr>
      </w:pPr>
      <w:r>
        <w:rPr>
          <w:rFonts w:hint="eastAsia" w:ascii="宋体" w:hAnsi="宋体" w:cs="宋体"/>
          <w:sz w:val="28"/>
          <w:szCs w:val="28"/>
        </w:rPr>
        <w:t>3．</w:t>
      </w:r>
      <w:r>
        <w:rPr>
          <w:rFonts w:hint="eastAsia" w:ascii="宋体" w:hAnsi="宋体" w:cs="宋体"/>
          <w:sz w:val="28"/>
          <w:szCs w:val="28"/>
          <w:lang w:val="zh-CN"/>
        </w:rPr>
        <w:t>主要参加单位和工作组成员及其所做的工作</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lang w:eastAsia="zh-CN"/>
        </w:rPr>
        <w:t>本标准</w:t>
      </w:r>
      <w:r>
        <w:rPr>
          <w:rFonts w:ascii="Times New Roman" w:hAnsi="Times New Roman"/>
          <w:sz w:val="24"/>
          <w:szCs w:val="24"/>
        </w:rPr>
        <w:t>牵头起草单位是</w:t>
      </w:r>
      <w:r>
        <w:rPr>
          <w:rFonts w:hint="eastAsia" w:ascii="Times New Roman" w:hAnsi="Times New Roman"/>
          <w:sz w:val="24"/>
          <w:szCs w:val="24"/>
          <w:lang w:val="en-US" w:eastAsia="zh-CN"/>
        </w:rPr>
        <w:t>南方电网科学研究院有限责任公司</w:t>
      </w:r>
      <w:r>
        <w:rPr>
          <w:rFonts w:ascii="Times New Roman" w:hAnsi="Times New Roman"/>
          <w:sz w:val="24"/>
          <w:szCs w:val="24"/>
        </w:rPr>
        <w:t>，</w:t>
      </w:r>
      <w:commentRangeStart w:id="3"/>
      <w:r>
        <w:rPr>
          <w:rFonts w:ascii="Times New Roman" w:hAnsi="Times New Roman"/>
          <w:sz w:val="24"/>
          <w:szCs w:val="24"/>
        </w:rPr>
        <w:t>主要起草单位有</w:t>
      </w:r>
      <w:r>
        <w:rPr>
          <w:rFonts w:hint="eastAsia" w:ascii="Times New Roman" w:hAnsi="Times New Roman"/>
          <w:sz w:val="24"/>
          <w:szCs w:val="24"/>
          <w:highlight w:val="none"/>
        </w:rPr>
        <w:t>哈尔滨电工仪表研究所有限公司、</w:t>
      </w:r>
      <w:r>
        <w:rPr>
          <w:rFonts w:hint="eastAsia" w:ascii="Times New Roman" w:hAnsi="Times New Roman"/>
          <w:sz w:val="24"/>
          <w:szCs w:val="24"/>
          <w:highlight w:val="none"/>
          <w:lang w:eastAsia="zh-CN"/>
        </w:rPr>
        <w:t>宁波三星医疗电气股份有限公司、国网重庆市电力公司营销服务中心、</w:t>
      </w:r>
      <w:r>
        <w:rPr>
          <w:rFonts w:hint="eastAsia" w:ascii="Times New Roman" w:hAnsi="Times New Roman"/>
          <w:sz w:val="24"/>
          <w:szCs w:val="24"/>
          <w:highlight w:val="none"/>
          <w:lang w:val="en-US" w:eastAsia="zh-CN"/>
        </w:rPr>
        <w:t>深圳市科陆电子科技有限公司</w:t>
      </w:r>
      <w:r>
        <w:rPr>
          <w:rFonts w:hint="eastAsia" w:hAnsi="宋体" w:cs="宋体"/>
          <w:sz w:val="24"/>
          <w:szCs w:val="24"/>
        </w:rPr>
        <w:t>等</w:t>
      </w:r>
      <w:commentRangeEnd w:id="3"/>
      <w:r>
        <w:commentReference w:id="3"/>
      </w:r>
      <w:r>
        <w:rPr>
          <w:rFonts w:ascii="Times New Roman" w:hAnsi="Times New Roman"/>
          <w:sz w:val="24"/>
          <w:szCs w:val="24"/>
        </w:rPr>
        <w:t>。</w:t>
      </w:r>
    </w:p>
    <w:p>
      <w:pPr>
        <w:spacing w:line="360" w:lineRule="auto"/>
        <w:ind w:firstLine="480" w:firstLineChars="200"/>
        <w:rPr>
          <w:rFonts w:ascii="Times New Roman" w:hAnsi="Times New Roman"/>
          <w:sz w:val="24"/>
          <w:szCs w:val="24"/>
        </w:rPr>
      </w:pPr>
      <w:r>
        <w:rPr>
          <w:rFonts w:hint="eastAsia" w:ascii="Times New Roman" w:hAnsi="Times New Roman"/>
          <w:sz w:val="24"/>
          <w:szCs w:val="24"/>
          <w:lang w:val="en-US" w:eastAsia="zh-CN"/>
        </w:rPr>
        <w:t>南方电网科学研究院有限责任公司</w:t>
      </w:r>
      <w:r>
        <w:rPr>
          <w:rFonts w:ascii="Times New Roman" w:hAnsi="Times New Roman"/>
          <w:sz w:val="24"/>
          <w:szCs w:val="24"/>
        </w:rPr>
        <w:t>作为执笔单位负责了</w:t>
      </w:r>
      <w:r>
        <w:rPr>
          <w:rFonts w:hint="eastAsia" w:ascii="Times New Roman" w:hAnsi="Times New Roman"/>
          <w:sz w:val="24"/>
          <w:szCs w:val="24"/>
        </w:rPr>
        <w:t>本文件</w:t>
      </w:r>
      <w:r>
        <w:rPr>
          <w:rFonts w:ascii="Times New Roman" w:hAnsi="Times New Roman"/>
          <w:sz w:val="24"/>
          <w:szCs w:val="24"/>
        </w:rPr>
        <w:t>的工作组讨论稿和征求意见稿的起草、修改工作。</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本文件</w:t>
      </w:r>
      <w:r>
        <w:rPr>
          <w:rFonts w:ascii="Times New Roman" w:hAnsi="Times New Roman"/>
          <w:sz w:val="24"/>
          <w:szCs w:val="24"/>
        </w:rPr>
        <w:t>主要起草人：</w:t>
      </w:r>
      <w:commentRangeStart w:id="4"/>
      <w:r>
        <w:rPr>
          <w:rFonts w:hint="eastAsia" w:ascii="Times New Roman" w:hAnsi="Times New Roman"/>
          <w:sz w:val="24"/>
          <w:szCs w:val="24"/>
          <w:lang w:val="en-US" w:eastAsia="zh-CN"/>
        </w:rPr>
        <w:t>罗奕、张帆</w:t>
      </w:r>
      <w:r>
        <w:rPr>
          <w:rFonts w:hint="eastAsia" w:ascii="Times New Roman" w:hAnsi="Times New Roman"/>
          <w:sz w:val="24"/>
          <w:szCs w:val="24"/>
        </w:rPr>
        <w:t>、</w:t>
      </w:r>
      <w:r>
        <w:rPr>
          <w:rFonts w:hint="eastAsia" w:ascii="Times New Roman" w:hAnsi="Times New Roman"/>
          <w:sz w:val="24"/>
          <w:szCs w:val="24"/>
          <w:lang w:val="en-US" w:eastAsia="zh-CN"/>
        </w:rPr>
        <w:t>程瑛颖、周杰、杨红卫</w:t>
      </w:r>
      <w:r>
        <w:rPr>
          <w:rFonts w:hint="eastAsia" w:hAnsi="宋体" w:cs="宋体"/>
          <w:sz w:val="24"/>
          <w:szCs w:val="24"/>
          <w:lang w:bidi="ar"/>
        </w:rPr>
        <w:t>等</w:t>
      </w:r>
      <w:r>
        <w:rPr>
          <w:sz w:val="24"/>
          <w:szCs w:val="24"/>
        </w:rPr>
        <w:t>。</w:t>
      </w:r>
    </w:p>
    <w:p>
      <w:pPr>
        <w:spacing w:line="360" w:lineRule="auto"/>
        <w:ind w:firstLine="480" w:firstLineChars="200"/>
        <w:rPr>
          <w:rFonts w:ascii="Times New Roman" w:hAnsi="Times New Roman"/>
          <w:sz w:val="24"/>
          <w:szCs w:val="24"/>
        </w:rPr>
      </w:pPr>
      <w:r>
        <w:rPr>
          <w:rFonts w:hint="eastAsia" w:ascii="Times New Roman" w:hAnsi="Times New Roman"/>
          <w:sz w:val="24"/>
          <w:szCs w:val="24"/>
          <w:lang w:val="en-US" w:eastAsia="zh-CN"/>
        </w:rPr>
        <w:t>罗奕</w:t>
      </w:r>
      <w:r>
        <w:rPr>
          <w:rFonts w:hint="eastAsia" w:ascii="Times New Roman" w:hAnsi="Times New Roman"/>
          <w:sz w:val="24"/>
          <w:szCs w:val="24"/>
        </w:rPr>
        <w:t>、</w:t>
      </w:r>
      <w:r>
        <w:rPr>
          <w:rFonts w:hint="eastAsia" w:ascii="Times New Roman" w:hAnsi="Times New Roman"/>
          <w:sz w:val="24"/>
          <w:szCs w:val="24"/>
          <w:lang w:val="en-US" w:eastAsia="zh-CN"/>
        </w:rPr>
        <w:t>张帆</w:t>
      </w:r>
      <w:commentRangeEnd w:id="4"/>
      <w:r>
        <w:commentReference w:id="4"/>
      </w:r>
      <w:r>
        <w:rPr>
          <w:rFonts w:hint="eastAsia" w:ascii="Times New Roman" w:hAnsi="Times New Roman"/>
          <w:sz w:val="24"/>
          <w:szCs w:val="24"/>
          <w:highlight w:val="none"/>
        </w:rPr>
        <w:t>为本文件的主笔人，负责标准的编写，刘献成为本文件起草工作组的组长，王宏博、何珊等为本文件起草工作组的组员，负责标准的编写进程和组织协调工作；</w:t>
      </w:r>
      <w:r>
        <w:rPr>
          <w:rFonts w:hint="eastAsia" w:ascii="Times New Roman" w:hAnsi="Times New Roman"/>
          <w:sz w:val="24"/>
          <w:szCs w:val="24"/>
          <w:lang w:val="en-US" w:eastAsia="zh-CN"/>
        </w:rPr>
        <w:t>周杰、杨红卫</w:t>
      </w:r>
      <w:r>
        <w:commentReference w:id="5"/>
      </w:r>
      <w:r>
        <w:rPr>
          <w:rFonts w:hint="eastAsia" w:ascii="Times New Roman" w:hAnsi="Times New Roman"/>
          <w:sz w:val="24"/>
          <w:szCs w:val="24"/>
          <w:highlight w:val="none"/>
        </w:rPr>
        <w:t>等</w:t>
      </w:r>
      <w:r>
        <w:rPr>
          <w:rFonts w:hint="eastAsia" w:ascii="Times New Roman" w:hAnsi="Times New Roman"/>
          <w:sz w:val="24"/>
          <w:szCs w:val="24"/>
        </w:rPr>
        <w:t>工作组成员为本文件的编写和修改工作给与大量帮助。</w:t>
      </w:r>
    </w:p>
    <w:p>
      <w:pPr>
        <w:pStyle w:val="5"/>
        <w:rPr>
          <w:rFonts w:ascii="宋体" w:hAnsi="宋体" w:cs="宋体"/>
          <w:sz w:val="28"/>
          <w:szCs w:val="28"/>
          <w:highlight w:val="none"/>
        </w:rPr>
      </w:pPr>
      <w:r>
        <w:rPr>
          <w:rFonts w:hint="eastAsia" w:ascii="宋体" w:hAnsi="宋体" w:cs="宋体"/>
          <w:sz w:val="28"/>
          <w:szCs w:val="28"/>
          <w:highlight w:val="none"/>
          <w:lang w:val="en-US" w:eastAsia="zh-CN"/>
        </w:rPr>
        <w:t>二</w:t>
      </w:r>
      <w:r>
        <w:rPr>
          <w:rFonts w:hint="eastAsia" w:ascii="宋体" w:hAnsi="宋体" w:cs="宋体"/>
          <w:sz w:val="28"/>
          <w:szCs w:val="28"/>
          <w:highlight w:val="none"/>
        </w:rPr>
        <w:t>、主要试验（或验证）情况</w:t>
      </w:r>
    </w:p>
    <w:p>
      <w:pPr>
        <w:pStyle w:val="20"/>
        <w:spacing w:line="360" w:lineRule="auto"/>
        <w:ind w:firstLine="480"/>
        <w:rPr>
          <w:rFonts w:hint="eastAsia" w:ascii="Times New Roman"/>
          <w:kern w:val="2"/>
          <w:sz w:val="24"/>
          <w:szCs w:val="24"/>
        </w:rPr>
      </w:pPr>
      <w:r>
        <w:rPr>
          <w:rFonts w:hint="eastAsia" w:ascii="Times New Roman"/>
          <w:kern w:val="2"/>
          <w:sz w:val="24"/>
          <w:szCs w:val="24"/>
        </w:rPr>
        <w:t>在本标准起草工作过程中，委托部分企业对标准中的主要指标分别进行了验证试验。由</w:t>
      </w:r>
      <w:r>
        <w:rPr>
          <w:rFonts w:hint="eastAsia" w:ascii="Times New Roman"/>
          <w:sz w:val="24"/>
          <w:szCs w:val="24"/>
          <w:lang w:val="en-US" w:eastAsia="zh-CN"/>
        </w:rPr>
        <w:t>宁波三星医疗电气股份有限公司、威胜集团有限公司、烟台东方威思顿电气有限公司</w:t>
      </w:r>
      <w:r>
        <w:rPr>
          <w:rFonts w:hint="eastAsia" w:ascii="Times New Roman"/>
          <w:kern w:val="2"/>
          <w:sz w:val="24"/>
          <w:szCs w:val="24"/>
        </w:rPr>
        <w:t>配合开展试验验证工作。</w:t>
      </w:r>
    </w:p>
    <w:p>
      <w:pPr>
        <w:pStyle w:val="20"/>
        <w:spacing w:line="360" w:lineRule="auto"/>
        <w:ind w:firstLine="480"/>
      </w:pPr>
      <w:r>
        <w:rPr>
          <w:rFonts w:hint="eastAsia" w:ascii="Times New Roman"/>
          <w:kern w:val="2"/>
          <w:sz w:val="24"/>
          <w:szCs w:val="24"/>
        </w:rPr>
        <w:t>试验</w:t>
      </w:r>
      <w:r>
        <w:rPr>
          <w:rFonts w:hint="eastAsia" w:ascii="Times New Roman"/>
          <w:kern w:val="2"/>
          <w:sz w:val="24"/>
          <w:szCs w:val="24"/>
          <w:lang w:val="en-US" w:eastAsia="zh-CN"/>
        </w:rPr>
        <w:t>项目</w:t>
      </w:r>
      <w:r>
        <w:rPr>
          <w:rFonts w:hint="eastAsia" w:ascii="Times New Roman" w:hAnsi="Times New Roman"/>
          <w:sz w:val="24"/>
          <w:szCs w:val="24"/>
          <w:lang w:val="en-US" w:eastAsia="zh-CN"/>
        </w:rPr>
        <w:t>涵盖电动汽车无线电力传输系统中静止式交流有功电能表的功能检查</w:t>
      </w:r>
      <w:r>
        <w:rPr>
          <w:rFonts w:hint="eastAsia" w:ascii="Times New Roman"/>
          <w:sz w:val="24"/>
          <w:szCs w:val="24"/>
          <w:lang w:val="en-US" w:eastAsia="zh-CN"/>
        </w:rPr>
        <w:t>、</w:t>
      </w:r>
      <w:r>
        <w:rPr>
          <w:rFonts w:hint="eastAsia" w:ascii="Times New Roman" w:hAnsi="Times New Roman"/>
          <w:sz w:val="24"/>
          <w:szCs w:val="24"/>
          <w:lang w:val="en-US" w:eastAsia="zh-CN"/>
        </w:rPr>
        <w:t>通用试验条件</w:t>
      </w:r>
      <w:r>
        <w:rPr>
          <w:rFonts w:hint="eastAsia" w:ascii="Times New Roman"/>
          <w:sz w:val="24"/>
          <w:szCs w:val="24"/>
          <w:lang w:val="en-US" w:eastAsia="zh-CN"/>
        </w:rPr>
        <w:t>、</w:t>
      </w:r>
      <w:r>
        <w:rPr>
          <w:rFonts w:hint="eastAsia" w:ascii="Times New Roman" w:hAnsi="Times New Roman"/>
          <w:sz w:val="24"/>
          <w:szCs w:val="24"/>
          <w:lang w:val="en-US" w:eastAsia="zh-CN"/>
        </w:rPr>
        <w:t>准确度试验</w:t>
      </w:r>
      <w:r>
        <w:rPr>
          <w:rFonts w:hint="eastAsia" w:ascii="Times New Roman"/>
          <w:sz w:val="24"/>
          <w:szCs w:val="24"/>
          <w:lang w:val="en-US" w:eastAsia="zh-CN"/>
        </w:rPr>
        <w:t>、</w:t>
      </w:r>
      <w:r>
        <w:rPr>
          <w:rFonts w:hint="eastAsia" w:ascii="Times New Roman" w:hAnsi="Times New Roman"/>
          <w:sz w:val="24"/>
          <w:szCs w:val="24"/>
          <w:lang w:val="en-US" w:eastAsia="zh-CN"/>
        </w:rPr>
        <w:t>机械试验</w:t>
      </w:r>
      <w:r>
        <w:rPr>
          <w:rFonts w:hint="eastAsia" w:ascii="Times New Roman"/>
          <w:sz w:val="24"/>
          <w:szCs w:val="24"/>
          <w:lang w:val="en-US" w:eastAsia="zh-CN"/>
        </w:rPr>
        <w:t>、</w:t>
      </w:r>
      <w:r>
        <w:rPr>
          <w:rFonts w:hint="eastAsia" w:ascii="Times New Roman" w:hAnsi="Times New Roman"/>
          <w:sz w:val="24"/>
          <w:szCs w:val="24"/>
          <w:lang w:val="en-US" w:eastAsia="zh-CN"/>
        </w:rPr>
        <w:t>气候环境影响试验</w:t>
      </w:r>
      <w:r>
        <w:rPr>
          <w:rFonts w:hint="eastAsia" w:ascii="Times New Roman"/>
          <w:sz w:val="24"/>
          <w:szCs w:val="24"/>
          <w:lang w:val="en-US" w:eastAsia="zh-CN"/>
        </w:rPr>
        <w:t>、</w:t>
      </w:r>
      <w:r>
        <w:rPr>
          <w:rFonts w:hint="eastAsia" w:ascii="Times New Roman" w:hAnsi="Times New Roman"/>
          <w:sz w:val="24"/>
          <w:szCs w:val="24"/>
          <w:lang w:val="en-US" w:eastAsia="zh-CN"/>
        </w:rPr>
        <w:t>电气性能试验</w:t>
      </w:r>
      <w:r>
        <w:rPr>
          <w:rFonts w:hint="eastAsia" w:ascii="Times New Roman"/>
          <w:sz w:val="24"/>
          <w:szCs w:val="24"/>
          <w:lang w:val="en-US" w:eastAsia="zh-CN"/>
        </w:rPr>
        <w:t>、</w:t>
      </w:r>
      <w:r>
        <w:rPr>
          <w:rFonts w:hint="eastAsia" w:ascii="Times New Roman" w:hAnsi="Times New Roman"/>
          <w:sz w:val="24"/>
          <w:szCs w:val="24"/>
          <w:lang w:val="en-US" w:eastAsia="zh-CN"/>
        </w:rPr>
        <w:t>电磁兼容试验</w:t>
      </w:r>
      <w:r>
        <w:rPr>
          <w:rFonts w:hint="eastAsia" w:ascii="Times New Roman"/>
          <w:sz w:val="24"/>
          <w:szCs w:val="24"/>
          <w:lang w:val="en-US" w:eastAsia="zh-CN"/>
        </w:rPr>
        <w:t>、</w:t>
      </w:r>
      <w:r>
        <w:rPr>
          <w:rFonts w:hint="eastAsia" w:ascii="Times New Roman" w:hAnsi="Times New Roman"/>
          <w:sz w:val="24"/>
          <w:szCs w:val="24"/>
          <w:lang w:val="en-US" w:eastAsia="zh-CN"/>
        </w:rPr>
        <w:t>耐久性试验</w:t>
      </w:r>
      <w:r>
        <w:rPr>
          <w:rFonts w:hint="eastAsia" w:ascii="Times New Roman"/>
          <w:sz w:val="24"/>
          <w:szCs w:val="24"/>
          <w:lang w:val="en-US" w:eastAsia="zh-CN"/>
        </w:rPr>
        <w:t>、</w:t>
      </w:r>
      <w:r>
        <w:rPr>
          <w:rFonts w:hint="eastAsia" w:ascii="Times New Roman" w:hAnsi="Times New Roman"/>
          <w:sz w:val="24"/>
          <w:szCs w:val="24"/>
          <w:lang w:val="en-US" w:eastAsia="zh-CN"/>
        </w:rPr>
        <w:t>外观检查等项目</w:t>
      </w:r>
      <w:r>
        <w:rPr>
          <w:rFonts w:ascii="Times New Roman"/>
          <w:kern w:val="2"/>
          <w:sz w:val="24"/>
          <w:szCs w:val="24"/>
        </w:rPr>
        <w:t>。</w:t>
      </w:r>
    </w:p>
    <w:p>
      <w:pPr>
        <w:pStyle w:val="5"/>
        <w:rPr>
          <w:rFonts w:ascii="宋体" w:hAnsi="宋体" w:cs="宋体"/>
          <w:sz w:val="28"/>
          <w:szCs w:val="28"/>
        </w:rPr>
      </w:pPr>
      <w:r>
        <w:rPr>
          <w:rFonts w:hint="eastAsia" w:ascii="宋体" w:hAnsi="宋体" w:cs="宋体"/>
          <w:sz w:val="28"/>
          <w:szCs w:val="28"/>
          <w:lang w:val="en-US" w:eastAsia="zh-CN"/>
        </w:rPr>
        <w:t>三</w:t>
      </w:r>
      <w:r>
        <w:rPr>
          <w:rFonts w:hint="eastAsia" w:ascii="宋体" w:hAnsi="宋体" w:cs="宋体"/>
          <w:sz w:val="28"/>
          <w:szCs w:val="28"/>
        </w:rPr>
        <w:t>、标准编制原则和主要技术内容确定的依据</w:t>
      </w:r>
    </w:p>
    <w:p>
      <w:pPr>
        <w:pStyle w:val="5"/>
        <w:rPr>
          <w:rFonts w:ascii="宋体" w:hAnsi="宋体" w:cs="宋体"/>
          <w:sz w:val="28"/>
          <w:szCs w:val="28"/>
        </w:rPr>
      </w:pPr>
      <w:r>
        <w:rPr>
          <w:rFonts w:hint="eastAsia" w:ascii="宋体" w:hAnsi="宋体" w:cs="宋体"/>
          <w:sz w:val="28"/>
          <w:szCs w:val="28"/>
        </w:rPr>
        <w:t>1．主要阐述标准制定或修订过程遵循的基本原则</w:t>
      </w:r>
    </w:p>
    <w:p>
      <w:pPr>
        <w:pStyle w:val="20"/>
        <w:spacing w:line="360" w:lineRule="auto"/>
        <w:ind w:firstLine="480"/>
      </w:pPr>
      <w:r>
        <w:rPr>
          <w:rFonts w:ascii="Times New Roman"/>
          <w:kern w:val="2"/>
          <w:sz w:val="24"/>
          <w:szCs w:val="22"/>
        </w:rPr>
        <w:t>本标准从实际应用出发，充分考虑了现有相关国家标准和行业标准。编制遵循“统一性、协调性、适用性、一致性、规范性”的原则，注重标准的可操作性，本标准按照GB/T 1.1-20</w:t>
      </w:r>
      <w:r>
        <w:rPr>
          <w:rFonts w:hint="eastAsia" w:ascii="Times New Roman"/>
          <w:kern w:val="2"/>
          <w:sz w:val="24"/>
          <w:szCs w:val="22"/>
        </w:rPr>
        <w:t>20</w:t>
      </w:r>
      <w:r>
        <w:rPr>
          <w:rFonts w:ascii="Times New Roman"/>
          <w:kern w:val="2"/>
          <w:sz w:val="24"/>
          <w:szCs w:val="22"/>
        </w:rPr>
        <w:t xml:space="preserve">《标准化工作导则 第1部分 </w:t>
      </w:r>
      <w:r>
        <w:rPr>
          <w:rFonts w:hint="eastAsia" w:ascii="Times New Roman"/>
          <w:kern w:val="2"/>
          <w:sz w:val="24"/>
          <w:szCs w:val="22"/>
        </w:rPr>
        <w:t>标准化文件的结构和起草规则</w:t>
      </w:r>
      <w:r>
        <w:rPr>
          <w:rFonts w:ascii="Times New Roman"/>
          <w:kern w:val="2"/>
          <w:sz w:val="24"/>
          <w:szCs w:val="22"/>
        </w:rPr>
        <w:t>》的规定进行编写和表述。</w:t>
      </w:r>
    </w:p>
    <w:p>
      <w:pPr>
        <w:pStyle w:val="5"/>
        <w:numPr>
          <w:ilvl w:val="0"/>
          <w:numId w:val="4"/>
        </w:numPr>
        <w:rPr>
          <w:rFonts w:hint="eastAsia" w:ascii="宋体" w:hAnsi="宋体" w:cs="宋体"/>
          <w:sz w:val="28"/>
          <w:szCs w:val="28"/>
        </w:rPr>
      </w:pPr>
      <w:r>
        <w:rPr>
          <w:rFonts w:hint="eastAsia" w:ascii="宋体" w:hAnsi="宋体" w:cs="宋体"/>
          <w:sz w:val="28"/>
          <w:szCs w:val="28"/>
        </w:rPr>
        <w:t>标准主要内容中范围、技术要求、试验方法、检验规则依据</w:t>
      </w:r>
    </w:p>
    <w:p>
      <w:pPr>
        <w:spacing w:line="360" w:lineRule="auto"/>
        <w:ind w:firstLine="600" w:firstLineChars="250"/>
        <w:rPr>
          <w:rFonts w:hint="eastAsia" w:ascii="宋体" w:hAnsi="宋体" w:cs="宋体"/>
          <w:sz w:val="24"/>
          <w:szCs w:val="24"/>
          <w:lang w:eastAsia="zh-CN"/>
        </w:rPr>
      </w:pPr>
      <w:r>
        <w:rPr>
          <w:rFonts w:hint="eastAsia" w:ascii="宋体" w:hAnsi="宋体" w:cs="宋体"/>
          <w:sz w:val="24"/>
          <w:szCs w:val="24"/>
        </w:rPr>
        <w:t>本文件</w:t>
      </w:r>
      <w:r>
        <w:rPr>
          <w:rFonts w:hint="eastAsia" w:ascii="宋体" w:hAnsi="宋体" w:cs="宋体"/>
          <w:sz w:val="24"/>
          <w:szCs w:val="24"/>
          <w:lang w:val="en-US" w:eastAsia="zh-CN"/>
        </w:rPr>
        <w:t>规定了电动汽车无线电力传输系统中静止式交流有功电能表的技术要求、试验方法、检验规则</w:t>
      </w:r>
      <w:r>
        <w:rPr>
          <w:rFonts w:hint="eastAsia" w:ascii="宋体" w:hAnsi="宋体" w:cs="宋体"/>
          <w:sz w:val="24"/>
          <w:szCs w:val="24"/>
        </w:rPr>
        <w:t>。相关参数、指标的设定是依据了应用场景的物理环境条件、电气环境条件，以及相关</w:t>
      </w:r>
      <w:r>
        <w:rPr>
          <w:rFonts w:hint="eastAsia" w:ascii="宋体" w:hAnsi="宋体" w:cs="宋体"/>
          <w:sz w:val="24"/>
          <w:szCs w:val="24"/>
          <w:lang w:val="en-US" w:eastAsia="zh-CN"/>
        </w:rPr>
        <w:t>国际、</w:t>
      </w:r>
      <w:r>
        <w:rPr>
          <w:rFonts w:hint="eastAsia" w:ascii="宋体" w:hAnsi="宋体" w:cs="宋体"/>
          <w:sz w:val="24"/>
          <w:szCs w:val="24"/>
        </w:rPr>
        <w:t>国家标准制定的，</w:t>
      </w:r>
      <w:r>
        <w:rPr>
          <w:rFonts w:hint="eastAsia" w:ascii="宋体" w:hAnsi="宋体" w:cs="宋体"/>
          <w:sz w:val="24"/>
          <w:szCs w:val="24"/>
          <w:lang w:val="en-US" w:eastAsia="zh-CN"/>
        </w:rPr>
        <w:t>其中技术要求引用了</w:t>
      </w:r>
      <w:r>
        <w:rPr>
          <w:rFonts w:hint="eastAsia" w:ascii="宋体" w:hAnsi="宋体" w:cs="宋体"/>
          <w:sz w:val="24"/>
          <w:szCs w:val="24"/>
        </w:rPr>
        <w:t>GB/T 17215.211-2021</w:t>
      </w:r>
      <w:r>
        <w:rPr>
          <w:rFonts w:hint="eastAsia" w:ascii="宋体" w:hAnsi="宋体" w:cs="宋体"/>
          <w:sz w:val="24"/>
          <w:szCs w:val="24"/>
          <w:lang w:eastAsia="zh-CN"/>
        </w:rPr>
        <w:t>《电测量设备(交流)通用要求、试验和试验条件第11部分：测量设备》、</w:t>
      </w:r>
      <w:r>
        <w:rPr>
          <w:rFonts w:hint="eastAsia" w:ascii="宋体" w:hAnsi="宋体" w:cs="宋体"/>
          <w:sz w:val="24"/>
          <w:szCs w:val="24"/>
        </w:rPr>
        <w:t>GB/T 17215.321-2021</w:t>
      </w:r>
      <w:r>
        <w:rPr>
          <w:rFonts w:hint="eastAsia" w:ascii="宋体" w:hAnsi="宋体" w:cs="宋体"/>
          <w:sz w:val="24"/>
          <w:szCs w:val="24"/>
          <w:lang w:eastAsia="zh-CN"/>
        </w:rPr>
        <w:t>《电测量设备(交流)　特殊要求　第21部分：静止式有功电能表(A级、B级、C级、D级和E级)》</w:t>
      </w:r>
      <w:r>
        <w:rPr>
          <w:rFonts w:hint="eastAsia" w:ascii="宋体" w:hAnsi="宋体" w:cs="宋体"/>
          <w:sz w:val="24"/>
          <w:szCs w:val="24"/>
          <w:lang w:val="en-US" w:eastAsia="zh-CN"/>
        </w:rPr>
        <w:t>中的相关要求，试验方法引用了</w:t>
      </w:r>
      <w:r>
        <w:rPr>
          <w:rFonts w:hint="eastAsia" w:ascii="宋体" w:hAnsi="宋体" w:cs="宋体"/>
          <w:sz w:val="24"/>
          <w:szCs w:val="24"/>
        </w:rPr>
        <w:t>GB/T 17215.211-2021</w:t>
      </w:r>
      <w:r>
        <w:rPr>
          <w:rFonts w:hint="eastAsia" w:ascii="宋体" w:hAnsi="宋体" w:cs="宋体"/>
          <w:sz w:val="24"/>
          <w:szCs w:val="24"/>
          <w:lang w:eastAsia="zh-CN"/>
        </w:rPr>
        <w:t>《电测量设备(交流)通用要求、试验和试验条件第11部分：测量设备》、</w:t>
      </w:r>
      <w:r>
        <w:rPr>
          <w:rFonts w:hint="eastAsia" w:ascii="宋体" w:hAnsi="宋体" w:cs="宋体"/>
          <w:sz w:val="24"/>
          <w:szCs w:val="24"/>
        </w:rPr>
        <w:t>GB/T 17215.321-2021</w:t>
      </w:r>
      <w:r>
        <w:rPr>
          <w:rFonts w:hint="eastAsia" w:ascii="宋体" w:hAnsi="宋体" w:cs="宋体"/>
          <w:sz w:val="24"/>
          <w:szCs w:val="24"/>
          <w:lang w:eastAsia="zh-CN"/>
        </w:rPr>
        <w:t>《电测量设备(交流)　特殊要求　第21部分：静止式有功电能表(A级、B级、C级、D级和E级)》、GB/T 4208—2017《外壳防护等级(IP代码)》、IEC 60068-2-1:2007《Environmental testing - Part 2-1:Tests - Test A: Cold(环境试验 第2-1部分:试验：试验A:低温)》、IEC 60068-2-2:2007《Environmental testing - Part 2-2:Tests - Test B: Dry heat环境试验 第2-2部分:试验：试验B:干热)》、IEC 60068-2-18:2017《Environmental testing - Part 2-1:Test R and guidance: Water(环境试验 第2-1部分:试验R和指南:防水)》、IEC 60068-2-18:2017《Environmental testing - Part 2-1:Test R and guidance: Water(环境试验 第2-1部分:试验R和指南:防水)》、IEC 60068-2-78:2012《Environmental testing - Part 2-78: Tests - Test Cab: Damp heat, steady state(环境试验 第2-78部分:试验 试验Cab:稳定状态湿热)》、IEC 60068-3-1:2011《Environmental testing - Part 3-1: Supporting documentation and guidance - Cold and dry heat tests(环境试验 第3-1部分:辅助文件和指南 冷和干热试验)》、IEC 60068-3-4:2001《Environmental testing - Part 3-4: Supporting documentation and guidance - Damp heat tests(环境试验 第3-4部分:辅助文件和指南 湿热试验)》、IEC 60512-14-7:1997《Electromechanical components for electronic equipment - Basic testing procedures and measuring methods - Part 14: Sealing tests - Section 7: Test 14g: Impacting water(电工电子产品 基本试验程序和测量方法 第14部分:密封试验 第7节:试验14g 冲击水）》、IEC 60529:1989 + AMD1:1999 +AMD2:2013 CSV《Consolidated version Degrees of protection provided by enclosures (IP code)(外壳提供的保护程度(IP代码))》、IEC 60664-1:2020《Insulation coordination for equipment within low-voltage supply systems - Part 1: Principles, requirements and tests(低压系统内设备的绝缘配合 第1部分:原则、要求和试验)》、IEC 61000-4-2：2008《Electromagnetic compatibility (EMC) - Part 4-2:Testing and measurement techniques - Electrostatic discharge immunity test(电磁兼容性(EMC) 第4-2部分:试验和测量技术 静电放电抗扰度试验)》、IEC 61000-4-3：2020《》Electromagnetic compatibility(EMC) - Part 4-3:Testing and measurement techniques - Radiated, radio-frequency, electromagnetic field immunity test(电磁兼容性(EMC) 第4-3部分:试验和测量技术 辐射、射频、电磁场抗扰度试验)》、IEC 61000-4-4：2012《Electromagnetic compatibility (EMC) - Part 4-4:Testing and measurement techniques - Electrical fast transient/burst immunity tests(电磁兼容性(EMC) 第4-4部分:试验和测量技术 电快速瞬变脉冲群抗扰度试验)》、IEC 61000-4-6：2013《Electromagnetic compatibility(EMC) - Part 4-6:Testing and measurement techniques - Immunity to conducted disturbances, induced by radio-frequency fields(电磁兼容性(EMC)  第4-6部分:试验和测量技术 由射频场引起的传导骚扰抗扰度试验)》、IEC 61000-4-8,Ed 2.0(2009-09)《Electromagnetic compatibility (EMC) – Part 4-8: Testing and measurement techniques – Power frequency magnetic field immunity test(电磁兼容(EMC) 第4-8部分：试验和测量技术 工频磁场抗扰度试验)》、IEC 61000-4-19：2014《Electromagnetic compatibility (EMC) – Part 4-19: Testing and measurement techniques-Test for immunity to conducted, differential mode disturbances and signalling in the frequency range 2 kHz to 150 kHz at a.c. power ports(电磁兼容（EMC） 第4-19部分：试验和测量技术 交流电源端口抗信号频率范围2 kHz～150 kHz、差模传导干扰试验)》、IEC 61851-21-2，Ed 1.0（2018-04）《Electric vehicle conductive charging system -Part 21-2: Electric vehicle requirements for conductive connection to an AC/DC supply - EMC requirements for off-board electric vehicle charging systems(电动汽车有线充电系统-第21-2部分:电动汽车与交流/直流电源导电连接的要求-车载电动汽车充电系统的EMC要求)》</w:t>
      </w:r>
      <w:r>
        <w:rPr>
          <w:rFonts w:hint="eastAsia" w:ascii="宋体" w:hAnsi="宋体" w:cs="宋体"/>
          <w:sz w:val="24"/>
          <w:szCs w:val="24"/>
          <w:lang w:val="en-US" w:eastAsia="zh-CN"/>
        </w:rPr>
        <w:t>中的相关要求</w:t>
      </w:r>
      <w:r>
        <w:rPr>
          <w:rFonts w:hint="eastAsia" w:ascii="宋体" w:hAnsi="宋体" w:cs="宋体"/>
          <w:sz w:val="24"/>
          <w:szCs w:val="24"/>
          <w:lang w:eastAsia="zh-CN"/>
        </w:rPr>
        <w:t>。</w:t>
      </w:r>
    </w:p>
    <w:p>
      <w:pPr>
        <w:pStyle w:val="5"/>
        <w:rPr>
          <w:rFonts w:ascii="宋体" w:hAnsi="宋体" w:cs="宋体"/>
          <w:sz w:val="28"/>
          <w:szCs w:val="28"/>
        </w:rPr>
      </w:pPr>
      <w:r>
        <w:rPr>
          <w:rFonts w:hint="eastAsia" w:ascii="宋体" w:hAnsi="宋体" w:cs="宋体"/>
          <w:sz w:val="28"/>
          <w:szCs w:val="28"/>
        </w:rPr>
        <w:t>四、 标准涉及专利情况</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本文件不涉及任何专利问题。</w:t>
      </w:r>
    </w:p>
    <w:p>
      <w:pPr>
        <w:pStyle w:val="5"/>
        <w:rPr>
          <w:rFonts w:ascii="宋体" w:hAnsi="宋体" w:cs="宋体"/>
          <w:sz w:val="28"/>
          <w:szCs w:val="28"/>
        </w:rPr>
      </w:pPr>
      <w:r>
        <w:rPr>
          <w:rFonts w:hint="eastAsia" w:ascii="宋体" w:hAnsi="宋体" w:cs="宋体"/>
          <w:sz w:val="28"/>
          <w:szCs w:val="28"/>
        </w:rPr>
        <w:t>五、 预期达到的社会效益、对产业发展的作用</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在双碳目标和新型电力系统建设的背景下，电动汽车市场也呈现出蓬勃的发展态势。中国政府高度重视新能源汽车的发展，通过政策扶持、市场推广等多项措施，推动电动汽车产业的快速发展。根据中国汽车工业协会发布的数据，2022年中国新能源汽车销量</w:t>
      </w:r>
      <w:r>
        <w:rPr>
          <w:rFonts w:hint="eastAsia" w:ascii="Times New Roman" w:hAnsi="Times New Roman"/>
          <w:sz w:val="24"/>
          <w:szCs w:val="24"/>
          <w:lang w:val="en-US" w:eastAsia="zh-CN"/>
        </w:rPr>
        <w:t>约为</w:t>
      </w:r>
      <w:r>
        <w:rPr>
          <w:rFonts w:hint="eastAsia" w:ascii="Times New Roman" w:hAnsi="Times New Roman"/>
          <w:sz w:val="24"/>
          <w:szCs w:val="24"/>
        </w:rPr>
        <w:t>688万辆，同比增长93.4%，市场占有率达到25.6%。其中，纯电动汽车销量为536万辆，同比增长81.6%；插电式混合动力汽车销量为151万辆，同比增长1.3倍。</w:t>
      </w:r>
    </w:p>
    <w:p>
      <w:pPr>
        <w:spacing w:line="360" w:lineRule="auto"/>
        <w:ind w:firstLine="480" w:firstLineChars="200"/>
        <w:rPr>
          <w:rFonts w:hint="eastAsia" w:ascii="Times New Roman" w:hAnsi="Times New Roman"/>
          <w:sz w:val="24"/>
          <w:szCs w:val="24"/>
          <w:lang w:eastAsia="zh-CN"/>
        </w:rPr>
      </w:pPr>
      <w:r>
        <w:rPr>
          <w:rFonts w:hint="eastAsia" w:ascii="Times New Roman" w:hAnsi="Times New Roman"/>
          <w:sz w:val="24"/>
          <w:szCs w:val="24"/>
        </w:rPr>
        <w:t>电动汽车无线电力传输技术可提高充电的便利性、灵活性和安全性，近年来广受关注</w:t>
      </w:r>
      <w:r>
        <w:rPr>
          <w:rFonts w:hint="eastAsia" w:ascii="Times New Roman" w:hAnsi="Times New Roman"/>
          <w:sz w:val="24"/>
          <w:szCs w:val="24"/>
          <w:lang w:eastAsia="zh-CN"/>
        </w:rPr>
        <w:t>。</w:t>
      </w:r>
      <w:r>
        <w:rPr>
          <w:rFonts w:hint="eastAsia" w:ascii="Times New Roman" w:hAnsi="Times New Roman"/>
          <w:sz w:val="24"/>
          <w:szCs w:val="24"/>
          <w:lang w:val="en-US" w:eastAsia="zh-CN"/>
        </w:rPr>
        <w:t>当前，电动汽车无线充电系统系列国家标准（GB/T 38775）已颁布实施，电动汽车无线充电系统将迎来快速的增长。然而，电动汽车无线充电系统的推广离不开电能的公正计量，而</w:t>
      </w:r>
      <w:r>
        <w:rPr>
          <w:rFonts w:hint="eastAsia" w:ascii="Times New Roman" w:hAnsi="Times New Roman"/>
          <w:sz w:val="24"/>
          <w:szCs w:val="24"/>
        </w:rPr>
        <w:t>由于</w:t>
      </w:r>
      <w:r>
        <w:rPr>
          <w:rFonts w:hint="eastAsia" w:ascii="Times New Roman" w:hAnsi="Times New Roman"/>
          <w:sz w:val="24"/>
          <w:szCs w:val="24"/>
          <w:lang w:val="en-US" w:eastAsia="zh-CN"/>
        </w:rPr>
        <w:t>无线充电系统的</w:t>
      </w:r>
      <w:r>
        <w:rPr>
          <w:rFonts w:hint="eastAsia" w:ascii="Times New Roman" w:hAnsi="Times New Roman"/>
          <w:sz w:val="24"/>
          <w:szCs w:val="24"/>
        </w:rPr>
        <w:t>负荷具有高频大功率快速切换、强电磁干扰、谐波含量高等特点，对传统电能计量方式与装置的精准性和可靠性带来了挑战</w:t>
      </w:r>
      <w:r>
        <w:rPr>
          <w:rFonts w:hint="eastAsia" w:ascii="Times New Roman" w:hAnsi="Times New Roman"/>
          <w:sz w:val="24"/>
          <w:szCs w:val="24"/>
          <w:lang w:eastAsia="zh-CN"/>
        </w:rPr>
        <w:t>。</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本文件</w:t>
      </w:r>
      <w:r>
        <w:rPr>
          <w:rFonts w:hint="eastAsia" w:ascii="Times New Roman" w:hAnsi="Times New Roman"/>
          <w:sz w:val="24"/>
          <w:szCs w:val="24"/>
          <w:lang w:val="en-US" w:eastAsia="zh-CN"/>
        </w:rPr>
        <w:t>的目的</w:t>
      </w:r>
      <w:r>
        <w:rPr>
          <w:rFonts w:hint="eastAsia" w:ascii="Times New Roman" w:hAnsi="Times New Roman"/>
          <w:sz w:val="24"/>
          <w:szCs w:val="24"/>
        </w:rPr>
        <w:t>规定了电动汽车无线电力传输系统中静止式交流有功电能表的技术要求、试验方法、检验规则</w:t>
      </w:r>
      <w:r>
        <w:rPr>
          <w:rFonts w:hint="eastAsia" w:ascii="Times New Roman" w:hAnsi="Times New Roman"/>
          <w:sz w:val="24"/>
          <w:szCs w:val="24"/>
          <w:lang w:eastAsia="zh-CN"/>
        </w:rPr>
        <w:t>，</w:t>
      </w:r>
      <w:r>
        <w:rPr>
          <w:rFonts w:hint="eastAsia" w:ascii="Times New Roman" w:hAnsi="Times New Roman"/>
          <w:sz w:val="24"/>
          <w:szCs w:val="24"/>
          <w:lang w:val="en-US" w:eastAsia="zh-CN"/>
        </w:rPr>
        <w:t>包括配置安装要求、机械要求及试验条件、功能和标识的要求、有关气候和电磁环境的要求及试验条件、抗外部影响试验和试验条件等</w:t>
      </w:r>
      <w:r>
        <w:rPr>
          <w:rFonts w:hint="eastAsia" w:ascii="Times New Roman" w:hAnsi="Times New Roman"/>
          <w:sz w:val="24"/>
          <w:szCs w:val="24"/>
        </w:rPr>
        <w:t>。</w:t>
      </w:r>
      <w:r>
        <w:rPr>
          <w:rFonts w:hint="eastAsia" w:ascii="Times New Roman" w:hAnsi="Times New Roman"/>
          <w:sz w:val="24"/>
          <w:szCs w:val="24"/>
          <w:lang w:val="en-US" w:eastAsia="zh-CN"/>
        </w:rPr>
        <w:t>能够进一步推动电动汽车无线电力传输系统的推广与落地，保障电动汽车无线电力传输系统中复杂电磁环境下的计量准确性与公正性</w:t>
      </w:r>
      <w:r>
        <w:rPr>
          <w:rFonts w:hint="eastAsia" w:ascii="Times New Roman" w:hAnsi="Times New Roman"/>
          <w:sz w:val="24"/>
          <w:szCs w:val="24"/>
        </w:rPr>
        <w:t>。</w:t>
      </w:r>
    </w:p>
    <w:p>
      <w:pPr>
        <w:pStyle w:val="5"/>
        <w:rPr>
          <w:rFonts w:ascii="宋体" w:hAnsi="宋体" w:cs="宋体"/>
          <w:sz w:val="28"/>
          <w:szCs w:val="28"/>
        </w:rPr>
      </w:pPr>
      <w:r>
        <w:rPr>
          <w:rFonts w:hint="eastAsia" w:ascii="宋体" w:hAnsi="宋体" w:cs="宋体"/>
          <w:sz w:val="28"/>
          <w:szCs w:val="28"/>
        </w:rPr>
        <w:t>六、与国际、国外同类标准水平的对比情况</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目前，尚</w:t>
      </w:r>
      <w:r>
        <w:rPr>
          <w:rFonts w:hint="eastAsia" w:ascii="Times New Roman" w:hAnsi="Times New Roman"/>
          <w:sz w:val="24"/>
          <w:szCs w:val="24"/>
          <w:lang w:eastAsia="zh-CN"/>
        </w:rPr>
        <w:t>无电动汽车无线电力传输系统中静止式交流有功电能表技术</w:t>
      </w:r>
      <w:r>
        <w:rPr>
          <w:rFonts w:hint="eastAsia" w:ascii="Times New Roman" w:hAnsi="Times New Roman"/>
          <w:sz w:val="24"/>
          <w:szCs w:val="24"/>
        </w:rPr>
        <w:t>国际标准</w:t>
      </w:r>
      <w:r>
        <w:rPr>
          <w:rFonts w:hint="eastAsia" w:ascii="Times New Roman" w:hAnsi="Times New Roman"/>
          <w:sz w:val="24"/>
          <w:szCs w:val="24"/>
          <w:lang w:eastAsia="zh-CN"/>
        </w:rPr>
        <w:t>、</w:t>
      </w:r>
      <w:r>
        <w:rPr>
          <w:rFonts w:hint="eastAsia" w:ascii="Times New Roman" w:hAnsi="Times New Roman"/>
          <w:sz w:val="24"/>
          <w:szCs w:val="24"/>
        </w:rPr>
        <w:t>国家标准</w:t>
      </w:r>
      <w:r>
        <w:rPr>
          <w:rFonts w:hint="eastAsia" w:ascii="Times New Roman" w:hAnsi="Times New Roman"/>
          <w:sz w:val="24"/>
          <w:szCs w:val="24"/>
          <w:lang w:eastAsia="zh-CN"/>
        </w:rPr>
        <w:t>、</w:t>
      </w:r>
      <w:r>
        <w:rPr>
          <w:rFonts w:hint="eastAsia" w:ascii="Times New Roman" w:hAnsi="Times New Roman"/>
          <w:sz w:val="24"/>
          <w:szCs w:val="24"/>
        </w:rPr>
        <w:t>行业标准、团体标准。</w:t>
      </w:r>
    </w:p>
    <w:p>
      <w:pPr>
        <w:pStyle w:val="5"/>
        <w:rPr>
          <w:rFonts w:ascii="宋体" w:hAnsi="宋体" w:cs="宋体"/>
          <w:sz w:val="28"/>
          <w:szCs w:val="28"/>
        </w:rPr>
      </w:pPr>
      <w:r>
        <w:rPr>
          <w:rFonts w:hint="eastAsia" w:ascii="宋体" w:hAnsi="宋体" w:cs="宋体"/>
          <w:sz w:val="28"/>
          <w:szCs w:val="28"/>
        </w:rPr>
        <w:t>七、在标准体系中的位置，与现行相关法律、法规、规章及相关标准，特别是强制性标准的协调性</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与相关技术领域的国家现行法律、法规和政策保持一致。与现有标准、制定中的标准没有矛盾。</w:t>
      </w:r>
    </w:p>
    <w:p>
      <w:pPr>
        <w:pStyle w:val="5"/>
        <w:rPr>
          <w:rFonts w:ascii="宋体" w:hAnsi="宋体" w:cs="宋体"/>
          <w:sz w:val="28"/>
          <w:szCs w:val="28"/>
        </w:rPr>
      </w:pPr>
      <w:r>
        <w:rPr>
          <w:rFonts w:hint="eastAsia" w:ascii="宋体" w:hAnsi="宋体" w:cs="宋体"/>
          <w:sz w:val="28"/>
          <w:szCs w:val="28"/>
        </w:rPr>
        <w:t>八、标准性质的重大分歧意见的处理经过和依据</w:t>
      </w:r>
    </w:p>
    <w:p>
      <w:pPr>
        <w:spacing w:line="360" w:lineRule="auto"/>
        <w:ind w:firstLine="480" w:firstLineChars="200"/>
        <w:rPr>
          <w:rFonts w:ascii="Times New Roman" w:hAnsi="Times New Roman"/>
          <w:sz w:val="24"/>
          <w:szCs w:val="24"/>
          <w:lang w:val="zh-CN"/>
        </w:rPr>
      </w:pPr>
      <w:r>
        <w:rPr>
          <w:rFonts w:hint="eastAsia" w:ascii="Times New Roman" w:hAnsi="Times New Roman"/>
          <w:sz w:val="24"/>
          <w:szCs w:val="24"/>
          <w:lang w:val="zh-CN"/>
        </w:rPr>
        <w:t>无。</w:t>
      </w:r>
    </w:p>
    <w:p>
      <w:pPr>
        <w:pStyle w:val="5"/>
        <w:rPr>
          <w:rFonts w:ascii="宋体" w:hAnsi="宋体" w:cs="宋体"/>
          <w:sz w:val="28"/>
          <w:szCs w:val="28"/>
        </w:rPr>
      </w:pPr>
      <w:r>
        <w:rPr>
          <w:rFonts w:hint="eastAsia" w:ascii="宋体" w:hAnsi="宋体" w:cs="宋体"/>
          <w:sz w:val="28"/>
          <w:szCs w:val="28"/>
        </w:rPr>
        <w:t>九、标准性质的建议说明</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本文件为</w:t>
      </w:r>
      <w:r>
        <w:rPr>
          <w:rFonts w:hint="eastAsia" w:ascii="Times New Roman" w:hAnsi="Times New Roman"/>
          <w:sz w:val="24"/>
          <w:szCs w:val="24"/>
          <w:lang w:val="en-US" w:eastAsia="zh-CN"/>
        </w:rPr>
        <w:t>团体标准</w:t>
      </w:r>
      <w:r>
        <w:rPr>
          <w:rFonts w:hint="eastAsia" w:ascii="Times New Roman" w:hAnsi="Times New Roman"/>
          <w:sz w:val="24"/>
          <w:szCs w:val="24"/>
        </w:rPr>
        <w:t>，旨在</w:t>
      </w:r>
      <w:r>
        <w:rPr>
          <w:rFonts w:hint="eastAsia" w:ascii="Times New Roman" w:hAnsi="Times New Roman"/>
          <w:sz w:val="24"/>
          <w:szCs w:val="24"/>
          <w:lang w:eastAsia="zh-CN"/>
        </w:rPr>
        <w:t>为规范</w:t>
      </w:r>
      <w:r>
        <w:rPr>
          <w:rFonts w:hint="eastAsia" w:ascii="Times New Roman" w:hAnsi="Times New Roman"/>
          <w:sz w:val="24"/>
          <w:szCs w:val="24"/>
          <w:lang w:val="en-US" w:eastAsia="zh-CN"/>
        </w:rPr>
        <w:t>适用于电动汽车无线电力传输系统的静止式交流有功电能表</w:t>
      </w:r>
      <w:r>
        <w:rPr>
          <w:rFonts w:hint="eastAsia" w:ascii="Times New Roman" w:hAnsi="Times New Roman"/>
          <w:sz w:val="24"/>
          <w:szCs w:val="24"/>
        </w:rPr>
        <w:t>提供依据。</w:t>
      </w:r>
    </w:p>
    <w:p>
      <w:pPr>
        <w:pStyle w:val="5"/>
        <w:rPr>
          <w:rFonts w:ascii="宋体" w:hAnsi="宋体" w:cs="宋体"/>
          <w:sz w:val="28"/>
          <w:szCs w:val="28"/>
        </w:rPr>
      </w:pPr>
      <w:r>
        <w:rPr>
          <w:rFonts w:hint="eastAsia" w:ascii="宋体" w:hAnsi="宋体" w:cs="宋体"/>
          <w:sz w:val="28"/>
          <w:szCs w:val="28"/>
        </w:rPr>
        <w:t>十、贯彻标准的要求和措施建议</w:t>
      </w:r>
    </w:p>
    <w:p>
      <w:pPr>
        <w:spacing w:line="600" w:lineRule="exact"/>
        <w:rPr>
          <w:rFonts w:ascii="Times New Roman" w:hAnsi="Times New Roman"/>
          <w:sz w:val="24"/>
          <w:szCs w:val="24"/>
          <w:lang w:val="zh-CN"/>
        </w:rPr>
      </w:pPr>
      <w:r>
        <w:rPr>
          <w:rFonts w:hint="eastAsia" w:ascii="Times New Roman" w:hAnsi="Times New Roman"/>
        </w:rPr>
        <w:t xml:space="preserve">  </w:t>
      </w:r>
      <w:r>
        <w:rPr>
          <w:rFonts w:hint="eastAsia" w:ascii="Times New Roman" w:hAnsi="Times New Roman"/>
          <w:sz w:val="24"/>
          <w:szCs w:val="24"/>
        </w:rPr>
        <w:t xml:space="preserve">  </w:t>
      </w:r>
      <w:r>
        <w:rPr>
          <w:rFonts w:hint="eastAsia" w:ascii="Times New Roman" w:hAnsi="Times New Roman"/>
          <w:sz w:val="24"/>
          <w:szCs w:val="24"/>
          <w:lang w:val="zh-CN"/>
        </w:rPr>
        <w:t>无。</w:t>
      </w:r>
    </w:p>
    <w:p>
      <w:pPr>
        <w:pStyle w:val="5"/>
        <w:rPr>
          <w:rFonts w:ascii="宋体" w:hAnsi="宋体" w:cs="宋体"/>
          <w:sz w:val="28"/>
          <w:szCs w:val="28"/>
        </w:rPr>
      </w:pPr>
      <w:r>
        <w:rPr>
          <w:rFonts w:hint="eastAsia" w:ascii="宋体" w:hAnsi="宋体" w:cs="宋体"/>
          <w:sz w:val="28"/>
          <w:szCs w:val="28"/>
        </w:rPr>
        <w:t>十一、废止现行相关标准的建议</w:t>
      </w:r>
    </w:p>
    <w:p>
      <w:pPr>
        <w:spacing w:line="600" w:lineRule="exact"/>
        <w:rPr>
          <w:rFonts w:ascii="Times New Roman" w:hAnsi="Times New Roman"/>
          <w:sz w:val="24"/>
          <w:szCs w:val="24"/>
        </w:rPr>
      </w:pPr>
      <w:r>
        <w:rPr>
          <w:rFonts w:hint="eastAsia" w:ascii="宋体" w:hAnsi="宋体" w:cs="宋体"/>
          <w:szCs w:val="21"/>
        </w:rPr>
        <w:t xml:space="preserve">  </w:t>
      </w:r>
      <w:r>
        <w:rPr>
          <w:rFonts w:hint="eastAsia" w:ascii="Times New Roman" w:hAnsi="Times New Roman"/>
          <w:sz w:val="24"/>
          <w:szCs w:val="24"/>
        </w:rPr>
        <w:t xml:space="preserve">  无。</w:t>
      </w:r>
    </w:p>
    <w:p>
      <w:pPr>
        <w:pStyle w:val="5"/>
        <w:rPr>
          <w:rFonts w:ascii="宋体" w:hAnsi="宋体" w:cs="宋体"/>
          <w:sz w:val="28"/>
          <w:szCs w:val="28"/>
          <w:lang w:val="zh-CN"/>
        </w:rPr>
      </w:pPr>
      <w:r>
        <w:rPr>
          <w:rFonts w:hint="eastAsia" w:ascii="宋体" w:hAnsi="宋体" w:cs="宋体"/>
          <w:sz w:val="28"/>
          <w:szCs w:val="28"/>
        </w:rPr>
        <w:t>十二、</w:t>
      </w:r>
      <w:r>
        <w:rPr>
          <w:rFonts w:hint="eastAsia" w:ascii="宋体" w:hAnsi="宋体" w:cs="宋体"/>
          <w:sz w:val="28"/>
          <w:szCs w:val="28"/>
          <w:lang w:val="zh-CN"/>
        </w:rPr>
        <w:t>其他予以说明的事项</w:t>
      </w:r>
    </w:p>
    <w:p>
      <w:pPr>
        <w:spacing w:line="360" w:lineRule="auto"/>
        <w:ind w:firstLine="480" w:firstLineChars="200"/>
        <w:rPr>
          <w:rFonts w:hint="eastAsia" w:ascii="Times New Roman" w:hAnsi="Times New Roman" w:eastAsia="宋体"/>
          <w:sz w:val="24"/>
          <w:szCs w:val="24"/>
          <w:lang w:val="en-US" w:eastAsia="zh-CN"/>
        </w:rPr>
      </w:pPr>
      <w:r>
        <w:rPr>
          <w:rFonts w:hint="eastAsia" w:ascii="宋体" w:hAnsi="宋体" w:cs="宋体"/>
          <w:sz w:val="24"/>
          <w:szCs w:val="24"/>
          <w:lang w:val="en-US" w:eastAsia="zh-CN"/>
        </w:rPr>
        <w:t>在第一次工作组会议上，经工作组成员共同讨论将原立项名称《电动汽车无线充电系统电能计量技术规范</w:t>
      </w:r>
      <w:r>
        <w:rPr>
          <w:rFonts w:hint="eastAsia" w:ascii="Times New Roman" w:hAnsi="Times New Roman"/>
          <w:sz w:val="24"/>
          <w:szCs w:val="24"/>
          <w:lang w:val="zh-CN"/>
        </w:rPr>
        <w:t>》</w:t>
      </w:r>
      <w:r>
        <w:rPr>
          <w:rFonts w:hint="eastAsia" w:ascii="Times New Roman" w:hAnsi="Times New Roman"/>
          <w:sz w:val="24"/>
          <w:szCs w:val="24"/>
          <w:lang w:val="en-US" w:eastAsia="zh-CN"/>
        </w:rPr>
        <w:t>改为《电动汽车无线电力传输系统 电能测量设备 第1部分：静止式交流有功电能表技术规范》。</w:t>
      </w:r>
    </w:p>
    <w:sectPr>
      <w:footerReference r:id="rId5" w:type="default"/>
      <w:pgSz w:w="11906" w:h="16838"/>
      <w:pgMar w:top="1440" w:right="1800" w:bottom="1440" w:left="1800" w:header="851" w:footer="992" w:gutter="0"/>
      <w:pgNumType w:start="1"/>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hang" w:date="2024-01-05T20:20:34Z" w:initials="">
    <w:p w14:paraId="38655799">
      <w:pPr>
        <w:pStyle w:val="7"/>
        <w:rPr>
          <w:rFonts w:hint="default" w:eastAsia="宋体"/>
          <w:lang w:val="en-US" w:eastAsia="zh-CN"/>
        </w:rPr>
      </w:pPr>
      <w:r>
        <w:rPr>
          <w:rFonts w:hint="eastAsia"/>
          <w:lang w:val="en-US" w:eastAsia="zh-CN"/>
        </w:rPr>
        <w:t>超过了截止时间</w:t>
      </w:r>
    </w:p>
  </w:comment>
  <w:comment w:id="1" w:author="Zhang" w:date="2024-01-05T20:23:14Z" w:initials="">
    <w:p w14:paraId="634733EB">
      <w:pPr>
        <w:pStyle w:val="7"/>
        <w:rPr>
          <w:rFonts w:hint="default" w:eastAsia="宋体"/>
          <w:lang w:val="en-US" w:eastAsia="zh-CN"/>
        </w:rPr>
      </w:pPr>
      <w:r>
        <w:rPr>
          <w:rFonts w:hint="eastAsia"/>
          <w:lang w:val="en-US" w:eastAsia="zh-CN"/>
        </w:rPr>
        <w:t>时间需确定</w:t>
      </w:r>
    </w:p>
  </w:comment>
  <w:comment w:id="2" w:author="Zhang" w:date="2024-01-05T20:31:16Z" w:initials="">
    <w:p w14:paraId="54E53C59">
      <w:pPr>
        <w:pStyle w:val="7"/>
        <w:rPr>
          <w:rFonts w:hint="default" w:eastAsia="宋体"/>
          <w:lang w:val="en-US" w:eastAsia="zh-CN"/>
        </w:rPr>
      </w:pPr>
      <w:r>
        <w:rPr>
          <w:rFonts w:hint="eastAsia"/>
          <w:lang w:val="en-US" w:eastAsia="zh-CN"/>
        </w:rPr>
        <w:t>时间需确定</w:t>
      </w:r>
    </w:p>
  </w:comment>
  <w:comment w:id="3" w:author="Zhang" w:date="2024-01-06T16:31:33Z" w:initials="">
    <w:p w14:paraId="1D145469">
      <w:pPr>
        <w:pStyle w:val="7"/>
        <w:rPr>
          <w:rFonts w:hint="default" w:eastAsia="宋体"/>
          <w:lang w:val="en-US" w:eastAsia="zh-CN"/>
        </w:rPr>
      </w:pPr>
      <w:r>
        <w:rPr>
          <w:rFonts w:hint="eastAsia"/>
          <w:lang w:val="en-US" w:eastAsia="zh-CN"/>
        </w:rPr>
        <w:t>单位需确定</w:t>
      </w:r>
    </w:p>
  </w:comment>
  <w:comment w:id="4" w:author="Zhang" w:date="2024-01-05T22:59:33Z" w:initials="">
    <w:p w14:paraId="7DB34563">
      <w:pPr>
        <w:pStyle w:val="7"/>
        <w:rPr>
          <w:rFonts w:hint="default" w:eastAsia="宋体"/>
          <w:lang w:val="en-US" w:eastAsia="zh-CN"/>
        </w:rPr>
      </w:pPr>
      <w:r>
        <w:rPr>
          <w:rFonts w:hint="eastAsia"/>
          <w:lang w:val="en-US" w:eastAsia="zh-CN"/>
        </w:rPr>
        <w:t>人员需确定</w:t>
      </w:r>
    </w:p>
  </w:comment>
  <w:comment w:id="5" w:author="Zhang" w:date="2024-01-05T20:31:56Z" w:initials="">
    <w:p w14:paraId="36C65876">
      <w:pPr>
        <w:pStyle w:val="7"/>
        <w:rPr>
          <w:rFonts w:hint="default" w:eastAsia="宋体"/>
          <w:lang w:val="en-US" w:eastAsia="zh-CN"/>
        </w:rPr>
      </w:pPr>
      <w:r>
        <w:rPr>
          <w:rFonts w:hint="eastAsia"/>
          <w:lang w:val="en-US" w:eastAsia="zh-CN"/>
        </w:rPr>
        <w:t>人员需确定</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8655799" w15:done="0"/>
  <w15:commentEx w15:paraId="634733EB" w15:done="0"/>
  <w15:commentEx w15:paraId="54E53C59" w15:done="0"/>
  <w15:commentEx w15:paraId="1D145469" w15:done="0"/>
  <w15:commentEx w15:paraId="7DB34563" w15:done="0"/>
  <w15:commentEx w15:paraId="36C6587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t>3</w:t>
    </w:r>
    <w: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i w:val="0"/>
        <w:snapToGrid/>
        <w:spacing w:val="0"/>
        <w:w w:val="100"/>
        <w:kern w:val="21"/>
        <w:sz w:val="21"/>
      </w:rPr>
    </w:lvl>
    <w:lvl w:ilvl="2" w:tentative="0">
      <w:start w:val="1"/>
      <w:numFmt w:val="decimal"/>
      <w:pStyle w:val="44"/>
      <w:suff w:val="nothing"/>
      <w:lvlText w:val="%1%2.%3　"/>
      <w:lvlJc w:val="left"/>
      <w:pPr>
        <w:ind w:left="426" w:firstLine="0"/>
      </w:pPr>
      <w:rPr>
        <w:rFonts w:hint="eastAsia" w:ascii="黑体" w:hAnsi="Times New Roman" w:eastAsia="黑体"/>
        <w:b/>
        <w:i w:val="0"/>
        <w:sz w:val="21"/>
      </w:rPr>
    </w:lvl>
    <w:lvl w:ilvl="3" w:tentative="0">
      <w:start w:val="1"/>
      <w:numFmt w:val="decimal"/>
      <w:suff w:val="nothing"/>
      <w:lvlText w:val="%1%2.%3.%4　"/>
      <w:lvlJc w:val="left"/>
      <w:pPr>
        <w:ind w:left="993" w:firstLine="0"/>
      </w:pPr>
      <w:rPr>
        <w:rFonts w:hint="eastAsia" w:ascii="黑体" w:hAnsi="Times New Roman" w:eastAsia="黑体"/>
        <w:b/>
        <w:i w:val="0"/>
        <w:sz w:val="21"/>
      </w:rPr>
    </w:lvl>
    <w:lvl w:ilvl="4" w:tentative="0">
      <w:start w:val="1"/>
      <w:numFmt w:val="decimal"/>
      <w:suff w:val="nothing"/>
      <w:lvlText w:val="%1%2.%3.%4.%5　"/>
      <w:lvlJc w:val="left"/>
      <w:pPr>
        <w:ind w:left="284" w:firstLine="0"/>
      </w:pPr>
      <w:rPr>
        <w:rFonts w:hint="eastAsia" w:ascii="黑体" w:hAnsi="Times New Roman" w:eastAsia="黑体"/>
        <w:b/>
        <w:i w:val="0"/>
        <w:sz w:val="21"/>
      </w:rPr>
    </w:lvl>
    <w:lvl w:ilvl="5" w:tentative="0">
      <w:start w:val="1"/>
      <w:numFmt w:val="decimal"/>
      <w:suff w:val="nothing"/>
      <w:lvlText w:val="%1%2.%3.%4.%5.%6　"/>
      <w:lvlJc w:val="left"/>
      <w:pPr>
        <w:ind w:left="0" w:firstLine="0"/>
      </w:pPr>
      <w:rPr>
        <w:rFonts w:hint="eastAsia" w:ascii="黑体" w:hAnsi="Times New Roman" w:eastAsia="黑体"/>
        <w:b/>
        <w:i w:val="0"/>
        <w:sz w:val="21"/>
      </w:rPr>
    </w:lvl>
    <w:lvl w:ilvl="6" w:tentative="0">
      <w:start w:val="1"/>
      <w:numFmt w:val="decimal"/>
      <w:suff w:val="nothing"/>
      <w:lvlText w:val="%1%2.%3.%4.%5.%6.%7　"/>
      <w:lvlJc w:val="left"/>
      <w:pPr>
        <w:ind w:left="0" w:firstLine="0"/>
      </w:pPr>
      <w:rPr>
        <w:rFonts w:hint="eastAsia" w:ascii="黑体" w:hAnsi="Times New Roman" w:eastAsia="黑体"/>
        <w:b/>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3D56323D"/>
    <w:multiLevelType w:val="singleLevel"/>
    <w:tmpl w:val="3D56323D"/>
    <w:lvl w:ilvl="0" w:tentative="0">
      <w:start w:val="2"/>
      <w:numFmt w:val="decimal"/>
      <w:suff w:val="nothing"/>
      <w:lvlText w:val="%1．"/>
      <w:lvlJc w:val="left"/>
    </w:lvl>
  </w:abstractNum>
  <w:abstractNum w:abstractNumId="2">
    <w:nsid w:val="44C50F90"/>
    <w:multiLevelType w:val="multilevel"/>
    <w:tmpl w:val="44C50F90"/>
    <w:lvl w:ilvl="0" w:tentative="0">
      <w:start w:val="1"/>
      <w:numFmt w:val="lowerLetter"/>
      <w:pStyle w:val="27"/>
      <w:lvlText w:val="%1)"/>
      <w:lvlJc w:val="left"/>
      <w:pPr>
        <w:tabs>
          <w:tab w:val="left" w:pos="851"/>
        </w:tabs>
        <w:ind w:left="851" w:hanging="426"/>
      </w:pPr>
      <w:rPr>
        <w:rFonts w:hint="eastAsia" w:ascii="宋体" w:hAnsi="Times New Roman" w:eastAsia="宋体"/>
        <w:sz w:val="21"/>
      </w:rPr>
    </w:lvl>
    <w:lvl w:ilvl="1" w:tentative="0">
      <w:start w:val="1"/>
      <w:numFmt w:val="decimal"/>
      <w:pStyle w:val="28"/>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rPr>
    </w:lvl>
    <w:lvl w:ilvl="3" w:tentative="0">
      <w:start w:val="1"/>
      <w:numFmt w:val="decimal"/>
      <w:pStyle w:val="29"/>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g">
    <w15:presenceInfo w15:providerId="WPS Office" w15:userId="276646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revisionView w:markup="0"/>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2ZmIwNmJmZTI5ZWNhNTI3M2U2MzliNWE3ZmM3MWEifQ=="/>
  </w:docVars>
  <w:rsids>
    <w:rsidRoot w:val="00C07FD7"/>
    <w:rsid w:val="000125B6"/>
    <w:rsid w:val="00021860"/>
    <w:rsid w:val="00021AD1"/>
    <w:rsid w:val="00023888"/>
    <w:rsid w:val="00026950"/>
    <w:rsid w:val="00026A6A"/>
    <w:rsid w:val="000327DB"/>
    <w:rsid w:val="00032CEB"/>
    <w:rsid w:val="000342AE"/>
    <w:rsid w:val="00035ABD"/>
    <w:rsid w:val="00035D6A"/>
    <w:rsid w:val="00041DA0"/>
    <w:rsid w:val="00043280"/>
    <w:rsid w:val="000445C2"/>
    <w:rsid w:val="00044EBD"/>
    <w:rsid w:val="00053DD0"/>
    <w:rsid w:val="00056E08"/>
    <w:rsid w:val="00060C0C"/>
    <w:rsid w:val="000746BA"/>
    <w:rsid w:val="00076F33"/>
    <w:rsid w:val="00091438"/>
    <w:rsid w:val="000929A1"/>
    <w:rsid w:val="00097BE9"/>
    <w:rsid w:val="000A0560"/>
    <w:rsid w:val="000A324F"/>
    <w:rsid w:val="000B0CCB"/>
    <w:rsid w:val="000B237C"/>
    <w:rsid w:val="000C3349"/>
    <w:rsid w:val="000C6A2D"/>
    <w:rsid w:val="000D17D0"/>
    <w:rsid w:val="000D4836"/>
    <w:rsid w:val="000D4CE1"/>
    <w:rsid w:val="000D7AD7"/>
    <w:rsid w:val="000E047B"/>
    <w:rsid w:val="000E2158"/>
    <w:rsid w:val="000F6655"/>
    <w:rsid w:val="0012193A"/>
    <w:rsid w:val="00131C05"/>
    <w:rsid w:val="001327F4"/>
    <w:rsid w:val="0013476B"/>
    <w:rsid w:val="00140FB8"/>
    <w:rsid w:val="00141B98"/>
    <w:rsid w:val="001446ED"/>
    <w:rsid w:val="00146EDD"/>
    <w:rsid w:val="00161356"/>
    <w:rsid w:val="00165275"/>
    <w:rsid w:val="00183189"/>
    <w:rsid w:val="00184D4C"/>
    <w:rsid w:val="00192421"/>
    <w:rsid w:val="00192C8B"/>
    <w:rsid w:val="00194207"/>
    <w:rsid w:val="001A507A"/>
    <w:rsid w:val="001A5EBC"/>
    <w:rsid w:val="001B4E14"/>
    <w:rsid w:val="001C3ED8"/>
    <w:rsid w:val="001C5231"/>
    <w:rsid w:val="001C55ED"/>
    <w:rsid w:val="001D038D"/>
    <w:rsid w:val="001F27FD"/>
    <w:rsid w:val="001F7207"/>
    <w:rsid w:val="001F7AB4"/>
    <w:rsid w:val="002004B4"/>
    <w:rsid w:val="002004D0"/>
    <w:rsid w:val="00206A66"/>
    <w:rsid w:val="00210C5F"/>
    <w:rsid w:val="002145BD"/>
    <w:rsid w:val="00221BDC"/>
    <w:rsid w:val="00224108"/>
    <w:rsid w:val="00243479"/>
    <w:rsid w:val="00247BF2"/>
    <w:rsid w:val="002542CE"/>
    <w:rsid w:val="0026529F"/>
    <w:rsid w:val="00284FBA"/>
    <w:rsid w:val="00285085"/>
    <w:rsid w:val="00285508"/>
    <w:rsid w:val="002864C4"/>
    <w:rsid w:val="00292180"/>
    <w:rsid w:val="00293FB6"/>
    <w:rsid w:val="00294CF4"/>
    <w:rsid w:val="002A3B58"/>
    <w:rsid w:val="002A484B"/>
    <w:rsid w:val="002A6CD7"/>
    <w:rsid w:val="002B4C66"/>
    <w:rsid w:val="002C464D"/>
    <w:rsid w:val="002C4E91"/>
    <w:rsid w:val="002C769C"/>
    <w:rsid w:val="002E1DAF"/>
    <w:rsid w:val="002E2F23"/>
    <w:rsid w:val="002E6ACB"/>
    <w:rsid w:val="002F02C5"/>
    <w:rsid w:val="002F3DF7"/>
    <w:rsid w:val="002F7CA0"/>
    <w:rsid w:val="0030109E"/>
    <w:rsid w:val="00307E6D"/>
    <w:rsid w:val="00310AD6"/>
    <w:rsid w:val="00311B24"/>
    <w:rsid w:val="00312657"/>
    <w:rsid w:val="00316AEB"/>
    <w:rsid w:val="00317C9F"/>
    <w:rsid w:val="00340235"/>
    <w:rsid w:val="0034542C"/>
    <w:rsid w:val="00345489"/>
    <w:rsid w:val="00351087"/>
    <w:rsid w:val="003604FE"/>
    <w:rsid w:val="00371A8E"/>
    <w:rsid w:val="0037225A"/>
    <w:rsid w:val="003736A6"/>
    <w:rsid w:val="00380C6C"/>
    <w:rsid w:val="003817FA"/>
    <w:rsid w:val="00381AA0"/>
    <w:rsid w:val="003823C7"/>
    <w:rsid w:val="00387AB0"/>
    <w:rsid w:val="00393004"/>
    <w:rsid w:val="003A084F"/>
    <w:rsid w:val="003A1A73"/>
    <w:rsid w:val="003A2E44"/>
    <w:rsid w:val="003B0E59"/>
    <w:rsid w:val="003B5A86"/>
    <w:rsid w:val="003C273A"/>
    <w:rsid w:val="003D40C4"/>
    <w:rsid w:val="003D52D5"/>
    <w:rsid w:val="003D587D"/>
    <w:rsid w:val="003D759D"/>
    <w:rsid w:val="003E1031"/>
    <w:rsid w:val="003E44F5"/>
    <w:rsid w:val="003E7257"/>
    <w:rsid w:val="003F5A3A"/>
    <w:rsid w:val="004001EF"/>
    <w:rsid w:val="00411CCA"/>
    <w:rsid w:val="00411EB8"/>
    <w:rsid w:val="00421B97"/>
    <w:rsid w:val="0042301F"/>
    <w:rsid w:val="004237FB"/>
    <w:rsid w:val="00426380"/>
    <w:rsid w:val="00426D41"/>
    <w:rsid w:val="00433F0D"/>
    <w:rsid w:val="00453CFD"/>
    <w:rsid w:val="0046366A"/>
    <w:rsid w:val="00472477"/>
    <w:rsid w:val="00473EC6"/>
    <w:rsid w:val="00491AAF"/>
    <w:rsid w:val="00493B8A"/>
    <w:rsid w:val="00494341"/>
    <w:rsid w:val="00495729"/>
    <w:rsid w:val="004958A9"/>
    <w:rsid w:val="004A21DF"/>
    <w:rsid w:val="004B42FD"/>
    <w:rsid w:val="004D035F"/>
    <w:rsid w:val="004D25D8"/>
    <w:rsid w:val="004D6719"/>
    <w:rsid w:val="004E142A"/>
    <w:rsid w:val="004E5B62"/>
    <w:rsid w:val="004F77A2"/>
    <w:rsid w:val="004F7B35"/>
    <w:rsid w:val="005023D2"/>
    <w:rsid w:val="00504D78"/>
    <w:rsid w:val="00514919"/>
    <w:rsid w:val="0052103A"/>
    <w:rsid w:val="0052574F"/>
    <w:rsid w:val="0053279D"/>
    <w:rsid w:val="0054263F"/>
    <w:rsid w:val="005453CA"/>
    <w:rsid w:val="00547862"/>
    <w:rsid w:val="005517EF"/>
    <w:rsid w:val="00551D13"/>
    <w:rsid w:val="0055341B"/>
    <w:rsid w:val="00554865"/>
    <w:rsid w:val="00560931"/>
    <w:rsid w:val="00576B8F"/>
    <w:rsid w:val="00580A71"/>
    <w:rsid w:val="00581791"/>
    <w:rsid w:val="00582A51"/>
    <w:rsid w:val="00596C29"/>
    <w:rsid w:val="005A0A0F"/>
    <w:rsid w:val="005A7101"/>
    <w:rsid w:val="005B04B9"/>
    <w:rsid w:val="005C3AC8"/>
    <w:rsid w:val="005D3277"/>
    <w:rsid w:val="005E1501"/>
    <w:rsid w:val="005E3C02"/>
    <w:rsid w:val="005F1579"/>
    <w:rsid w:val="005F2E08"/>
    <w:rsid w:val="005F749E"/>
    <w:rsid w:val="005F79C2"/>
    <w:rsid w:val="00601078"/>
    <w:rsid w:val="00607AF6"/>
    <w:rsid w:val="00612AE7"/>
    <w:rsid w:val="00634184"/>
    <w:rsid w:val="00642FCC"/>
    <w:rsid w:val="00647254"/>
    <w:rsid w:val="00656F8B"/>
    <w:rsid w:val="00657FF9"/>
    <w:rsid w:val="00670EC7"/>
    <w:rsid w:val="0067132A"/>
    <w:rsid w:val="006771EB"/>
    <w:rsid w:val="0068048B"/>
    <w:rsid w:val="0068543E"/>
    <w:rsid w:val="00685DCF"/>
    <w:rsid w:val="00686FDF"/>
    <w:rsid w:val="006B265E"/>
    <w:rsid w:val="006B3A9B"/>
    <w:rsid w:val="006C06FD"/>
    <w:rsid w:val="006E04C4"/>
    <w:rsid w:val="006E6D06"/>
    <w:rsid w:val="006E7F41"/>
    <w:rsid w:val="0070016D"/>
    <w:rsid w:val="007030BB"/>
    <w:rsid w:val="007109C3"/>
    <w:rsid w:val="00713107"/>
    <w:rsid w:val="007201B7"/>
    <w:rsid w:val="00721E6D"/>
    <w:rsid w:val="007320F6"/>
    <w:rsid w:val="00735D69"/>
    <w:rsid w:val="0074014F"/>
    <w:rsid w:val="00740307"/>
    <w:rsid w:val="00741613"/>
    <w:rsid w:val="00746B7B"/>
    <w:rsid w:val="00752B3F"/>
    <w:rsid w:val="007638AD"/>
    <w:rsid w:val="00764EE4"/>
    <w:rsid w:val="00775364"/>
    <w:rsid w:val="00781EEC"/>
    <w:rsid w:val="00782CFC"/>
    <w:rsid w:val="00783699"/>
    <w:rsid w:val="00792363"/>
    <w:rsid w:val="007932EA"/>
    <w:rsid w:val="007A0FB8"/>
    <w:rsid w:val="007A282E"/>
    <w:rsid w:val="007A39E9"/>
    <w:rsid w:val="007B25F6"/>
    <w:rsid w:val="007B6B4B"/>
    <w:rsid w:val="007B75E0"/>
    <w:rsid w:val="007C53A8"/>
    <w:rsid w:val="007D3FB3"/>
    <w:rsid w:val="007D4263"/>
    <w:rsid w:val="007D5CA9"/>
    <w:rsid w:val="007D773A"/>
    <w:rsid w:val="007E6051"/>
    <w:rsid w:val="007F37E2"/>
    <w:rsid w:val="007F438C"/>
    <w:rsid w:val="007F5B2B"/>
    <w:rsid w:val="007F5D9E"/>
    <w:rsid w:val="007F5EAD"/>
    <w:rsid w:val="00800EB7"/>
    <w:rsid w:val="00805DEA"/>
    <w:rsid w:val="00807BC7"/>
    <w:rsid w:val="00813009"/>
    <w:rsid w:val="00813B20"/>
    <w:rsid w:val="0081723B"/>
    <w:rsid w:val="008261D3"/>
    <w:rsid w:val="00833A8B"/>
    <w:rsid w:val="00840377"/>
    <w:rsid w:val="0085109D"/>
    <w:rsid w:val="008539E7"/>
    <w:rsid w:val="00857DB4"/>
    <w:rsid w:val="008652F1"/>
    <w:rsid w:val="008744E2"/>
    <w:rsid w:val="008A1B7C"/>
    <w:rsid w:val="008B5D3C"/>
    <w:rsid w:val="008B6F36"/>
    <w:rsid w:val="008C2741"/>
    <w:rsid w:val="008D12C6"/>
    <w:rsid w:val="008D51C7"/>
    <w:rsid w:val="008F1A3F"/>
    <w:rsid w:val="009040E1"/>
    <w:rsid w:val="00904D19"/>
    <w:rsid w:val="00907C90"/>
    <w:rsid w:val="0091049B"/>
    <w:rsid w:val="00911E72"/>
    <w:rsid w:val="009123EA"/>
    <w:rsid w:val="00915B37"/>
    <w:rsid w:val="00916365"/>
    <w:rsid w:val="009303E4"/>
    <w:rsid w:val="0094073D"/>
    <w:rsid w:val="00950997"/>
    <w:rsid w:val="00951150"/>
    <w:rsid w:val="00952E56"/>
    <w:rsid w:val="009545FB"/>
    <w:rsid w:val="0096265C"/>
    <w:rsid w:val="009649D1"/>
    <w:rsid w:val="00971FFA"/>
    <w:rsid w:val="009729E2"/>
    <w:rsid w:val="00980CC7"/>
    <w:rsid w:val="00983CE9"/>
    <w:rsid w:val="009909D4"/>
    <w:rsid w:val="009910D3"/>
    <w:rsid w:val="00997646"/>
    <w:rsid w:val="009D2B32"/>
    <w:rsid w:val="009D5316"/>
    <w:rsid w:val="009D539D"/>
    <w:rsid w:val="009D5E09"/>
    <w:rsid w:val="009D659E"/>
    <w:rsid w:val="009E3906"/>
    <w:rsid w:val="009E3D3C"/>
    <w:rsid w:val="009E541C"/>
    <w:rsid w:val="009F2FFA"/>
    <w:rsid w:val="009F4E4B"/>
    <w:rsid w:val="009F538F"/>
    <w:rsid w:val="00A00A02"/>
    <w:rsid w:val="00A10C43"/>
    <w:rsid w:val="00A141D8"/>
    <w:rsid w:val="00A218BA"/>
    <w:rsid w:val="00A37466"/>
    <w:rsid w:val="00A40249"/>
    <w:rsid w:val="00A43FDA"/>
    <w:rsid w:val="00A45735"/>
    <w:rsid w:val="00A55416"/>
    <w:rsid w:val="00A577E2"/>
    <w:rsid w:val="00A62621"/>
    <w:rsid w:val="00A65029"/>
    <w:rsid w:val="00A73B4E"/>
    <w:rsid w:val="00A76F83"/>
    <w:rsid w:val="00A854F6"/>
    <w:rsid w:val="00A855B9"/>
    <w:rsid w:val="00A9442A"/>
    <w:rsid w:val="00AA02D0"/>
    <w:rsid w:val="00AA1F60"/>
    <w:rsid w:val="00AA53C6"/>
    <w:rsid w:val="00AB29A6"/>
    <w:rsid w:val="00AB4293"/>
    <w:rsid w:val="00AC2761"/>
    <w:rsid w:val="00AD128C"/>
    <w:rsid w:val="00AD3B06"/>
    <w:rsid w:val="00AE4AC2"/>
    <w:rsid w:val="00AF29E8"/>
    <w:rsid w:val="00AF2FC0"/>
    <w:rsid w:val="00B02300"/>
    <w:rsid w:val="00B03E6A"/>
    <w:rsid w:val="00B0432B"/>
    <w:rsid w:val="00B04431"/>
    <w:rsid w:val="00B05335"/>
    <w:rsid w:val="00B07968"/>
    <w:rsid w:val="00B12862"/>
    <w:rsid w:val="00B205FA"/>
    <w:rsid w:val="00B223D8"/>
    <w:rsid w:val="00B227F6"/>
    <w:rsid w:val="00B363A1"/>
    <w:rsid w:val="00B5376B"/>
    <w:rsid w:val="00B710A0"/>
    <w:rsid w:val="00B94948"/>
    <w:rsid w:val="00BA1248"/>
    <w:rsid w:val="00BB392C"/>
    <w:rsid w:val="00BC2A58"/>
    <w:rsid w:val="00BC463B"/>
    <w:rsid w:val="00BC4820"/>
    <w:rsid w:val="00BD2A6B"/>
    <w:rsid w:val="00BE01BA"/>
    <w:rsid w:val="00BE0D14"/>
    <w:rsid w:val="00BF3D86"/>
    <w:rsid w:val="00C02B99"/>
    <w:rsid w:val="00C0676C"/>
    <w:rsid w:val="00C06773"/>
    <w:rsid w:val="00C07FD7"/>
    <w:rsid w:val="00C23C45"/>
    <w:rsid w:val="00C24F5C"/>
    <w:rsid w:val="00C26DC1"/>
    <w:rsid w:val="00C27F6A"/>
    <w:rsid w:val="00C303B6"/>
    <w:rsid w:val="00C35947"/>
    <w:rsid w:val="00C35DF7"/>
    <w:rsid w:val="00C41B50"/>
    <w:rsid w:val="00C43FDE"/>
    <w:rsid w:val="00C63018"/>
    <w:rsid w:val="00C63B25"/>
    <w:rsid w:val="00C70BED"/>
    <w:rsid w:val="00C76244"/>
    <w:rsid w:val="00C82E2D"/>
    <w:rsid w:val="00C85261"/>
    <w:rsid w:val="00CA6EBE"/>
    <w:rsid w:val="00CA6F47"/>
    <w:rsid w:val="00CC7860"/>
    <w:rsid w:val="00CD43CB"/>
    <w:rsid w:val="00CD6C9A"/>
    <w:rsid w:val="00CF074D"/>
    <w:rsid w:val="00CF2DE8"/>
    <w:rsid w:val="00CF5406"/>
    <w:rsid w:val="00D01AA3"/>
    <w:rsid w:val="00D108F4"/>
    <w:rsid w:val="00D1285F"/>
    <w:rsid w:val="00D162DC"/>
    <w:rsid w:val="00D17521"/>
    <w:rsid w:val="00D200D6"/>
    <w:rsid w:val="00D20E90"/>
    <w:rsid w:val="00D23634"/>
    <w:rsid w:val="00D24E58"/>
    <w:rsid w:val="00D304EE"/>
    <w:rsid w:val="00D45ECB"/>
    <w:rsid w:val="00D506CE"/>
    <w:rsid w:val="00D7033C"/>
    <w:rsid w:val="00D84706"/>
    <w:rsid w:val="00D85F2C"/>
    <w:rsid w:val="00D90933"/>
    <w:rsid w:val="00DB0013"/>
    <w:rsid w:val="00DB3454"/>
    <w:rsid w:val="00DC3630"/>
    <w:rsid w:val="00DD718B"/>
    <w:rsid w:val="00DD7EBE"/>
    <w:rsid w:val="00DE2825"/>
    <w:rsid w:val="00DF5125"/>
    <w:rsid w:val="00DF6A53"/>
    <w:rsid w:val="00DF6A54"/>
    <w:rsid w:val="00DF7DA3"/>
    <w:rsid w:val="00E00C17"/>
    <w:rsid w:val="00E025A9"/>
    <w:rsid w:val="00E07DFE"/>
    <w:rsid w:val="00E11A6F"/>
    <w:rsid w:val="00E166E6"/>
    <w:rsid w:val="00E1672C"/>
    <w:rsid w:val="00E179F8"/>
    <w:rsid w:val="00E42B81"/>
    <w:rsid w:val="00E47E34"/>
    <w:rsid w:val="00E50118"/>
    <w:rsid w:val="00E56F40"/>
    <w:rsid w:val="00E72BD3"/>
    <w:rsid w:val="00E74BFC"/>
    <w:rsid w:val="00E75D8B"/>
    <w:rsid w:val="00E77999"/>
    <w:rsid w:val="00E85B34"/>
    <w:rsid w:val="00E91560"/>
    <w:rsid w:val="00E95999"/>
    <w:rsid w:val="00EA4114"/>
    <w:rsid w:val="00EA7644"/>
    <w:rsid w:val="00EB1602"/>
    <w:rsid w:val="00EB46D7"/>
    <w:rsid w:val="00EC44FB"/>
    <w:rsid w:val="00EC5B9D"/>
    <w:rsid w:val="00ED545D"/>
    <w:rsid w:val="00EE0B00"/>
    <w:rsid w:val="00F1078D"/>
    <w:rsid w:val="00F3640C"/>
    <w:rsid w:val="00F3754A"/>
    <w:rsid w:val="00F46547"/>
    <w:rsid w:val="00F5148D"/>
    <w:rsid w:val="00F51C56"/>
    <w:rsid w:val="00F52715"/>
    <w:rsid w:val="00F61FAD"/>
    <w:rsid w:val="00F64A7B"/>
    <w:rsid w:val="00F75495"/>
    <w:rsid w:val="00F82214"/>
    <w:rsid w:val="00F842D4"/>
    <w:rsid w:val="00F9244E"/>
    <w:rsid w:val="00F937EE"/>
    <w:rsid w:val="00F96C35"/>
    <w:rsid w:val="00FA4159"/>
    <w:rsid w:val="00FB4480"/>
    <w:rsid w:val="00FD0271"/>
    <w:rsid w:val="00FD4FE4"/>
    <w:rsid w:val="00FE3DBE"/>
    <w:rsid w:val="00FF1806"/>
    <w:rsid w:val="00FF4757"/>
    <w:rsid w:val="00FF5E2B"/>
    <w:rsid w:val="00FF60E8"/>
    <w:rsid w:val="00FF7080"/>
    <w:rsid w:val="015D78C2"/>
    <w:rsid w:val="0176579F"/>
    <w:rsid w:val="01F8525A"/>
    <w:rsid w:val="025A548B"/>
    <w:rsid w:val="0267744B"/>
    <w:rsid w:val="032B7CCC"/>
    <w:rsid w:val="03EA2651"/>
    <w:rsid w:val="03F3608F"/>
    <w:rsid w:val="03F73430"/>
    <w:rsid w:val="04506958"/>
    <w:rsid w:val="04B406C8"/>
    <w:rsid w:val="051A11D0"/>
    <w:rsid w:val="05B13426"/>
    <w:rsid w:val="05B71053"/>
    <w:rsid w:val="068C3E93"/>
    <w:rsid w:val="068C63E6"/>
    <w:rsid w:val="06D25D4A"/>
    <w:rsid w:val="07282BD2"/>
    <w:rsid w:val="07350087"/>
    <w:rsid w:val="073525D0"/>
    <w:rsid w:val="07933427"/>
    <w:rsid w:val="07BE62CF"/>
    <w:rsid w:val="07D524BC"/>
    <w:rsid w:val="07F10452"/>
    <w:rsid w:val="07F414F5"/>
    <w:rsid w:val="08591C04"/>
    <w:rsid w:val="08874912"/>
    <w:rsid w:val="090215F0"/>
    <w:rsid w:val="091229C5"/>
    <w:rsid w:val="093B6561"/>
    <w:rsid w:val="094B1189"/>
    <w:rsid w:val="09CF3467"/>
    <w:rsid w:val="09FF031A"/>
    <w:rsid w:val="0A50241A"/>
    <w:rsid w:val="0A9E3E3B"/>
    <w:rsid w:val="0AA00011"/>
    <w:rsid w:val="0B090D2C"/>
    <w:rsid w:val="0B4F794E"/>
    <w:rsid w:val="0B957346"/>
    <w:rsid w:val="0C7A2535"/>
    <w:rsid w:val="0C7A6ED4"/>
    <w:rsid w:val="0D2A3ABE"/>
    <w:rsid w:val="0D5F0B5D"/>
    <w:rsid w:val="0EA24254"/>
    <w:rsid w:val="0EE86A55"/>
    <w:rsid w:val="0FF7412C"/>
    <w:rsid w:val="10DF406E"/>
    <w:rsid w:val="113C07E1"/>
    <w:rsid w:val="11E90053"/>
    <w:rsid w:val="121D4CDC"/>
    <w:rsid w:val="12BF58FF"/>
    <w:rsid w:val="12C8591C"/>
    <w:rsid w:val="12F24C1A"/>
    <w:rsid w:val="13176148"/>
    <w:rsid w:val="13760D4E"/>
    <w:rsid w:val="13767950"/>
    <w:rsid w:val="13A20852"/>
    <w:rsid w:val="14147A3B"/>
    <w:rsid w:val="14521453"/>
    <w:rsid w:val="15020CA3"/>
    <w:rsid w:val="151C4634"/>
    <w:rsid w:val="15406575"/>
    <w:rsid w:val="15A70449"/>
    <w:rsid w:val="16035571"/>
    <w:rsid w:val="162639CD"/>
    <w:rsid w:val="16436BBB"/>
    <w:rsid w:val="167D1838"/>
    <w:rsid w:val="16BB474E"/>
    <w:rsid w:val="16F35A55"/>
    <w:rsid w:val="1707438F"/>
    <w:rsid w:val="17084E70"/>
    <w:rsid w:val="180E1119"/>
    <w:rsid w:val="18393541"/>
    <w:rsid w:val="18563F30"/>
    <w:rsid w:val="18A176F2"/>
    <w:rsid w:val="18A500EF"/>
    <w:rsid w:val="18C35161"/>
    <w:rsid w:val="195D7E33"/>
    <w:rsid w:val="198552B3"/>
    <w:rsid w:val="19970503"/>
    <w:rsid w:val="19C27D7F"/>
    <w:rsid w:val="1A0A53A3"/>
    <w:rsid w:val="1AC9700C"/>
    <w:rsid w:val="1B002FFA"/>
    <w:rsid w:val="1B9907D4"/>
    <w:rsid w:val="1BD9502D"/>
    <w:rsid w:val="1C0C749B"/>
    <w:rsid w:val="1C2A1FFA"/>
    <w:rsid w:val="1CFB1C06"/>
    <w:rsid w:val="1D1A55A4"/>
    <w:rsid w:val="1D28626C"/>
    <w:rsid w:val="1D774AFE"/>
    <w:rsid w:val="1D7D286E"/>
    <w:rsid w:val="1D9456B0"/>
    <w:rsid w:val="1DD31238"/>
    <w:rsid w:val="1F6736C2"/>
    <w:rsid w:val="1F783185"/>
    <w:rsid w:val="1FB73848"/>
    <w:rsid w:val="2071095A"/>
    <w:rsid w:val="20840C8E"/>
    <w:rsid w:val="208D6BBB"/>
    <w:rsid w:val="20D01F6D"/>
    <w:rsid w:val="20EE157B"/>
    <w:rsid w:val="21450638"/>
    <w:rsid w:val="21D00C81"/>
    <w:rsid w:val="21D7460A"/>
    <w:rsid w:val="2216145C"/>
    <w:rsid w:val="223649D8"/>
    <w:rsid w:val="22A45836"/>
    <w:rsid w:val="22B34C76"/>
    <w:rsid w:val="22F116EA"/>
    <w:rsid w:val="235B6269"/>
    <w:rsid w:val="23A75EEF"/>
    <w:rsid w:val="24481FE0"/>
    <w:rsid w:val="248764B8"/>
    <w:rsid w:val="24BC14A0"/>
    <w:rsid w:val="25535E50"/>
    <w:rsid w:val="259768C4"/>
    <w:rsid w:val="25F36AC0"/>
    <w:rsid w:val="26A45E4D"/>
    <w:rsid w:val="26D20B6F"/>
    <w:rsid w:val="272711D4"/>
    <w:rsid w:val="27960276"/>
    <w:rsid w:val="28F60FCD"/>
    <w:rsid w:val="290336EA"/>
    <w:rsid w:val="29417347"/>
    <w:rsid w:val="2942121D"/>
    <w:rsid w:val="2975419D"/>
    <w:rsid w:val="29A852E1"/>
    <w:rsid w:val="29EB4EC7"/>
    <w:rsid w:val="2A2F41FE"/>
    <w:rsid w:val="2A4D3368"/>
    <w:rsid w:val="2A721FF8"/>
    <w:rsid w:val="2B187193"/>
    <w:rsid w:val="2B2C3011"/>
    <w:rsid w:val="2B59385C"/>
    <w:rsid w:val="2B7D7783"/>
    <w:rsid w:val="2B882FE3"/>
    <w:rsid w:val="2BA471A7"/>
    <w:rsid w:val="2BFE0E57"/>
    <w:rsid w:val="2C2F77CB"/>
    <w:rsid w:val="2C3A22F9"/>
    <w:rsid w:val="2CF74318"/>
    <w:rsid w:val="2CFB12C0"/>
    <w:rsid w:val="2E060545"/>
    <w:rsid w:val="2E1F36AF"/>
    <w:rsid w:val="2E3305CD"/>
    <w:rsid w:val="2F236894"/>
    <w:rsid w:val="2F740E9D"/>
    <w:rsid w:val="2FFC7C4A"/>
    <w:rsid w:val="30305AEA"/>
    <w:rsid w:val="304B257B"/>
    <w:rsid w:val="30896BCA"/>
    <w:rsid w:val="30B0524B"/>
    <w:rsid w:val="30B11B46"/>
    <w:rsid w:val="30D243F2"/>
    <w:rsid w:val="31367793"/>
    <w:rsid w:val="317E6003"/>
    <w:rsid w:val="31B1462B"/>
    <w:rsid w:val="324C2EAE"/>
    <w:rsid w:val="32D166F5"/>
    <w:rsid w:val="32DA195F"/>
    <w:rsid w:val="32F04CDF"/>
    <w:rsid w:val="339F6C4E"/>
    <w:rsid w:val="33C85C5B"/>
    <w:rsid w:val="33C95001"/>
    <w:rsid w:val="33DA06F7"/>
    <w:rsid w:val="340F48FC"/>
    <w:rsid w:val="34265515"/>
    <w:rsid w:val="343C1419"/>
    <w:rsid w:val="344314A0"/>
    <w:rsid w:val="346B54F2"/>
    <w:rsid w:val="34711E4F"/>
    <w:rsid w:val="34AF2C20"/>
    <w:rsid w:val="34C11256"/>
    <w:rsid w:val="351202FF"/>
    <w:rsid w:val="35BC388F"/>
    <w:rsid w:val="3609360F"/>
    <w:rsid w:val="361B04A0"/>
    <w:rsid w:val="361E6007"/>
    <w:rsid w:val="36290C68"/>
    <w:rsid w:val="36315D3A"/>
    <w:rsid w:val="365C6355"/>
    <w:rsid w:val="36646E1F"/>
    <w:rsid w:val="36825C5E"/>
    <w:rsid w:val="36C55F68"/>
    <w:rsid w:val="371D006C"/>
    <w:rsid w:val="37265173"/>
    <w:rsid w:val="37753CAD"/>
    <w:rsid w:val="37D35893"/>
    <w:rsid w:val="383E4EC8"/>
    <w:rsid w:val="385A6D44"/>
    <w:rsid w:val="386A7099"/>
    <w:rsid w:val="388D1222"/>
    <w:rsid w:val="393E24A6"/>
    <w:rsid w:val="39A560B6"/>
    <w:rsid w:val="39CB0253"/>
    <w:rsid w:val="39FC040D"/>
    <w:rsid w:val="3A916FDA"/>
    <w:rsid w:val="3AA14BDA"/>
    <w:rsid w:val="3ACA4BAB"/>
    <w:rsid w:val="3B267C8A"/>
    <w:rsid w:val="3B2C6AD0"/>
    <w:rsid w:val="3B946804"/>
    <w:rsid w:val="3BB13ED2"/>
    <w:rsid w:val="3BC86EC9"/>
    <w:rsid w:val="3BD11425"/>
    <w:rsid w:val="3BE6368D"/>
    <w:rsid w:val="3C243C4B"/>
    <w:rsid w:val="3C523343"/>
    <w:rsid w:val="3C890106"/>
    <w:rsid w:val="3C940357"/>
    <w:rsid w:val="3D1651F0"/>
    <w:rsid w:val="3D364F93"/>
    <w:rsid w:val="3DED4844"/>
    <w:rsid w:val="3EBE5E7C"/>
    <w:rsid w:val="3F5F3197"/>
    <w:rsid w:val="3FAD462D"/>
    <w:rsid w:val="3FEC7CB4"/>
    <w:rsid w:val="40687AEB"/>
    <w:rsid w:val="40DC4C45"/>
    <w:rsid w:val="415648A7"/>
    <w:rsid w:val="41922BF1"/>
    <w:rsid w:val="41960202"/>
    <w:rsid w:val="41A20AF6"/>
    <w:rsid w:val="41F33DFE"/>
    <w:rsid w:val="4218487C"/>
    <w:rsid w:val="42486ADC"/>
    <w:rsid w:val="425E0984"/>
    <w:rsid w:val="426E4241"/>
    <w:rsid w:val="42F1542D"/>
    <w:rsid w:val="43085A8E"/>
    <w:rsid w:val="43251536"/>
    <w:rsid w:val="43CF576B"/>
    <w:rsid w:val="43D766A6"/>
    <w:rsid w:val="444E3E15"/>
    <w:rsid w:val="445E5402"/>
    <w:rsid w:val="4462019C"/>
    <w:rsid w:val="446C1C00"/>
    <w:rsid w:val="44774F25"/>
    <w:rsid w:val="44A047EB"/>
    <w:rsid w:val="44B10046"/>
    <w:rsid w:val="4574252F"/>
    <w:rsid w:val="45841D41"/>
    <w:rsid w:val="458D7872"/>
    <w:rsid w:val="45A80E29"/>
    <w:rsid w:val="46387E1F"/>
    <w:rsid w:val="464B259D"/>
    <w:rsid w:val="465E0411"/>
    <w:rsid w:val="46633C2B"/>
    <w:rsid w:val="46AE6F33"/>
    <w:rsid w:val="46B81B60"/>
    <w:rsid w:val="46CB1754"/>
    <w:rsid w:val="46E771D4"/>
    <w:rsid w:val="47B411D0"/>
    <w:rsid w:val="47C066CC"/>
    <w:rsid w:val="47D50AD2"/>
    <w:rsid w:val="47D55B81"/>
    <w:rsid w:val="48401E0D"/>
    <w:rsid w:val="48B6365C"/>
    <w:rsid w:val="48C64ECB"/>
    <w:rsid w:val="48FB6A8F"/>
    <w:rsid w:val="493A6E76"/>
    <w:rsid w:val="497F6E31"/>
    <w:rsid w:val="499D3D96"/>
    <w:rsid w:val="49C778F0"/>
    <w:rsid w:val="49DF1C3F"/>
    <w:rsid w:val="4A471230"/>
    <w:rsid w:val="4AA27F9B"/>
    <w:rsid w:val="4AB113C1"/>
    <w:rsid w:val="4B32363B"/>
    <w:rsid w:val="4B667B2B"/>
    <w:rsid w:val="4B735DE7"/>
    <w:rsid w:val="4BBF74EC"/>
    <w:rsid w:val="4BC3729A"/>
    <w:rsid w:val="4BCB4884"/>
    <w:rsid w:val="4BF172F3"/>
    <w:rsid w:val="4BF23E4F"/>
    <w:rsid w:val="4C4607DA"/>
    <w:rsid w:val="4CFF6B43"/>
    <w:rsid w:val="4D6466CB"/>
    <w:rsid w:val="4E092FFA"/>
    <w:rsid w:val="4EF1621C"/>
    <w:rsid w:val="4F523FD7"/>
    <w:rsid w:val="4F7D08F7"/>
    <w:rsid w:val="4FCB46B2"/>
    <w:rsid w:val="4FEE65F2"/>
    <w:rsid w:val="50016AC2"/>
    <w:rsid w:val="50123898"/>
    <w:rsid w:val="50427E43"/>
    <w:rsid w:val="51AB68BB"/>
    <w:rsid w:val="51B573C7"/>
    <w:rsid w:val="51BE3532"/>
    <w:rsid w:val="51C21AE4"/>
    <w:rsid w:val="521B663F"/>
    <w:rsid w:val="526B3F2A"/>
    <w:rsid w:val="52A73009"/>
    <w:rsid w:val="52D46729"/>
    <w:rsid w:val="530024DC"/>
    <w:rsid w:val="53194738"/>
    <w:rsid w:val="53836818"/>
    <w:rsid w:val="53DA11A0"/>
    <w:rsid w:val="53E32E8A"/>
    <w:rsid w:val="53E775E0"/>
    <w:rsid w:val="54915BA9"/>
    <w:rsid w:val="54A30979"/>
    <w:rsid w:val="54C2402E"/>
    <w:rsid w:val="56091A90"/>
    <w:rsid w:val="564B6B63"/>
    <w:rsid w:val="56514C21"/>
    <w:rsid w:val="567345E6"/>
    <w:rsid w:val="568E367B"/>
    <w:rsid w:val="56A70A5C"/>
    <w:rsid w:val="570B3917"/>
    <w:rsid w:val="5749021F"/>
    <w:rsid w:val="5779299C"/>
    <w:rsid w:val="57A44166"/>
    <w:rsid w:val="57D85739"/>
    <w:rsid w:val="580B5816"/>
    <w:rsid w:val="580F3D30"/>
    <w:rsid w:val="58221A49"/>
    <w:rsid w:val="58B42698"/>
    <w:rsid w:val="592D575A"/>
    <w:rsid w:val="596407D3"/>
    <w:rsid w:val="5966750B"/>
    <w:rsid w:val="5A573610"/>
    <w:rsid w:val="5A8E4D76"/>
    <w:rsid w:val="5A9B2ED2"/>
    <w:rsid w:val="5AC75E73"/>
    <w:rsid w:val="5ACD1A01"/>
    <w:rsid w:val="5B2D7FD9"/>
    <w:rsid w:val="5B48305A"/>
    <w:rsid w:val="5B6F6F42"/>
    <w:rsid w:val="5B825CAE"/>
    <w:rsid w:val="5BEF6CB4"/>
    <w:rsid w:val="5C476F4F"/>
    <w:rsid w:val="5C9748E3"/>
    <w:rsid w:val="5CB84210"/>
    <w:rsid w:val="5CBC6CD8"/>
    <w:rsid w:val="5CC26E3C"/>
    <w:rsid w:val="5CD740E4"/>
    <w:rsid w:val="5DB7078B"/>
    <w:rsid w:val="5DD40BD5"/>
    <w:rsid w:val="5E0B66F4"/>
    <w:rsid w:val="5E7D3DE6"/>
    <w:rsid w:val="5EE83FD6"/>
    <w:rsid w:val="5F093E9D"/>
    <w:rsid w:val="603D5158"/>
    <w:rsid w:val="6045177F"/>
    <w:rsid w:val="609558DE"/>
    <w:rsid w:val="60E530F9"/>
    <w:rsid w:val="60F308EF"/>
    <w:rsid w:val="6176717E"/>
    <w:rsid w:val="61A76DC0"/>
    <w:rsid w:val="62186AF3"/>
    <w:rsid w:val="62492AD7"/>
    <w:rsid w:val="625C5618"/>
    <w:rsid w:val="62A10B56"/>
    <w:rsid w:val="62BB5C43"/>
    <w:rsid w:val="62C03E1E"/>
    <w:rsid w:val="63653051"/>
    <w:rsid w:val="63737A74"/>
    <w:rsid w:val="637A6826"/>
    <w:rsid w:val="63C01E4D"/>
    <w:rsid w:val="640302F6"/>
    <w:rsid w:val="64915A72"/>
    <w:rsid w:val="64AF7CA6"/>
    <w:rsid w:val="658028C9"/>
    <w:rsid w:val="66116ABA"/>
    <w:rsid w:val="665373D5"/>
    <w:rsid w:val="66924654"/>
    <w:rsid w:val="66C1218C"/>
    <w:rsid w:val="66DF3DF0"/>
    <w:rsid w:val="67FB3499"/>
    <w:rsid w:val="681D6E82"/>
    <w:rsid w:val="68467EA7"/>
    <w:rsid w:val="686F7322"/>
    <w:rsid w:val="68DC4DE2"/>
    <w:rsid w:val="698E07D2"/>
    <w:rsid w:val="69FD14B4"/>
    <w:rsid w:val="6A613793"/>
    <w:rsid w:val="6AAB298E"/>
    <w:rsid w:val="6B56531F"/>
    <w:rsid w:val="6B8D4C87"/>
    <w:rsid w:val="6CAF32C0"/>
    <w:rsid w:val="6CC62031"/>
    <w:rsid w:val="6CF84455"/>
    <w:rsid w:val="6D762C20"/>
    <w:rsid w:val="6E1950F6"/>
    <w:rsid w:val="6E310AD8"/>
    <w:rsid w:val="6E940B7A"/>
    <w:rsid w:val="703A272E"/>
    <w:rsid w:val="717C721C"/>
    <w:rsid w:val="72294B2F"/>
    <w:rsid w:val="73610D05"/>
    <w:rsid w:val="74100EAA"/>
    <w:rsid w:val="74511539"/>
    <w:rsid w:val="74833BBC"/>
    <w:rsid w:val="74D06A77"/>
    <w:rsid w:val="75065DB7"/>
    <w:rsid w:val="770519A8"/>
    <w:rsid w:val="770F35FE"/>
    <w:rsid w:val="772417AF"/>
    <w:rsid w:val="777B5002"/>
    <w:rsid w:val="77C135BE"/>
    <w:rsid w:val="78477BB6"/>
    <w:rsid w:val="785A5B03"/>
    <w:rsid w:val="793F73F3"/>
    <w:rsid w:val="79420C91"/>
    <w:rsid w:val="79C4024E"/>
    <w:rsid w:val="79FC265D"/>
    <w:rsid w:val="7A39301E"/>
    <w:rsid w:val="7A3C7DD6"/>
    <w:rsid w:val="7ABE4CD1"/>
    <w:rsid w:val="7AFE606B"/>
    <w:rsid w:val="7B046B46"/>
    <w:rsid w:val="7B5254FB"/>
    <w:rsid w:val="7B5935FD"/>
    <w:rsid w:val="7BB27F43"/>
    <w:rsid w:val="7BB72EDA"/>
    <w:rsid w:val="7BD302C6"/>
    <w:rsid w:val="7BDB6CDC"/>
    <w:rsid w:val="7C0E12FE"/>
    <w:rsid w:val="7C0E7550"/>
    <w:rsid w:val="7C340505"/>
    <w:rsid w:val="7C471EE4"/>
    <w:rsid w:val="7D31799A"/>
    <w:rsid w:val="7D4635B2"/>
    <w:rsid w:val="7D5471E5"/>
    <w:rsid w:val="7D64173C"/>
    <w:rsid w:val="7DFC1F91"/>
    <w:rsid w:val="7E0916DD"/>
    <w:rsid w:val="7E374B3D"/>
    <w:rsid w:val="7E405882"/>
    <w:rsid w:val="7EA254FE"/>
    <w:rsid w:val="7EA875E5"/>
    <w:rsid w:val="7EF46ED2"/>
    <w:rsid w:val="7F1053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1"/>
    <w:autoRedefine/>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32"/>
    <w:qFormat/>
    <w:uiPriority w:val="99"/>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link w:val="33"/>
    <w:qFormat/>
    <w:uiPriority w:val="99"/>
    <w:pPr>
      <w:keepNext/>
      <w:keepLines/>
      <w:spacing w:before="260" w:after="260" w:line="416" w:lineRule="auto"/>
      <w:outlineLvl w:val="2"/>
    </w:pPr>
    <w:rPr>
      <w:b/>
      <w:bCs/>
      <w:kern w:val="0"/>
      <w:sz w:val="32"/>
      <w:szCs w:val="32"/>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locked/>
    <w:uiPriority w:val="0"/>
    <w:pPr>
      <w:jc w:val="center"/>
    </w:pPr>
    <w:rPr>
      <w:kern w:val="0"/>
      <w:sz w:val="44"/>
    </w:rPr>
  </w:style>
  <w:style w:type="paragraph" w:styleId="3">
    <w:name w:val="Title"/>
    <w:basedOn w:val="1"/>
    <w:autoRedefine/>
    <w:qFormat/>
    <w:locked/>
    <w:uiPriority w:val="10"/>
    <w:pPr>
      <w:spacing w:before="240" w:after="60"/>
      <w:jc w:val="center"/>
      <w:outlineLvl w:val="0"/>
    </w:pPr>
    <w:rPr>
      <w:rFonts w:ascii="Arial" w:hAnsi="Arial"/>
      <w:b/>
      <w:bCs/>
      <w:sz w:val="32"/>
      <w:szCs w:val="32"/>
    </w:rPr>
  </w:style>
  <w:style w:type="paragraph" w:styleId="7">
    <w:name w:val="annotation text"/>
    <w:basedOn w:val="1"/>
    <w:link w:val="34"/>
    <w:autoRedefine/>
    <w:semiHidden/>
    <w:qFormat/>
    <w:uiPriority w:val="99"/>
    <w:pPr>
      <w:jc w:val="left"/>
    </w:pPr>
    <w:rPr>
      <w:kern w:val="0"/>
      <w:sz w:val="20"/>
      <w:szCs w:val="21"/>
    </w:rPr>
  </w:style>
  <w:style w:type="paragraph" w:styleId="8">
    <w:name w:val="Date"/>
    <w:basedOn w:val="1"/>
    <w:next w:val="1"/>
    <w:link w:val="35"/>
    <w:autoRedefine/>
    <w:semiHidden/>
    <w:qFormat/>
    <w:uiPriority w:val="99"/>
    <w:pPr>
      <w:ind w:left="100" w:leftChars="2500"/>
    </w:pPr>
  </w:style>
  <w:style w:type="paragraph" w:styleId="9">
    <w:name w:val="Balloon Text"/>
    <w:basedOn w:val="1"/>
    <w:link w:val="36"/>
    <w:autoRedefine/>
    <w:semiHidden/>
    <w:qFormat/>
    <w:uiPriority w:val="99"/>
    <w:rPr>
      <w:kern w:val="0"/>
      <w:sz w:val="18"/>
      <w:szCs w:val="18"/>
    </w:rPr>
  </w:style>
  <w:style w:type="paragraph" w:styleId="10">
    <w:name w:val="footer"/>
    <w:basedOn w:val="1"/>
    <w:link w:val="37"/>
    <w:autoRedefine/>
    <w:qFormat/>
    <w:uiPriority w:val="99"/>
    <w:pPr>
      <w:tabs>
        <w:tab w:val="center" w:pos="4153"/>
        <w:tab w:val="right" w:pos="8306"/>
      </w:tabs>
      <w:snapToGrid w:val="0"/>
      <w:jc w:val="left"/>
    </w:pPr>
    <w:rPr>
      <w:kern w:val="0"/>
      <w:sz w:val="18"/>
      <w:szCs w:val="18"/>
    </w:rPr>
  </w:style>
  <w:style w:type="paragraph" w:styleId="11">
    <w:name w:val="header"/>
    <w:basedOn w:val="1"/>
    <w:link w:val="38"/>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autoRedefine/>
    <w:qFormat/>
    <w:uiPriority w:val="99"/>
    <w:pPr>
      <w:tabs>
        <w:tab w:val="right" w:leader="dot" w:pos="9241"/>
      </w:tabs>
      <w:spacing w:beforeLines="25" w:afterLines="25"/>
      <w:jc w:val="left"/>
    </w:pPr>
    <w:rPr>
      <w:rFonts w:ascii="宋体"/>
      <w:szCs w:val="21"/>
    </w:rPr>
  </w:style>
  <w:style w:type="paragraph" w:styleId="13">
    <w:name w:val="toc 2"/>
    <w:basedOn w:val="1"/>
    <w:next w:val="1"/>
    <w:autoRedefine/>
    <w:qFormat/>
    <w:uiPriority w:val="99"/>
    <w:pPr>
      <w:tabs>
        <w:tab w:val="right" w:leader="dot" w:pos="9241"/>
      </w:tabs>
    </w:pPr>
    <w:rPr>
      <w:rFonts w:ascii="宋体"/>
      <w:szCs w:val="21"/>
    </w:rPr>
  </w:style>
  <w:style w:type="paragraph" w:styleId="14">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7"/>
    <w:next w:val="7"/>
    <w:link w:val="43"/>
    <w:autoRedefine/>
    <w:semiHidden/>
    <w:unhideWhenUsed/>
    <w:qFormat/>
    <w:locked/>
    <w:uiPriority w:val="99"/>
    <w:rPr>
      <w:b/>
      <w:bCs/>
      <w:kern w:val="2"/>
      <w:sz w:val="21"/>
      <w:szCs w:val="22"/>
    </w:rPr>
  </w:style>
  <w:style w:type="character" w:styleId="18">
    <w:name w:val="Hyperlink"/>
    <w:autoRedefine/>
    <w:semiHidden/>
    <w:qFormat/>
    <w:uiPriority w:val="99"/>
    <w:rPr>
      <w:rFonts w:cs="Times New Roman"/>
      <w:color w:val="0000CC"/>
      <w:u w:val="single"/>
    </w:rPr>
  </w:style>
  <w:style w:type="character" w:styleId="19">
    <w:name w:val="annotation reference"/>
    <w:autoRedefine/>
    <w:semiHidden/>
    <w:qFormat/>
    <w:uiPriority w:val="99"/>
    <w:rPr>
      <w:rFonts w:cs="Times New Roman"/>
      <w:sz w:val="21"/>
    </w:rPr>
  </w:style>
  <w:style w:type="paragraph" w:customStyle="1" w:styleId="20">
    <w:name w:val="段"/>
    <w:link w:val="39"/>
    <w:autoRedefine/>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21">
    <w:name w:val="列出段落1"/>
    <w:basedOn w:val="1"/>
    <w:autoRedefine/>
    <w:qFormat/>
    <w:uiPriority w:val="99"/>
    <w:pPr>
      <w:ind w:firstLine="420" w:firstLineChars="200"/>
    </w:pPr>
  </w:style>
  <w:style w:type="paragraph" w:customStyle="1" w:styleId="22">
    <w:name w:val="目次、标准名称标题"/>
    <w:basedOn w:val="1"/>
    <w:next w:val="20"/>
    <w:autoRedefine/>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3">
    <w:name w:val="标准书脚_奇数页"/>
    <w:autoRedefine/>
    <w:qFormat/>
    <w:uiPriority w:val="99"/>
    <w:pPr>
      <w:spacing w:before="120"/>
      <w:ind w:right="198"/>
      <w:jc w:val="right"/>
    </w:pPr>
    <w:rPr>
      <w:rFonts w:ascii="宋体" w:hAnsi="Times New Roman" w:eastAsia="宋体" w:cs="Times New Roman"/>
      <w:sz w:val="18"/>
      <w:szCs w:val="18"/>
      <w:lang w:val="en-US" w:eastAsia="zh-CN" w:bidi="ar-SA"/>
    </w:rPr>
  </w:style>
  <w:style w:type="paragraph" w:customStyle="1" w:styleId="24">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26">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7">
    <w:name w:val="标准文件_字母编号列项（一级）"/>
    <w:autoRedefine/>
    <w:qFormat/>
    <w:uiPriority w:val="0"/>
    <w:pPr>
      <w:numPr>
        <w:ilvl w:val="0"/>
        <w:numId w:val="1"/>
      </w:numPr>
      <w:jc w:val="both"/>
    </w:pPr>
    <w:rPr>
      <w:rFonts w:ascii="宋体" w:hAnsi="Times New Roman" w:eastAsia="宋体" w:cs="Times New Roman"/>
      <w:sz w:val="21"/>
      <w:lang w:val="en-US" w:eastAsia="zh-CN" w:bidi="ar-SA"/>
    </w:rPr>
  </w:style>
  <w:style w:type="paragraph" w:customStyle="1" w:styleId="28">
    <w:name w:val="标准文件_数字编号列项（二级）"/>
    <w:autoRedefine/>
    <w:qFormat/>
    <w:uiPriority w:val="0"/>
    <w:pPr>
      <w:numPr>
        <w:ilvl w:val="1"/>
        <w:numId w:val="1"/>
      </w:numPr>
      <w:tabs>
        <w:tab w:val="left" w:pos="851"/>
      </w:tabs>
      <w:jc w:val="both"/>
    </w:pPr>
    <w:rPr>
      <w:rFonts w:ascii="宋体" w:hAnsi="Times New Roman" w:eastAsia="宋体" w:cs="Times New Roman"/>
      <w:sz w:val="21"/>
      <w:lang w:val="en-US" w:eastAsia="zh-CN" w:bidi="ar-SA"/>
    </w:rPr>
  </w:style>
  <w:style w:type="paragraph" w:customStyle="1" w:styleId="29">
    <w:name w:val="标准文件_二级条标题"/>
    <w:next w:val="24"/>
    <w:autoRedefine/>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paragraph" w:customStyle="1" w:styleId="30">
    <w:name w:val="标准文件_三级条标题"/>
    <w:next w:val="24"/>
    <w:autoRedefine/>
    <w:qFormat/>
    <w:uiPriority w:val="0"/>
    <w:pPr>
      <w:outlineLvl w:val="3"/>
    </w:pPr>
    <w:rPr>
      <w:rFonts w:ascii="Times New Roman" w:hAnsi="Times New Roman" w:eastAsia="宋体" w:cs="Times New Roman"/>
      <w:lang w:val="en-US" w:eastAsia="zh-CN" w:bidi="ar-SA"/>
    </w:rPr>
  </w:style>
  <w:style w:type="character" w:customStyle="1" w:styleId="31">
    <w:name w:val="标题 1 字符"/>
    <w:link w:val="4"/>
    <w:autoRedefine/>
    <w:qFormat/>
    <w:locked/>
    <w:uiPriority w:val="99"/>
    <w:rPr>
      <w:rFonts w:cs="Times New Roman"/>
      <w:b/>
      <w:kern w:val="44"/>
      <w:sz w:val="44"/>
    </w:rPr>
  </w:style>
  <w:style w:type="character" w:customStyle="1" w:styleId="32">
    <w:name w:val="标题 2 字符"/>
    <w:link w:val="5"/>
    <w:autoRedefine/>
    <w:qFormat/>
    <w:locked/>
    <w:uiPriority w:val="99"/>
    <w:rPr>
      <w:rFonts w:ascii="Cambria" w:hAnsi="Cambria" w:eastAsia="宋体" w:cs="Times New Roman"/>
      <w:b/>
      <w:sz w:val="32"/>
    </w:rPr>
  </w:style>
  <w:style w:type="character" w:customStyle="1" w:styleId="33">
    <w:name w:val="标题 3 字符"/>
    <w:link w:val="6"/>
    <w:autoRedefine/>
    <w:qFormat/>
    <w:locked/>
    <w:uiPriority w:val="99"/>
    <w:rPr>
      <w:rFonts w:cs="Times New Roman"/>
      <w:b/>
      <w:sz w:val="32"/>
    </w:rPr>
  </w:style>
  <w:style w:type="character" w:customStyle="1" w:styleId="34">
    <w:name w:val="批注文字 字符"/>
    <w:link w:val="7"/>
    <w:autoRedefine/>
    <w:semiHidden/>
    <w:qFormat/>
    <w:locked/>
    <w:uiPriority w:val="99"/>
    <w:rPr>
      <w:rFonts w:ascii="Calibri" w:hAnsi="Calibri" w:eastAsia="宋体" w:cs="Times New Roman"/>
      <w:sz w:val="21"/>
    </w:rPr>
  </w:style>
  <w:style w:type="character" w:customStyle="1" w:styleId="35">
    <w:name w:val="日期 字符"/>
    <w:link w:val="8"/>
    <w:autoRedefine/>
    <w:semiHidden/>
    <w:qFormat/>
    <w:locked/>
    <w:uiPriority w:val="99"/>
    <w:rPr>
      <w:rFonts w:cs="Times New Roman"/>
      <w:kern w:val="2"/>
      <w:sz w:val="22"/>
      <w:szCs w:val="22"/>
    </w:rPr>
  </w:style>
  <w:style w:type="character" w:customStyle="1" w:styleId="36">
    <w:name w:val="批注框文本 字符"/>
    <w:link w:val="9"/>
    <w:autoRedefine/>
    <w:semiHidden/>
    <w:qFormat/>
    <w:locked/>
    <w:uiPriority w:val="99"/>
    <w:rPr>
      <w:rFonts w:cs="Times New Roman"/>
      <w:sz w:val="18"/>
    </w:rPr>
  </w:style>
  <w:style w:type="character" w:customStyle="1" w:styleId="37">
    <w:name w:val="页脚 字符"/>
    <w:link w:val="10"/>
    <w:autoRedefine/>
    <w:qFormat/>
    <w:locked/>
    <w:uiPriority w:val="99"/>
    <w:rPr>
      <w:rFonts w:cs="Times New Roman"/>
      <w:sz w:val="18"/>
    </w:rPr>
  </w:style>
  <w:style w:type="character" w:customStyle="1" w:styleId="38">
    <w:name w:val="页眉 字符"/>
    <w:link w:val="11"/>
    <w:autoRedefine/>
    <w:qFormat/>
    <w:locked/>
    <w:uiPriority w:val="99"/>
    <w:rPr>
      <w:rFonts w:cs="Times New Roman"/>
      <w:sz w:val="18"/>
    </w:rPr>
  </w:style>
  <w:style w:type="character" w:customStyle="1" w:styleId="39">
    <w:name w:val="段 Char"/>
    <w:link w:val="20"/>
    <w:autoRedefine/>
    <w:qFormat/>
    <w:locked/>
    <w:uiPriority w:val="99"/>
    <w:rPr>
      <w:rFonts w:ascii="宋体" w:hAnsi="Times New Roman"/>
      <w:sz w:val="22"/>
    </w:rPr>
  </w:style>
  <w:style w:type="character" w:customStyle="1" w:styleId="40">
    <w:name w:val="占位符文本1"/>
    <w:autoRedefine/>
    <w:semiHidden/>
    <w:qFormat/>
    <w:uiPriority w:val="99"/>
    <w:rPr>
      <w:rFonts w:cs="Times New Roman"/>
      <w:color w:val="808080"/>
    </w:rPr>
  </w:style>
  <w:style w:type="character" w:customStyle="1" w:styleId="41">
    <w:name w:val="fontstyle01"/>
    <w:qFormat/>
    <w:uiPriority w:val="0"/>
    <w:rPr>
      <w:rFonts w:ascii="宋体" w:hAnsi="宋体" w:eastAsia="宋体" w:cs="宋体"/>
      <w:color w:val="000000"/>
      <w:sz w:val="22"/>
      <w:szCs w:val="22"/>
    </w:rPr>
  </w:style>
  <w:style w:type="paragraph" w:styleId="42">
    <w:name w:val="List Paragraph"/>
    <w:basedOn w:val="1"/>
    <w:autoRedefine/>
    <w:qFormat/>
    <w:uiPriority w:val="99"/>
    <w:pPr>
      <w:ind w:firstLine="420" w:firstLineChars="200"/>
    </w:pPr>
  </w:style>
  <w:style w:type="character" w:customStyle="1" w:styleId="43">
    <w:name w:val="批注主题 字符"/>
    <w:basedOn w:val="34"/>
    <w:link w:val="15"/>
    <w:autoRedefine/>
    <w:semiHidden/>
    <w:qFormat/>
    <w:uiPriority w:val="99"/>
    <w:rPr>
      <w:rFonts w:ascii="Calibri" w:hAnsi="Calibri" w:eastAsia="宋体" w:cs="Times New Roman"/>
      <w:b/>
      <w:bCs/>
      <w:kern w:val="2"/>
      <w:sz w:val="21"/>
      <w:szCs w:val="22"/>
    </w:rPr>
  </w:style>
  <w:style w:type="paragraph" w:customStyle="1" w:styleId="44">
    <w:name w:val="一级无标题条"/>
    <w:basedOn w:val="1"/>
    <w:autoRedefine/>
    <w:qFormat/>
    <w:uiPriority w:val="0"/>
    <w:pPr>
      <w:numPr>
        <w:ilvl w:val="2"/>
        <w:numId w:val="3"/>
      </w:numPr>
      <w:tabs>
        <w:tab w:val="left" w:pos="420"/>
      </w:tabs>
    </w:pPr>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F8748-CA6B-4471-ADA9-2E066F7E95F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3089</Words>
  <Characters>3296</Characters>
  <Lines>30</Lines>
  <Paragraphs>8</Paragraphs>
  <TotalTime>7</TotalTime>
  <ScaleCrop>false</ScaleCrop>
  <LinksUpToDate>false</LinksUpToDate>
  <CharactersWithSpaces>3365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2023-01-15T11:24:00Z</dcterms:created>
  <dc:creator>liu</dc:creator>
  <cp:lastModifiedBy>大萝卜</cp:lastModifiedBy>
  <cp:lastPrinted>2020-06-01T08:06:00Z</cp:lastPrinted>
  <dcterms:modified xsi:type="dcterms:W3CDTF">2024-01-25T07:54:43Z</dcterms:modified>
  <dc:title>中国仪器仪表行业协会团体标准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80C134061E07411081D368555B5A9CC1_13</vt:lpwstr>
  </property>
</Properties>
</file>