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准《住宅小区地下充电设施检测验收技术规范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A806B74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1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2024-04-18T07:17:57Z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2B71A0659B5B4952BE3823C24B31E84E_13</vt:lpwstr>
  </property>
</Properties>
</file>