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237E0" w:rsidRDefault="00000000">
      <w:pPr>
        <w:jc w:val="center"/>
        <w:rPr>
          <w:rFonts w:ascii="黑体" w:eastAsia="黑体" w:hAnsi="黑体"/>
          <w:sz w:val="52"/>
          <w:szCs w:val="52"/>
        </w:rPr>
      </w:pPr>
      <w:r>
        <w:rPr>
          <w:rFonts w:ascii="黑体" w:eastAsia="黑体" w:hAnsi="黑体" w:hint="eastAsia"/>
          <w:sz w:val="52"/>
          <w:szCs w:val="52"/>
        </w:rPr>
        <w:t>中国仪器仪表行业协会团体标准</w:t>
      </w:r>
    </w:p>
    <w:p w:rsidR="001237E0" w:rsidRDefault="001237E0">
      <w:pPr>
        <w:rPr>
          <w:rFonts w:ascii="Times New Roman" w:eastAsia="黑体" w:hAnsi="Times New Roman"/>
          <w:sz w:val="52"/>
          <w:szCs w:val="52"/>
        </w:rPr>
      </w:pPr>
    </w:p>
    <w:p w:rsidR="001237E0" w:rsidRDefault="00000000">
      <w:pPr>
        <w:jc w:val="center"/>
        <w:rPr>
          <w:rFonts w:ascii="黑体" w:eastAsia="黑体" w:hAnsi="黑体"/>
          <w:b/>
          <w:sz w:val="44"/>
          <w:szCs w:val="44"/>
        </w:rPr>
      </w:pPr>
      <w:r>
        <w:rPr>
          <w:rFonts w:ascii="黑体" w:eastAsia="黑体" w:hAnsi="黑体" w:hint="eastAsia"/>
          <w:sz w:val="44"/>
          <w:szCs w:val="44"/>
        </w:rPr>
        <w:t>《智能计量周转柜</w:t>
      </w:r>
      <w:r w:rsidR="00BF5FAB">
        <w:rPr>
          <w:rFonts w:ascii="黑体" w:eastAsia="黑体" w:hAnsi="黑体" w:hint="eastAsia"/>
          <w:sz w:val="44"/>
          <w:szCs w:val="44"/>
        </w:rPr>
        <w:t>技术规范</w:t>
      </w:r>
      <w:r>
        <w:rPr>
          <w:rFonts w:ascii="黑体" w:eastAsia="黑体" w:hAnsi="黑体" w:hint="eastAsia"/>
          <w:sz w:val="44"/>
          <w:szCs w:val="44"/>
        </w:rPr>
        <w:t>》</w:t>
      </w:r>
    </w:p>
    <w:p w:rsidR="001237E0" w:rsidRDefault="001237E0">
      <w:pPr>
        <w:rPr>
          <w:rFonts w:ascii="Times New Roman" w:hAnsi="Times New Roman"/>
          <w:sz w:val="32"/>
          <w:szCs w:val="32"/>
        </w:rPr>
      </w:pPr>
    </w:p>
    <w:p w:rsidR="001237E0" w:rsidRDefault="001237E0">
      <w:pPr>
        <w:rPr>
          <w:rFonts w:ascii="Times New Roman" w:hAnsi="Times New Roman"/>
          <w:sz w:val="32"/>
          <w:szCs w:val="32"/>
        </w:rPr>
      </w:pPr>
    </w:p>
    <w:p w:rsidR="001237E0" w:rsidRDefault="001237E0">
      <w:pPr>
        <w:rPr>
          <w:rFonts w:ascii="Times New Roman" w:hAnsi="Times New Roman"/>
          <w:sz w:val="32"/>
          <w:szCs w:val="32"/>
        </w:rPr>
      </w:pPr>
    </w:p>
    <w:p w:rsidR="001237E0" w:rsidRDefault="00000000">
      <w:pPr>
        <w:jc w:val="center"/>
        <w:rPr>
          <w:rFonts w:ascii="黑体" w:eastAsia="黑体" w:hAnsi="黑体"/>
          <w:b/>
          <w:sz w:val="44"/>
          <w:szCs w:val="44"/>
        </w:rPr>
      </w:pPr>
      <w:r>
        <w:rPr>
          <w:rFonts w:ascii="黑体" w:eastAsia="黑体" w:hAnsi="黑体" w:hint="eastAsia"/>
          <w:sz w:val="44"/>
          <w:szCs w:val="44"/>
        </w:rPr>
        <w:t>编制说明</w:t>
      </w:r>
    </w:p>
    <w:p w:rsidR="001237E0" w:rsidRDefault="00000000">
      <w:pPr>
        <w:jc w:val="center"/>
        <w:rPr>
          <w:rFonts w:ascii="Times New Roman" w:hAnsi="Times New Roman"/>
          <w:sz w:val="32"/>
          <w:szCs w:val="32"/>
        </w:rPr>
      </w:pPr>
      <w:r>
        <w:rPr>
          <w:rFonts w:ascii="Times New Roman" w:hAnsi="Times New Roman" w:hint="eastAsia"/>
          <w:sz w:val="32"/>
          <w:szCs w:val="32"/>
        </w:rPr>
        <w:t>（</w:t>
      </w:r>
      <w:r>
        <w:rPr>
          <w:rFonts w:ascii="Times New Roman" w:hAnsi="Times New Roman" w:hint="eastAsia"/>
          <w:b/>
          <w:bCs/>
          <w:sz w:val="32"/>
          <w:szCs w:val="32"/>
        </w:rPr>
        <w:t>征求意见稿</w:t>
      </w:r>
      <w:r>
        <w:rPr>
          <w:rFonts w:ascii="Times New Roman" w:hAnsi="Times New Roman" w:hint="eastAsia"/>
          <w:sz w:val="32"/>
          <w:szCs w:val="32"/>
        </w:rPr>
        <w:t>）</w:t>
      </w:r>
    </w:p>
    <w:p w:rsidR="001237E0" w:rsidRDefault="00000000">
      <w:pPr>
        <w:rPr>
          <w:rFonts w:ascii="Times New Roman" w:hAnsi="Times New Roman"/>
          <w:sz w:val="28"/>
          <w:szCs w:val="28"/>
        </w:rPr>
      </w:pPr>
      <w:r>
        <w:rPr>
          <w:rFonts w:ascii="Times New Roman" w:hAnsi="Times New Roman" w:hint="eastAsia"/>
          <w:sz w:val="28"/>
          <w:szCs w:val="28"/>
        </w:rPr>
        <w:t xml:space="preserve">                          </w:t>
      </w:r>
    </w:p>
    <w:p w:rsidR="001237E0" w:rsidRDefault="001237E0">
      <w:pPr>
        <w:rPr>
          <w:rFonts w:ascii="Times New Roman" w:hAnsi="Times New Roman"/>
          <w:sz w:val="28"/>
          <w:szCs w:val="28"/>
        </w:rPr>
      </w:pPr>
    </w:p>
    <w:p w:rsidR="001237E0" w:rsidRDefault="001237E0">
      <w:pPr>
        <w:rPr>
          <w:rFonts w:ascii="Times New Roman" w:hAnsi="Times New Roman"/>
          <w:sz w:val="28"/>
          <w:szCs w:val="28"/>
        </w:rPr>
      </w:pPr>
    </w:p>
    <w:p w:rsidR="001237E0" w:rsidRDefault="001237E0">
      <w:pPr>
        <w:rPr>
          <w:rFonts w:ascii="Times New Roman" w:hAnsi="Times New Roman"/>
          <w:sz w:val="28"/>
          <w:szCs w:val="28"/>
        </w:rPr>
      </w:pPr>
    </w:p>
    <w:p w:rsidR="001237E0" w:rsidRDefault="001237E0">
      <w:pPr>
        <w:rPr>
          <w:rFonts w:ascii="Times New Roman" w:hAnsi="Times New Roman"/>
          <w:sz w:val="28"/>
          <w:szCs w:val="28"/>
        </w:rPr>
      </w:pPr>
    </w:p>
    <w:p w:rsidR="001237E0" w:rsidRDefault="00000000">
      <w:pPr>
        <w:jc w:val="center"/>
        <w:rPr>
          <w:rFonts w:ascii="Times New Roman" w:hAnsi="Times New Roman"/>
          <w:sz w:val="28"/>
          <w:szCs w:val="28"/>
        </w:rPr>
      </w:pPr>
      <w:r>
        <w:rPr>
          <w:rFonts w:ascii="Times New Roman" w:hAnsi="Times New Roman" w:hint="eastAsia"/>
          <w:sz w:val="28"/>
          <w:szCs w:val="28"/>
        </w:rPr>
        <w:t>202</w:t>
      </w:r>
      <w:r>
        <w:rPr>
          <w:rFonts w:ascii="Times New Roman" w:hAnsi="Times New Roman"/>
          <w:sz w:val="28"/>
          <w:szCs w:val="28"/>
        </w:rPr>
        <w:t>4</w:t>
      </w:r>
      <w:r>
        <w:rPr>
          <w:rFonts w:ascii="Times New Roman" w:hAnsi="Times New Roman" w:hint="eastAsia"/>
          <w:sz w:val="28"/>
          <w:szCs w:val="28"/>
        </w:rPr>
        <w:t>0</w:t>
      </w:r>
      <w:r>
        <w:rPr>
          <w:rFonts w:ascii="Times New Roman" w:hAnsi="Times New Roman"/>
          <w:sz w:val="28"/>
          <w:szCs w:val="28"/>
        </w:rPr>
        <w:t>4</w:t>
      </w:r>
    </w:p>
    <w:p w:rsidR="001237E0" w:rsidRDefault="001237E0">
      <w:pPr>
        <w:pStyle w:val="afa"/>
        <w:ind w:firstLineChars="0" w:firstLine="0"/>
        <w:jc w:val="center"/>
        <w:rPr>
          <w:rFonts w:ascii="黑体" w:eastAsia="黑体" w:hAnsi="黑体" w:cs="黑体"/>
          <w:sz w:val="28"/>
          <w:szCs w:val="28"/>
        </w:rPr>
      </w:pPr>
    </w:p>
    <w:p w:rsidR="001237E0" w:rsidRDefault="001237E0">
      <w:pPr>
        <w:pStyle w:val="afa"/>
        <w:ind w:firstLineChars="500" w:firstLine="1400"/>
        <w:jc w:val="left"/>
        <w:rPr>
          <w:rFonts w:ascii="黑体" w:eastAsia="黑体" w:hAnsi="黑体" w:cs="黑体"/>
          <w:sz w:val="28"/>
          <w:szCs w:val="28"/>
        </w:rPr>
      </w:pPr>
    </w:p>
    <w:p w:rsidR="001237E0" w:rsidRDefault="001237E0">
      <w:pPr>
        <w:pStyle w:val="afa"/>
        <w:ind w:firstLineChars="500" w:firstLine="1400"/>
        <w:jc w:val="left"/>
        <w:rPr>
          <w:rFonts w:ascii="黑体" w:eastAsia="黑体" w:hAnsi="黑体" w:cs="黑体"/>
          <w:sz w:val="28"/>
          <w:szCs w:val="28"/>
        </w:rPr>
      </w:pPr>
    </w:p>
    <w:p w:rsidR="001237E0" w:rsidRDefault="001237E0">
      <w:pPr>
        <w:pStyle w:val="afa"/>
        <w:ind w:firstLineChars="500" w:firstLine="1400"/>
        <w:jc w:val="left"/>
        <w:rPr>
          <w:rFonts w:ascii="黑体" w:eastAsia="黑体" w:hAnsi="黑体" w:cs="黑体"/>
          <w:sz w:val="28"/>
          <w:szCs w:val="28"/>
        </w:rPr>
      </w:pPr>
    </w:p>
    <w:p w:rsidR="001237E0" w:rsidRDefault="001237E0">
      <w:pPr>
        <w:pStyle w:val="afb"/>
        <w:spacing w:before="360" w:after="360"/>
        <w:rPr>
          <w:rFonts w:hAnsi="黑体" w:cs="黑体"/>
          <w:shd w:val="clear" w:color="auto" w:fill="FFFFFF"/>
        </w:rPr>
        <w:sectPr w:rsidR="001237E0">
          <w:pgSz w:w="11906" w:h="16838"/>
          <w:pgMar w:top="1440" w:right="1800" w:bottom="1440" w:left="1800" w:header="851" w:footer="992" w:gutter="0"/>
          <w:cols w:space="720"/>
          <w:docGrid w:type="lines" w:linePitch="312"/>
        </w:sectPr>
      </w:pPr>
    </w:p>
    <w:p w:rsidR="001237E0" w:rsidRDefault="00000000">
      <w:pPr>
        <w:pStyle w:val="2"/>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一、</w:t>
      </w:r>
      <w:r>
        <w:rPr>
          <w:rFonts w:asciiTheme="majorEastAsia" w:eastAsiaTheme="majorEastAsia" w:hAnsiTheme="majorEastAsia" w:cs="黑体"/>
          <w:sz w:val="28"/>
          <w:szCs w:val="28"/>
        </w:rPr>
        <w:t xml:space="preserve"> </w:t>
      </w:r>
      <w:r>
        <w:rPr>
          <w:rFonts w:asciiTheme="majorEastAsia" w:eastAsiaTheme="majorEastAsia" w:hAnsiTheme="majorEastAsia" w:cs="黑体" w:hint="eastAsia"/>
          <w:sz w:val="28"/>
          <w:szCs w:val="28"/>
        </w:rPr>
        <w:t>工作简况</w:t>
      </w:r>
    </w:p>
    <w:p w:rsidR="001237E0" w:rsidRDefault="00000000">
      <w:pPr>
        <w:pStyle w:val="2"/>
        <w:rPr>
          <w:rFonts w:ascii="宋体" w:hAnsi="宋体" w:cs="宋体"/>
          <w:sz w:val="28"/>
          <w:szCs w:val="28"/>
        </w:rPr>
      </w:pPr>
      <w:r>
        <w:rPr>
          <w:rFonts w:ascii="宋体" w:hAnsi="宋体" w:cs="宋体"/>
          <w:sz w:val="28"/>
          <w:szCs w:val="28"/>
        </w:rPr>
        <w:t>1</w:t>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任务来源</w:t>
      </w:r>
    </w:p>
    <w:p w:rsidR="001237E0" w:rsidRDefault="00000000">
      <w:pPr>
        <w:spacing w:line="360" w:lineRule="auto"/>
        <w:ind w:firstLineChars="200" w:firstLine="480"/>
        <w:rPr>
          <w:rFonts w:asciiTheme="minorEastAsia" w:eastAsiaTheme="minorEastAsia" w:hAnsiTheme="minorEastAsia"/>
          <w:b/>
          <w:bCs/>
          <w:sz w:val="24"/>
          <w:szCs w:val="24"/>
        </w:rPr>
      </w:pPr>
      <w:r>
        <w:rPr>
          <w:rFonts w:asciiTheme="minorEastAsia" w:eastAsiaTheme="minorEastAsia" w:hAnsiTheme="minorEastAsia" w:hint="eastAsia"/>
          <w:sz w:val="24"/>
          <w:szCs w:val="24"/>
        </w:rPr>
        <w:t>本团体标准根据中国仪器仪表行业协会关于《拆回智能采集终端分拣技术规范》等9项团体标准立项的批复（中仪协 [2023]2号）文件立项，项目编号为：T/CIMA 0113，由中国仪器仪表行业协会电工仪器仪表分会提出，由中国仪器仪表行业协会归口。</w:t>
      </w:r>
    </w:p>
    <w:p w:rsidR="001237E0" w:rsidRDefault="00000000">
      <w:pPr>
        <w:pStyle w:val="2"/>
        <w:rPr>
          <w:rFonts w:ascii="宋体" w:hAnsi="宋体" w:cs="宋体"/>
          <w:sz w:val="28"/>
          <w:szCs w:val="28"/>
        </w:rPr>
      </w:pPr>
      <w:r>
        <w:rPr>
          <w:rFonts w:ascii="宋体" w:hAnsi="宋体" w:cs="宋体" w:hint="eastAsia"/>
          <w:sz w:val="28"/>
          <w:szCs w:val="28"/>
        </w:rPr>
        <w:t xml:space="preserve">2 </w:t>
      </w:r>
      <w:r>
        <w:rPr>
          <w:rFonts w:ascii="宋体" w:hAnsi="宋体" w:cs="宋体"/>
          <w:sz w:val="28"/>
          <w:szCs w:val="28"/>
        </w:rPr>
        <w:t xml:space="preserve"> </w:t>
      </w:r>
      <w:r>
        <w:rPr>
          <w:rFonts w:ascii="宋体" w:hAnsi="宋体" w:cs="宋体" w:hint="eastAsia"/>
          <w:sz w:val="28"/>
          <w:szCs w:val="28"/>
        </w:rPr>
        <w:t>主要工作过程</w:t>
      </w:r>
    </w:p>
    <w:p w:rsidR="001237E0" w:rsidRDefault="00000000">
      <w:pPr>
        <w:spacing w:line="360" w:lineRule="auto"/>
        <w:ind w:firstLineChars="200" w:firstLine="48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2022年13月：</w:t>
      </w:r>
      <w:r>
        <w:rPr>
          <w:rFonts w:asciiTheme="minorEastAsia" w:eastAsiaTheme="minorEastAsia" w:hAnsiTheme="minorEastAsia" w:cs="宋体" w:hint="eastAsia"/>
          <w:bCs/>
          <w:sz w:val="24"/>
          <w:szCs w:val="24"/>
        </w:rPr>
        <w:t>中国仪器仪表行业协会电工仪器仪表分会申请立项</w:t>
      </w:r>
      <w:r>
        <w:rPr>
          <w:rFonts w:asciiTheme="minorEastAsia" w:eastAsiaTheme="minorEastAsia" w:hAnsiTheme="minorEastAsia" w:cs="宋体" w:hint="eastAsia"/>
          <w:b/>
          <w:sz w:val="24"/>
          <w:szCs w:val="24"/>
        </w:rPr>
        <w:t>，并形成标准草案稿。</w:t>
      </w:r>
    </w:p>
    <w:p w:rsidR="001237E0" w:rsidRDefault="00000000">
      <w:pPr>
        <w:spacing w:line="360" w:lineRule="auto"/>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b/>
          <w:sz w:val="24"/>
          <w:szCs w:val="24"/>
        </w:rPr>
        <w:t>2023年1月：</w:t>
      </w:r>
      <w:r>
        <w:rPr>
          <w:rFonts w:asciiTheme="minorEastAsia" w:eastAsiaTheme="minorEastAsia" w:hAnsiTheme="minorEastAsia" w:cs="宋体" w:hint="eastAsia"/>
          <w:sz w:val="24"/>
          <w:szCs w:val="24"/>
        </w:rPr>
        <w:t>中国仪器仪表行业协会下达了关于《</w:t>
      </w:r>
      <w:r>
        <w:rPr>
          <w:rFonts w:asciiTheme="minorEastAsia" w:eastAsiaTheme="minorEastAsia" w:hAnsiTheme="minorEastAsia" w:hint="eastAsia"/>
          <w:sz w:val="24"/>
          <w:szCs w:val="24"/>
        </w:rPr>
        <w:t>拆回智能采集终端分拣技术规范</w:t>
      </w:r>
      <w:r>
        <w:rPr>
          <w:rFonts w:asciiTheme="minorEastAsia" w:eastAsiaTheme="minorEastAsia" w:hAnsiTheme="minorEastAsia" w:cs="宋体" w:hint="eastAsia"/>
          <w:sz w:val="24"/>
          <w:szCs w:val="24"/>
        </w:rPr>
        <w:t>》等</w:t>
      </w:r>
      <w:r>
        <w:rPr>
          <w:rFonts w:asciiTheme="minorEastAsia" w:eastAsiaTheme="minorEastAsia" w:hAnsiTheme="minorEastAsia" w:cs="宋体" w:hint="eastAsia"/>
          <w:color w:val="FF0000"/>
          <w:sz w:val="24"/>
          <w:szCs w:val="24"/>
        </w:rPr>
        <w:t>9</w:t>
      </w:r>
      <w:r>
        <w:rPr>
          <w:rFonts w:asciiTheme="minorEastAsia" w:eastAsiaTheme="minorEastAsia" w:hAnsiTheme="minorEastAsia" w:cs="宋体" w:hint="eastAsia"/>
          <w:sz w:val="24"/>
          <w:szCs w:val="24"/>
        </w:rPr>
        <w:t>项团体标准立项的批复，由广东电网有限责任公司计量中心牵头，组织</w:t>
      </w:r>
      <w:r>
        <w:rPr>
          <w:rFonts w:asciiTheme="minorEastAsia" w:eastAsiaTheme="minorEastAsia" w:hAnsiTheme="minorEastAsia" w:cs="黑体" w:hint="eastAsia"/>
          <w:b/>
          <w:sz w:val="24"/>
          <w:szCs w:val="24"/>
        </w:rPr>
        <w:t>成立标准起草工作组</w:t>
      </w:r>
      <w:r>
        <w:rPr>
          <w:rFonts w:asciiTheme="minorEastAsia" w:eastAsiaTheme="minorEastAsia" w:hAnsiTheme="minorEastAsia" w:cs="宋体" w:hint="eastAsia"/>
          <w:sz w:val="24"/>
          <w:szCs w:val="24"/>
        </w:rPr>
        <w:t>。</w:t>
      </w:r>
    </w:p>
    <w:p w:rsidR="001237E0" w:rsidRDefault="00000000">
      <w:pPr>
        <w:spacing w:line="360" w:lineRule="auto"/>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b/>
          <w:sz w:val="24"/>
          <w:szCs w:val="24"/>
        </w:rPr>
        <w:t>2023年2月-2023年3月：</w:t>
      </w:r>
      <w:r>
        <w:rPr>
          <w:rFonts w:asciiTheme="minorEastAsia" w:eastAsiaTheme="minorEastAsia" w:hAnsiTheme="minorEastAsia" w:cs="宋体" w:hint="eastAsia"/>
          <w:sz w:val="24"/>
          <w:szCs w:val="24"/>
        </w:rPr>
        <w:t>启动团体标准制定工作。起草组严格按照《国家标准管理办法》、GB/T 1.1—2020《标准化工作导则 第1部分：标准化文件的结构和起草规则编写》等文件的要求进行标准制定并形成了</w:t>
      </w:r>
      <w:r>
        <w:rPr>
          <w:rFonts w:asciiTheme="minorEastAsia" w:eastAsiaTheme="minorEastAsia" w:hAnsiTheme="minorEastAsia" w:cs="黑体" w:hint="eastAsia"/>
          <w:b/>
          <w:sz w:val="24"/>
          <w:szCs w:val="24"/>
        </w:rPr>
        <w:t>工作组讨论稿</w:t>
      </w:r>
      <w:r>
        <w:rPr>
          <w:rFonts w:asciiTheme="minorEastAsia" w:eastAsiaTheme="minorEastAsia" w:hAnsiTheme="minorEastAsia" w:cs="宋体" w:hint="eastAsia"/>
          <w:sz w:val="24"/>
          <w:szCs w:val="24"/>
        </w:rPr>
        <w:t>。</w:t>
      </w:r>
    </w:p>
    <w:p w:rsidR="001237E0" w:rsidRDefault="00000000">
      <w:pPr>
        <w:spacing w:line="360" w:lineRule="auto"/>
        <w:ind w:firstLineChars="196" w:firstLine="472"/>
        <w:rPr>
          <w:rFonts w:asciiTheme="minorEastAsia" w:eastAsiaTheme="minorEastAsia" w:hAnsiTheme="minorEastAsia" w:cs="宋体"/>
          <w:sz w:val="24"/>
          <w:szCs w:val="24"/>
        </w:rPr>
      </w:pPr>
      <w:bookmarkStart w:id="0" w:name="_Hlk17657671"/>
      <w:r>
        <w:rPr>
          <w:rFonts w:asciiTheme="minorEastAsia" w:eastAsiaTheme="minorEastAsia" w:hAnsiTheme="minorEastAsia" w:cs="宋体" w:hint="eastAsia"/>
          <w:b/>
          <w:sz w:val="24"/>
          <w:szCs w:val="24"/>
        </w:rPr>
        <w:t>2023年4月</w:t>
      </w:r>
      <w:bookmarkEnd w:id="0"/>
      <w:r>
        <w:rPr>
          <w:rFonts w:asciiTheme="minorEastAsia" w:eastAsiaTheme="minorEastAsia" w:hAnsiTheme="minorEastAsia" w:cs="宋体" w:hint="eastAsia"/>
          <w:sz w:val="24"/>
          <w:szCs w:val="24"/>
        </w:rPr>
        <w:t>：工作组讨论稿在标准编制工作组内部第一次征求意见，共回收意见10条，主笔单位按照回收意见对工作组讨论稿进行了修改完善。</w:t>
      </w:r>
    </w:p>
    <w:p w:rsidR="001237E0" w:rsidRDefault="00000000">
      <w:pPr>
        <w:spacing w:line="360" w:lineRule="auto"/>
        <w:ind w:firstLineChars="196" w:firstLine="472"/>
        <w:rPr>
          <w:rFonts w:asciiTheme="minorEastAsia" w:eastAsiaTheme="minorEastAsia" w:hAnsiTheme="minorEastAsia" w:cs="宋体"/>
          <w:sz w:val="24"/>
          <w:szCs w:val="24"/>
        </w:rPr>
      </w:pPr>
      <w:r>
        <w:rPr>
          <w:rFonts w:asciiTheme="minorEastAsia" w:eastAsiaTheme="minorEastAsia" w:hAnsiTheme="minorEastAsia" w:cs="宋体" w:hint="eastAsia"/>
          <w:b/>
          <w:sz w:val="24"/>
          <w:szCs w:val="24"/>
        </w:rPr>
        <w:t>202</w:t>
      </w:r>
      <w:r>
        <w:rPr>
          <w:rFonts w:asciiTheme="minorEastAsia" w:eastAsiaTheme="minorEastAsia" w:hAnsiTheme="minorEastAsia" w:cs="宋体"/>
          <w:b/>
          <w:sz w:val="24"/>
          <w:szCs w:val="24"/>
        </w:rPr>
        <w:t>3</w:t>
      </w:r>
      <w:r>
        <w:rPr>
          <w:rFonts w:asciiTheme="minorEastAsia" w:eastAsiaTheme="minorEastAsia" w:hAnsiTheme="minorEastAsia" w:cs="宋体" w:hint="eastAsia"/>
          <w:b/>
          <w:sz w:val="24"/>
          <w:szCs w:val="24"/>
        </w:rPr>
        <w:t>年</w:t>
      </w:r>
      <w:r>
        <w:rPr>
          <w:rFonts w:asciiTheme="minorEastAsia" w:eastAsiaTheme="minorEastAsia" w:hAnsiTheme="minorEastAsia" w:cs="宋体"/>
          <w:b/>
          <w:sz w:val="24"/>
          <w:szCs w:val="24"/>
        </w:rPr>
        <w:t>5</w:t>
      </w:r>
      <w:r>
        <w:rPr>
          <w:rFonts w:asciiTheme="minorEastAsia" w:eastAsiaTheme="minorEastAsia" w:hAnsiTheme="minorEastAsia" w:cs="宋体" w:hint="eastAsia"/>
          <w:b/>
          <w:sz w:val="24"/>
          <w:szCs w:val="24"/>
        </w:rPr>
        <w:t>月</w:t>
      </w:r>
      <w:r>
        <w:rPr>
          <w:rFonts w:asciiTheme="minorEastAsia" w:eastAsiaTheme="minorEastAsia" w:hAnsiTheme="minorEastAsia" w:cs="宋体"/>
          <w:b/>
          <w:sz w:val="24"/>
          <w:szCs w:val="24"/>
        </w:rPr>
        <w:t>10</w:t>
      </w:r>
      <w:r>
        <w:rPr>
          <w:rFonts w:asciiTheme="minorEastAsia" w:eastAsiaTheme="minorEastAsia" w:hAnsiTheme="minorEastAsia" w:cs="宋体" w:hint="eastAsia"/>
          <w:b/>
          <w:sz w:val="24"/>
          <w:szCs w:val="24"/>
        </w:rPr>
        <w:t>日：</w:t>
      </w:r>
      <w:r>
        <w:rPr>
          <w:rFonts w:asciiTheme="minorEastAsia" w:eastAsiaTheme="minorEastAsia" w:hAnsiTheme="minorEastAsia" w:cs="宋体" w:hint="eastAsia"/>
          <w:sz w:val="24"/>
          <w:szCs w:val="24"/>
        </w:rPr>
        <w:t>在青岛召开起草第一次工作组会议，工作组对工作组讨论稿的标准化对象、结构进行了认真、细致的逐条讨论，并对主要技术内容达成了一致意见，分配标准符合性验证工作，并对试验项目进行分工，形成会议纪要。</w:t>
      </w:r>
    </w:p>
    <w:p w:rsidR="001237E0" w:rsidRDefault="00000000">
      <w:pPr>
        <w:spacing w:line="360" w:lineRule="auto"/>
        <w:ind w:firstLineChars="196" w:firstLine="472"/>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b/>
          <w:bCs/>
          <w:color w:val="000000" w:themeColor="text1"/>
          <w:sz w:val="24"/>
          <w:szCs w:val="24"/>
        </w:rPr>
        <w:t>2023年5月-2023年12月：工作组讨论稿</w:t>
      </w:r>
      <w:r>
        <w:rPr>
          <w:rFonts w:asciiTheme="minorEastAsia" w:eastAsiaTheme="minorEastAsia" w:hAnsiTheme="minorEastAsia" w:cs="宋体" w:hint="eastAsia"/>
          <w:color w:val="000000" w:themeColor="text1"/>
          <w:sz w:val="24"/>
          <w:szCs w:val="24"/>
        </w:rPr>
        <w:t>在标准编制工作组内部第二次征求意见，共回收意见21条，主笔单位按照回收意见对工作组讨论稿进行了修改完善。</w:t>
      </w:r>
    </w:p>
    <w:p w:rsidR="001237E0" w:rsidRDefault="00000000">
      <w:pPr>
        <w:spacing w:line="360" w:lineRule="auto"/>
        <w:ind w:firstLineChars="196" w:firstLine="472"/>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b/>
          <w:bCs/>
          <w:color w:val="000000" w:themeColor="text1"/>
          <w:sz w:val="24"/>
          <w:szCs w:val="24"/>
        </w:rPr>
        <w:t>2023年12月15日：</w:t>
      </w:r>
      <w:r>
        <w:rPr>
          <w:rFonts w:asciiTheme="minorEastAsia" w:eastAsiaTheme="minorEastAsia" w:hAnsiTheme="minorEastAsia" w:cs="宋体" w:hint="eastAsia"/>
          <w:color w:val="000000" w:themeColor="text1"/>
          <w:sz w:val="24"/>
          <w:szCs w:val="24"/>
        </w:rPr>
        <w:t>在许昌召开起草工作组第二次会议，对标准工作组讨论稿以及所征求的意见内容进行了仔细讨论，形成会议纪要。</w:t>
      </w:r>
    </w:p>
    <w:p w:rsidR="001237E0" w:rsidRDefault="00000000">
      <w:pPr>
        <w:spacing w:line="360" w:lineRule="auto"/>
        <w:ind w:firstLineChars="196" w:firstLine="472"/>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b/>
          <w:bCs/>
          <w:color w:val="000000" w:themeColor="text1"/>
          <w:sz w:val="24"/>
          <w:szCs w:val="24"/>
        </w:rPr>
        <w:t>2024年4月</w:t>
      </w:r>
      <w:r>
        <w:rPr>
          <w:rFonts w:asciiTheme="minorEastAsia" w:eastAsiaTheme="minorEastAsia" w:hAnsiTheme="minorEastAsia" w:cs="宋体" w:hint="eastAsia"/>
          <w:color w:val="000000" w:themeColor="text1"/>
          <w:sz w:val="24"/>
          <w:szCs w:val="24"/>
        </w:rPr>
        <w:t>，形成征求意见稿。</w:t>
      </w:r>
    </w:p>
    <w:p w:rsidR="001237E0" w:rsidRDefault="00000000">
      <w:pPr>
        <w:pStyle w:val="2"/>
        <w:rPr>
          <w:rFonts w:ascii="宋体" w:hAnsi="宋体" w:cs="宋体"/>
          <w:sz w:val="28"/>
          <w:szCs w:val="28"/>
        </w:rPr>
      </w:pPr>
      <w:r>
        <w:rPr>
          <w:rFonts w:ascii="宋体" w:hAnsi="宋体" w:cs="宋体" w:hint="eastAsia"/>
          <w:sz w:val="28"/>
          <w:szCs w:val="28"/>
        </w:rPr>
        <w:lastRenderedPageBreak/>
        <w:t>3  主要参加单位和工作组成员及其所做的工作</w:t>
      </w:r>
    </w:p>
    <w:p w:rsidR="001237E0" w:rsidRDefault="00000000">
      <w:pPr>
        <w:spacing w:line="360" w:lineRule="auto"/>
        <w:ind w:firstLineChars="200" w:firstLine="480"/>
        <w:rPr>
          <w:rFonts w:hAnsi="宋体" w:cs="宋体"/>
          <w:sz w:val="24"/>
          <w:szCs w:val="24"/>
        </w:rPr>
      </w:pPr>
      <w:r>
        <w:rPr>
          <w:rFonts w:ascii="Times New Roman" w:hAnsi="Times New Roman" w:hint="eastAsia"/>
          <w:sz w:val="24"/>
          <w:szCs w:val="24"/>
        </w:rPr>
        <w:t>标准</w:t>
      </w:r>
      <w:r>
        <w:rPr>
          <w:rFonts w:ascii="Times New Roman" w:hAnsi="Times New Roman"/>
          <w:sz w:val="24"/>
          <w:szCs w:val="24"/>
        </w:rPr>
        <w:t>牵头起草单位是</w:t>
      </w:r>
      <w:r>
        <w:rPr>
          <w:rFonts w:ascii="宋体" w:hAnsi="宋体" w:cs="宋体" w:hint="eastAsia"/>
          <w:sz w:val="24"/>
          <w:szCs w:val="24"/>
        </w:rPr>
        <w:t>广东电网有限责任公司计量中心，</w:t>
      </w:r>
      <w:r>
        <w:rPr>
          <w:rFonts w:ascii="Times New Roman" w:hAnsi="Times New Roman"/>
          <w:sz w:val="24"/>
          <w:szCs w:val="24"/>
        </w:rPr>
        <w:t>主要起草单位</w:t>
      </w:r>
      <w:r>
        <w:rPr>
          <w:rFonts w:ascii="Times New Roman" w:hAnsi="Times New Roman" w:hint="eastAsia"/>
          <w:sz w:val="24"/>
          <w:szCs w:val="24"/>
        </w:rPr>
        <w:t>有</w:t>
      </w:r>
      <w:r>
        <w:rPr>
          <w:rFonts w:hAnsi="宋体" w:cs="宋体" w:hint="eastAsia"/>
          <w:sz w:val="24"/>
          <w:szCs w:val="24"/>
        </w:rPr>
        <w:t>南方电网电力科技股份有限公司、许继仪表有限公司、元启工业技术有限公司。</w:t>
      </w:r>
    </w:p>
    <w:p w:rsidR="001237E0" w:rsidRDefault="00000000">
      <w:pPr>
        <w:pStyle w:val="afa"/>
        <w:spacing w:line="360" w:lineRule="auto"/>
        <w:ind w:firstLine="480"/>
        <w:rPr>
          <w:rFonts w:ascii="Times New Roman"/>
          <w:sz w:val="24"/>
          <w:szCs w:val="24"/>
        </w:rPr>
      </w:pPr>
      <w:r>
        <w:rPr>
          <w:rFonts w:ascii="Times New Roman"/>
          <w:sz w:val="24"/>
          <w:szCs w:val="24"/>
        </w:rPr>
        <w:t>本标准主要起草人：</w:t>
      </w:r>
      <w:r>
        <w:rPr>
          <w:rFonts w:ascii="Times New Roman" w:hint="eastAsia"/>
          <w:sz w:val="24"/>
          <w:szCs w:val="24"/>
        </w:rPr>
        <w:t>刘海斌、孙勇、化振谦、张永旺、陈小乔、邵晓峰、刘晓磊、徐浩田等</w:t>
      </w:r>
    </w:p>
    <w:p w:rsidR="001237E0" w:rsidRDefault="00000000">
      <w:pPr>
        <w:pStyle w:val="afa"/>
        <w:spacing w:line="360" w:lineRule="auto"/>
        <w:ind w:firstLine="480"/>
        <w:rPr>
          <w:rFonts w:ascii="Times New Roman"/>
          <w:sz w:val="24"/>
          <w:szCs w:val="24"/>
        </w:rPr>
      </w:pPr>
      <w:r>
        <w:rPr>
          <w:rFonts w:hAnsi="宋体" w:cs="宋体" w:hint="eastAsia"/>
          <w:sz w:val="24"/>
          <w:szCs w:val="24"/>
        </w:rPr>
        <w:t>广东电网有限责任公司计量中心</w:t>
      </w:r>
      <w:r>
        <w:rPr>
          <w:rFonts w:ascii="Times New Roman"/>
          <w:sz w:val="24"/>
          <w:szCs w:val="24"/>
        </w:rPr>
        <w:t>作为执笔单位负责了本标准的工作组讨论稿和征求意见稿的起草、修改工作。</w:t>
      </w:r>
    </w:p>
    <w:p w:rsidR="001237E0" w:rsidRDefault="000000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刘海斌、孙勇为本标准的主笔人，负责标准的编写，刘献成为本标准起草工作组的组长，王宏博、何珊等为本标准起草工作组的组员，负责标准的编写进程和组织协调工作。</w:t>
      </w:r>
    </w:p>
    <w:p w:rsidR="001237E0" w:rsidRDefault="00000000">
      <w:pPr>
        <w:pStyle w:val="2"/>
        <w:rPr>
          <w:rFonts w:asciiTheme="majorEastAsia" w:eastAsiaTheme="majorEastAsia" w:hAnsiTheme="majorEastAsia" w:cs="黑体"/>
          <w:sz w:val="28"/>
          <w:szCs w:val="28"/>
        </w:rPr>
      </w:pPr>
      <w:r>
        <w:rPr>
          <w:rFonts w:asciiTheme="majorEastAsia" w:eastAsiaTheme="majorEastAsia" w:hAnsiTheme="majorEastAsia" w:cs="黑体" w:hint="eastAsia"/>
          <w:sz w:val="28"/>
          <w:szCs w:val="28"/>
        </w:rPr>
        <w:t>二</w:t>
      </w:r>
      <w:r>
        <w:rPr>
          <w:rFonts w:asciiTheme="majorEastAsia" w:eastAsiaTheme="majorEastAsia" w:hAnsiTheme="majorEastAsia" w:hint="eastAsia"/>
          <w:sz w:val="28"/>
          <w:szCs w:val="28"/>
        </w:rPr>
        <w:t>、</w:t>
      </w:r>
      <w:r>
        <w:rPr>
          <w:rFonts w:asciiTheme="majorEastAsia" w:eastAsiaTheme="majorEastAsia" w:hAnsiTheme="majorEastAsia" w:cs="黑体" w:hint="eastAsia"/>
          <w:sz w:val="28"/>
          <w:szCs w:val="28"/>
        </w:rPr>
        <w:t xml:space="preserve">  标准编制原则和主要技术内容确定的依据</w:t>
      </w:r>
    </w:p>
    <w:p w:rsidR="001237E0" w:rsidRDefault="00000000">
      <w:pPr>
        <w:pStyle w:val="3"/>
      </w:pPr>
      <w:r>
        <w:t xml:space="preserve">1 </w:t>
      </w:r>
      <w:r>
        <w:rPr>
          <w:rFonts w:hint="eastAsia"/>
        </w:rPr>
        <w:t xml:space="preserve"> 主要阐述标准制定或修订过程遵循的基本原则</w:t>
      </w:r>
    </w:p>
    <w:p w:rsidR="001237E0" w:rsidRDefault="00000000">
      <w:pPr>
        <w:spacing w:line="360" w:lineRule="auto"/>
        <w:ind w:firstLineChars="250" w:firstLine="600"/>
        <w:rPr>
          <w:rFonts w:ascii="宋体" w:hAnsi="宋体" w:cs="宋体"/>
          <w:sz w:val="24"/>
          <w:szCs w:val="24"/>
        </w:rPr>
      </w:pPr>
      <w:r>
        <w:rPr>
          <w:rFonts w:ascii="宋体" w:hAnsi="宋体" w:cs="宋体" w:hint="eastAsia"/>
          <w:sz w:val="24"/>
          <w:szCs w:val="24"/>
        </w:rPr>
        <w:t>本标准从实际应用出发，充分考虑了现有相关国家标准和行业标准。编制遵循“统一性、协调性、适用性、一致性、规范性”的原则，注重标准的可操作性，本标准按照GB/T 1.1—2020《标准化工作导则  第1部分：标准化文件的结构和起草规则》的规定</w:t>
      </w:r>
      <w:r>
        <w:rPr>
          <w:rFonts w:ascii="宋体" w:hAnsi="宋体" w:cs="宋体"/>
          <w:sz w:val="24"/>
          <w:szCs w:val="24"/>
        </w:rPr>
        <w:t>进行编写和表述。</w:t>
      </w:r>
    </w:p>
    <w:p w:rsidR="001237E0" w:rsidRDefault="00000000">
      <w:pPr>
        <w:pStyle w:val="3"/>
      </w:pPr>
      <w:r>
        <w:t>2</w:t>
      </w:r>
      <w:r>
        <w:rPr>
          <w:rFonts w:hint="eastAsia"/>
        </w:rPr>
        <w:t xml:space="preserve">  标准主要内容中范围、技术要求、试验方法、检验规则依据</w:t>
      </w:r>
    </w:p>
    <w:p w:rsidR="001237E0" w:rsidRDefault="00000000">
      <w:pPr>
        <w:spacing w:line="360" w:lineRule="auto"/>
        <w:ind w:firstLineChars="200" w:firstLine="480"/>
        <w:rPr>
          <w:rFonts w:ascii="宋体" w:hAnsi="宋体" w:cs="宋体"/>
          <w:sz w:val="24"/>
          <w:szCs w:val="24"/>
        </w:rPr>
      </w:pPr>
      <w:r>
        <w:rPr>
          <w:rFonts w:ascii="宋体" w:hAnsi="宋体" w:cs="宋体" w:hint="eastAsia"/>
          <w:sz w:val="24"/>
          <w:szCs w:val="24"/>
        </w:rPr>
        <w:t>本文件在智能计量周转柜的环境适应性、机械、电气、电磁兼容性、安全性、通信接口、功能和试验方法的技术要求等方面提出了技术规定。相关参数、指标的设定是依据了应用场景的物理环境条件、电气环境条件，以及相关国家、行业标准制定的，其中环境适应性引用了GB/T4798.3-2023《环境条件分类 环境参数组分类及其严酷程度分级 第3部分：有气候防护场所固定使用》、GB/T4798.1-2019《环境条件分类 环境参数组分类及其严酷程度分级 第1部分：贮存》、GB/T 9361-2011《计算机场地安全要求》中B类》中的相关要求，机械引用了GB/T 2423.5-2019《环境试验 第2部分：试验方法 试验Ea和导则：冲击》、</w:t>
      </w:r>
      <w:r>
        <w:rPr>
          <w:rFonts w:ascii="宋体" w:hAnsi="宋体" w:cs="宋体" w:hint="eastAsia"/>
          <w:sz w:val="24"/>
          <w:szCs w:val="24"/>
        </w:rPr>
        <w:lastRenderedPageBreak/>
        <w:t>GB/T 2423.10-2019《环境试验 第2部分：试验方法 试验Fc:振动（正弦）》中的相关要求，电气引用了GB/T 156-2017《标准电压》中的相关要求，电磁兼容性引用了GB/T 17626.2- 2018《静电放电抗扰度试验》、GB/T 17626.3- 2016《射频电磁场辐射抗扰度试验》、GB/T 17626.4- 2018《电快速瞬变脉冲群抗扰度试验》、GB/T 17626.5- 2019《浪涌(冲击)抗扰度试验》、GB/T 17626.6- 2017《射频场感应的传导骚扰抗扰度》、GB/T 17626.11-2008《电压暂降、短时中断和电压变化的抗扰度试验》中的相关要求，安全性引用了GB/T</w:t>
      </w:r>
      <w:r>
        <w:rPr>
          <w:rFonts w:ascii="宋体" w:hAnsi="宋体" w:cs="宋体"/>
          <w:sz w:val="24"/>
          <w:szCs w:val="24"/>
        </w:rPr>
        <w:t xml:space="preserve"> </w:t>
      </w:r>
      <w:r>
        <w:rPr>
          <w:rFonts w:ascii="宋体" w:hAnsi="宋体" w:cs="宋体" w:hint="eastAsia"/>
          <w:sz w:val="24"/>
          <w:szCs w:val="24"/>
        </w:rPr>
        <w:t>4208-2017        《外壳防护等级（IP代码）》、GB/4793.1-2007《测量、控制和实验室用电气设备的安全要求》第1部分：通用要求中6.5.1中的相关要求，试验方法引用了GB/T 2423.1-200</w:t>
      </w:r>
      <w:r>
        <w:rPr>
          <w:rFonts w:ascii="宋体" w:hAnsi="宋体" w:cs="宋体"/>
          <w:sz w:val="24"/>
          <w:szCs w:val="24"/>
        </w:rPr>
        <w:t>8</w:t>
      </w:r>
      <w:r>
        <w:rPr>
          <w:rFonts w:ascii="宋体" w:hAnsi="宋体" w:cs="宋体" w:hint="eastAsia"/>
          <w:sz w:val="24"/>
          <w:szCs w:val="24"/>
        </w:rPr>
        <w:t>《电工电子产品环境试验 第 2 部分：试验方法 试验 A：低温》、GB/T 2423.2-2008《电工电子产品环境试验 第 2 部分：试验方法 试验 B：高温》、GB/T 2423.3-2016《环境试验 第2部分：试验方法 试验Cab：恒定湿热试验》、GB/T 24343-200</w:t>
      </w:r>
      <w:r>
        <w:rPr>
          <w:rFonts w:ascii="宋体" w:hAnsi="宋体" w:cs="宋体"/>
          <w:sz w:val="24"/>
          <w:szCs w:val="24"/>
        </w:rPr>
        <w:t>9</w:t>
      </w:r>
      <w:r>
        <w:rPr>
          <w:rFonts w:ascii="宋体" w:hAnsi="宋体" w:cs="宋体" w:hint="eastAsia"/>
          <w:sz w:val="24"/>
          <w:szCs w:val="24"/>
        </w:rPr>
        <w:t>《工业机械电气设备绝缘电阻试验规范》、GB/T 1408.1-2016 《绝缘材料 电气强度试验方法 第1部分：工频下试验》</w:t>
      </w:r>
    </w:p>
    <w:p w:rsidR="001237E0" w:rsidRDefault="00000000">
      <w:pPr>
        <w:spacing w:line="360" w:lineRule="auto"/>
        <w:rPr>
          <w:rFonts w:ascii="宋体" w:hAnsi="宋体" w:cs="宋体"/>
          <w:sz w:val="24"/>
          <w:szCs w:val="24"/>
        </w:rPr>
      </w:pPr>
      <w:r>
        <w:rPr>
          <w:rFonts w:ascii="宋体" w:hAnsi="宋体" w:cs="宋体" w:hint="eastAsia"/>
          <w:sz w:val="24"/>
          <w:szCs w:val="24"/>
        </w:rPr>
        <w:t>GB/T 1408.3-2016《绝缘材料 电气强度试验方法 第3部分：1.2/50μs冲击试验补充要求》中的相关要求。</w:t>
      </w:r>
    </w:p>
    <w:p w:rsidR="001237E0" w:rsidRDefault="00000000">
      <w:pPr>
        <w:pStyle w:val="2"/>
        <w:rPr>
          <w:rFonts w:asciiTheme="majorEastAsia" w:eastAsiaTheme="majorEastAsia" w:hAnsiTheme="majorEastAsia" w:cs="黑体"/>
          <w:sz w:val="28"/>
          <w:szCs w:val="28"/>
        </w:rPr>
      </w:pPr>
      <w:r>
        <w:rPr>
          <w:rFonts w:asciiTheme="majorEastAsia" w:eastAsiaTheme="majorEastAsia" w:hAnsiTheme="majorEastAsia" w:cs="黑体" w:hint="eastAsia"/>
          <w:sz w:val="28"/>
          <w:szCs w:val="28"/>
        </w:rPr>
        <w:t>三、主要试验（或验收）情况</w:t>
      </w:r>
    </w:p>
    <w:p w:rsidR="001237E0" w:rsidRDefault="00000000">
      <w:pPr>
        <w:pStyle w:val="afa"/>
        <w:spacing w:line="360" w:lineRule="auto"/>
        <w:ind w:firstLine="480"/>
        <w:rPr>
          <w:rFonts w:ascii="Times New Roman"/>
          <w:kern w:val="2"/>
          <w:sz w:val="24"/>
          <w:szCs w:val="24"/>
        </w:rPr>
      </w:pPr>
      <w:r>
        <w:rPr>
          <w:rFonts w:ascii="Times New Roman" w:hint="eastAsia"/>
          <w:kern w:val="2"/>
          <w:sz w:val="24"/>
          <w:szCs w:val="24"/>
        </w:rPr>
        <w:t>在本标准起草工作过程中，委托部分企业对标准中的主要指标分别进行了验证试验。由南方电网电力科技有限公司、</w:t>
      </w:r>
      <w:r>
        <w:rPr>
          <w:rFonts w:hAnsi="宋体" w:cs="宋体" w:hint="eastAsia"/>
          <w:sz w:val="24"/>
          <w:szCs w:val="24"/>
        </w:rPr>
        <w:t>许继仪表有限公司、</w:t>
      </w:r>
      <w:r>
        <w:rPr>
          <w:rFonts w:ascii="Times New Roman" w:hint="eastAsia"/>
          <w:kern w:val="2"/>
          <w:sz w:val="24"/>
          <w:szCs w:val="24"/>
        </w:rPr>
        <w:t>元启工业技术有限公司配合开展试验验证工作。</w:t>
      </w:r>
    </w:p>
    <w:p w:rsidR="001237E0" w:rsidRDefault="00000000">
      <w:pPr>
        <w:pStyle w:val="afa"/>
        <w:spacing w:line="360" w:lineRule="auto"/>
        <w:ind w:firstLine="480"/>
        <w:rPr>
          <w:color w:val="000000" w:themeColor="text1"/>
        </w:rPr>
      </w:pPr>
      <w:r>
        <w:rPr>
          <w:rFonts w:ascii="Times New Roman" w:hint="eastAsia"/>
          <w:color w:val="000000" w:themeColor="text1"/>
          <w:kern w:val="2"/>
          <w:sz w:val="24"/>
          <w:szCs w:val="24"/>
        </w:rPr>
        <w:t>试验项目</w:t>
      </w:r>
      <w:r>
        <w:rPr>
          <w:rFonts w:ascii="Times New Roman" w:hint="eastAsia"/>
          <w:color w:val="000000" w:themeColor="text1"/>
          <w:sz w:val="24"/>
          <w:szCs w:val="24"/>
        </w:rPr>
        <w:t>涵盖智能周转柜的外观、功能、静电放电抗扰度、射频电磁场辐射抗扰度、浪涌（冲击）抗扰度等项目</w:t>
      </w:r>
      <w:r>
        <w:rPr>
          <w:rFonts w:ascii="Times New Roman"/>
          <w:color w:val="000000" w:themeColor="text1"/>
          <w:kern w:val="2"/>
          <w:sz w:val="24"/>
          <w:szCs w:val="24"/>
        </w:rPr>
        <w:t>。</w:t>
      </w:r>
    </w:p>
    <w:p w:rsidR="001237E0" w:rsidRDefault="00000000">
      <w:pPr>
        <w:pStyle w:val="2"/>
        <w:rPr>
          <w:rFonts w:asciiTheme="majorEastAsia" w:eastAsiaTheme="majorEastAsia" w:hAnsiTheme="majorEastAsia" w:cs="黑体"/>
          <w:b w:val="0"/>
          <w:bCs w:val="0"/>
          <w:color w:val="FF0000"/>
          <w:sz w:val="28"/>
          <w:szCs w:val="28"/>
        </w:rPr>
      </w:pPr>
      <w:r>
        <w:rPr>
          <w:rFonts w:asciiTheme="majorEastAsia" w:eastAsiaTheme="majorEastAsia" w:hAnsiTheme="majorEastAsia" w:cs="黑体" w:hint="eastAsia"/>
          <w:sz w:val="28"/>
          <w:szCs w:val="28"/>
        </w:rPr>
        <w:t>四、 标准涉及专利情况</w:t>
      </w:r>
    </w:p>
    <w:p w:rsidR="001237E0" w:rsidRDefault="00000000">
      <w:pPr>
        <w:spacing w:line="360" w:lineRule="auto"/>
        <w:ind w:firstLineChars="200" w:firstLine="480"/>
        <w:rPr>
          <w:sz w:val="24"/>
          <w:szCs w:val="24"/>
        </w:rPr>
      </w:pPr>
      <w:r>
        <w:rPr>
          <w:rFonts w:hint="eastAsia"/>
          <w:sz w:val="24"/>
          <w:szCs w:val="24"/>
        </w:rPr>
        <w:t>本文件不涉及任何专利问题</w:t>
      </w:r>
      <w:r>
        <w:rPr>
          <w:sz w:val="24"/>
          <w:szCs w:val="24"/>
        </w:rPr>
        <w:t>。</w:t>
      </w:r>
    </w:p>
    <w:p w:rsidR="001237E0" w:rsidRDefault="00000000">
      <w:pPr>
        <w:pStyle w:val="2"/>
        <w:rPr>
          <w:rFonts w:asciiTheme="majorEastAsia" w:eastAsiaTheme="majorEastAsia" w:hAnsiTheme="majorEastAsia" w:cs="黑体"/>
          <w:sz w:val="28"/>
          <w:szCs w:val="28"/>
        </w:rPr>
      </w:pPr>
      <w:r>
        <w:rPr>
          <w:rFonts w:asciiTheme="majorEastAsia" w:eastAsiaTheme="majorEastAsia" w:hAnsiTheme="majorEastAsia" w:cs="黑体" w:hint="eastAsia"/>
          <w:sz w:val="28"/>
          <w:szCs w:val="28"/>
        </w:rPr>
        <w:lastRenderedPageBreak/>
        <w:t>五、 预期达到的社会效益、对产业发展的作用</w:t>
      </w:r>
    </w:p>
    <w:p w:rsidR="001237E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目前各基层班所计量类急救包主要为人工库房，计量设备的入库、领用、盘点等均依靠人工台账管理，缺乏智能存储设备的支撑，自动化、信息化水平低，且因经常出现先领用再走流程的方式导致计量设备库存账目混乱，对已领未装设备无法有效的管理和统计，给基层供电所库存管理带来了困难。</w:t>
      </w:r>
    </w:p>
    <w:p w:rsidR="001237E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在基层班所计量类急救包部署智能计量周转柜，可实现计量设备入库、出库、库存管理、库存信息查询实时监控功能，提升计量资产全生命周期精益化管理水平。计量周转柜的应用可以很好的解决基层供电所应急抢修效率低下的问题。同时，它还实现了作业流程信息化、智能化管理，解决了计量资产储存设施差，计量资产状态不能实时更新，资产全寿命周期管理细节无法更深入等问题，实现“管好每一块计量资产”的宗旨。在基层供电所电能计量资产管理中，使用计量周转柜具有广阔的应用前景。</w:t>
      </w:r>
    </w:p>
    <w:p w:rsidR="001237E0" w:rsidRDefault="00000000">
      <w:pPr>
        <w:pStyle w:val="2"/>
        <w:rPr>
          <w:rFonts w:asciiTheme="majorEastAsia" w:eastAsiaTheme="majorEastAsia" w:hAnsiTheme="majorEastAsia" w:cs="黑体"/>
          <w:sz w:val="28"/>
          <w:szCs w:val="28"/>
        </w:rPr>
      </w:pPr>
      <w:r>
        <w:rPr>
          <w:rFonts w:asciiTheme="majorEastAsia" w:eastAsiaTheme="majorEastAsia" w:hAnsiTheme="majorEastAsia" w:cs="黑体" w:hint="eastAsia"/>
          <w:sz w:val="28"/>
          <w:szCs w:val="28"/>
        </w:rPr>
        <w:t>六、与国际、国外同类标准水平的对比情况</w:t>
      </w:r>
    </w:p>
    <w:p w:rsidR="001237E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目前国内外没有《智能计量周转柜》相关行业标准。通过制定《智能计量周转柜技术规范》，能够统一智能计量周转的产品分类、技术要求、功能要求、试验项目和实验方法，对智能计量周转柜的软硬件进行标准化设计，便于智能计量周转柜大规模推广应用。适用于智能计量周转柜的设计、制造、采购、检验、验收和使用。</w:t>
      </w:r>
    </w:p>
    <w:p w:rsidR="001237E0" w:rsidRDefault="00000000">
      <w:pPr>
        <w:pStyle w:val="2"/>
        <w:rPr>
          <w:rFonts w:asciiTheme="majorEastAsia" w:eastAsiaTheme="majorEastAsia" w:hAnsiTheme="majorEastAsia" w:cs="黑体"/>
          <w:sz w:val="28"/>
          <w:szCs w:val="28"/>
        </w:rPr>
      </w:pPr>
      <w:r>
        <w:rPr>
          <w:rFonts w:asciiTheme="majorEastAsia" w:eastAsiaTheme="majorEastAsia" w:hAnsiTheme="majorEastAsia" w:cs="黑体" w:hint="eastAsia"/>
          <w:sz w:val="28"/>
          <w:szCs w:val="28"/>
        </w:rPr>
        <w:t>七、在标准体系中的位置，与现行相关法律、法规、规章及相关标准，特别是强制性标准的协调性</w:t>
      </w:r>
    </w:p>
    <w:p w:rsidR="001237E0" w:rsidRDefault="00000000">
      <w:pPr>
        <w:spacing w:line="360" w:lineRule="auto"/>
        <w:ind w:firstLineChars="200" w:firstLine="480"/>
        <w:rPr>
          <w:rFonts w:ascii="Times New Roman" w:hAnsi="Times New Roman"/>
          <w:sz w:val="24"/>
          <w:szCs w:val="24"/>
        </w:rPr>
      </w:pPr>
      <w:r>
        <w:rPr>
          <w:rFonts w:hint="eastAsia"/>
          <w:sz w:val="24"/>
          <w:szCs w:val="24"/>
        </w:rPr>
        <w:t>与相关技术领域的国家现行法律、法规和政策保持一致。</w:t>
      </w:r>
      <w:r>
        <w:rPr>
          <w:rFonts w:ascii="Times New Roman" w:hAnsi="Times New Roman"/>
          <w:sz w:val="24"/>
          <w:szCs w:val="24"/>
        </w:rPr>
        <w:t>与现有标准、制定中的标准没有矛盾。</w:t>
      </w:r>
    </w:p>
    <w:p w:rsidR="001237E0" w:rsidRDefault="00000000">
      <w:pPr>
        <w:pStyle w:val="2"/>
        <w:rPr>
          <w:rFonts w:asciiTheme="majorEastAsia" w:eastAsiaTheme="majorEastAsia" w:hAnsiTheme="majorEastAsia" w:cs="黑体"/>
          <w:sz w:val="28"/>
          <w:szCs w:val="28"/>
        </w:rPr>
      </w:pPr>
      <w:r>
        <w:rPr>
          <w:rFonts w:asciiTheme="majorEastAsia" w:eastAsiaTheme="majorEastAsia" w:hAnsiTheme="majorEastAsia" w:cs="黑体" w:hint="eastAsia"/>
          <w:sz w:val="28"/>
          <w:szCs w:val="28"/>
        </w:rPr>
        <w:t>八、标准性质的重大分歧意见的处理经过和依据</w:t>
      </w:r>
    </w:p>
    <w:p w:rsidR="001237E0" w:rsidRDefault="00000000">
      <w:pPr>
        <w:spacing w:line="360" w:lineRule="auto"/>
        <w:ind w:firstLineChars="200" w:firstLine="480"/>
        <w:rPr>
          <w:rFonts w:ascii="Times New Roman" w:hAnsi="Times New Roman"/>
          <w:sz w:val="24"/>
          <w:szCs w:val="24"/>
          <w:lang w:val="zh-CN"/>
        </w:rPr>
      </w:pPr>
      <w:r>
        <w:rPr>
          <w:rFonts w:ascii="Times New Roman" w:hAnsi="Times New Roman"/>
          <w:sz w:val="24"/>
          <w:szCs w:val="24"/>
          <w:lang w:val="zh-CN"/>
        </w:rPr>
        <w:t>无。</w:t>
      </w:r>
    </w:p>
    <w:p w:rsidR="001237E0" w:rsidRDefault="00000000">
      <w:pPr>
        <w:pStyle w:val="2"/>
        <w:rPr>
          <w:rFonts w:asciiTheme="majorEastAsia" w:eastAsiaTheme="majorEastAsia" w:hAnsiTheme="majorEastAsia" w:cs="黑体"/>
          <w:sz w:val="28"/>
          <w:szCs w:val="28"/>
        </w:rPr>
      </w:pPr>
      <w:r>
        <w:rPr>
          <w:rFonts w:asciiTheme="majorEastAsia" w:eastAsiaTheme="majorEastAsia" w:hAnsiTheme="majorEastAsia" w:cs="黑体" w:hint="eastAsia"/>
          <w:sz w:val="28"/>
          <w:szCs w:val="28"/>
        </w:rPr>
        <w:lastRenderedPageBreak/>
        <w:t>九、标准性质的建议说明</w:t>
      </w:r>
    </w:p>
    <w:p w:rsidR="001237E0" w:rsidRDefault="00000000">
      <w:pPr>
        <w:spacing w:line="400" w:lineRule="exact"/>
        <w:ind w:firstLineChars="200" w:firstLine="480"/>
        <w:rPr>
          <w:rFonts w:ascii="Times New Roman" w:hAnsi="Times New Roman"/>
          <w:sz w:val="24"/>
          <w:szCs w:val="24"/>
        </w:rPr>
      </w:pPr>
      <w:r>
        <w:rPr>
          <w:rFonts w:ascii="Times New Roman" w:hAnsi="Times New Roman" w:hint="eastAsia"/>
          <w:sz w:val="24"/>
          <w:szCs w:val="24"/>
        </w:rPr>
        <w:t>本标准为推荐性标准，旨在为此类设备的</w:t>
      </w:r>
      <w:r>
        <w:rPr>
          <w:rFonts w:ascii="Times New Roman" w:hAnsi="Times New Roman"/>
          <w:sz w:val="24"/>
          <w:szCs w:val="24"/>
        </w:rPr>
        <w:t>设计、制造、检验和验收</w:t>
      </w:r>
      <w:r>
        <w:rPr>
          <w:rFonts w:ascii="Times New Roman" w:hAnsi="Times New Roman" w:hint="eastAsia"/>
          <w:sz w:val="24"/>
          <w:szCs w:val="24"/>
        </w:rPr>
        <w:t>提供规范性依据，但不强制执行。</w:t>
      </w:r>
    </w:p>
    <w:p w:rsidR="001237E0" w:rsidRDefault="001237E0">
      <w:pPr>
        <w:spacing w:line="400" w:lineRule="exact"/>
        <w:ind w:firstLineChars="200" w:firstLine="480"/>
        <w:rPr>
          <w:rFonts w:ascii="Times New Roman" w:hAnsi="Times New Roman"/>
          <w:sz w:val="24"/>
          <w:szCs w:val="24"/>
        </w:rPr>
      </w:pPr>
    </w:p>
    <w:p w:rsidR="001237E0" w:rsidRDefault="00000000">
      <w:pPr>
        <w:pStyle w:val="2"/>
        <w:rPr>
          <w:rFonts w:asciiTheme="majorEastAsia" w:eastAsiaTheme="majorEastAsia" w:hAnsiTheme="majorEastAsia" w:cs="黑体"/>
          <w:sz w:val="28"/>
          <w:szCs w:val="28"/>
        </w:rPr>
      </w:pPr>
      <w:r>
        <w:rPr>
          <w:rFonts w:asciiTheme="majorEastAsia" w:eastAsiaTheme="majorEastAsia" w:hAnsiTheme="majorEastAsia" w:cs="黑体" w:hint="eastAsia"/>
          <w:sz w:val="28"/>
          <w:szCs w:val="28"/>
        </w:rPr>
        <w:t>十、贯彻标准的要求和措施建议（包括组织措施、技术措施、过渡办法、实施日期等）</w:t>
      </w:r>
    </w:p>
    <w:p w:rsidR="001237E0" w:rsidRDefault="00000000">
      <w:pPr>
        <w:spacing w:line="600" w:lineRule="exact"/>
        <w:rPr>
          <w:rFonts w:ascii="Times New Roman" w:hAnsi="Times New Roman"/>
          <w:sz w:val="24"/>
          <w:szCs w:val="24"/>
          <w:lang w:val="zh-CN"/>
        </w:rPr>
      </w:pPr>
      <w:r>
        <w:rPr>
          <w:rFonts w:ascii="Times New Roman" w:hAnsi="Times New Roman" w:hint="eastAsia"/>
          <w:sz w:val="24"/>
          <w:szCs w:val="24"/>
        </w:rPr>
        <w:t xml:space="preserve">    </w:t>
      </w:r>
      <w:r>
        <w:rPr>
          <w:rFonts w:ascii="Times New Roman" w:hAnsi="Times New Roman"/>
          <w:sz w:val="24"/>
          <w:szCs w:val="24"/>
          <w:lang w:val="zh-CN"/>
        </w:rPr>
        <w:t>无。</w:t>
      </w:r>
    </w:p>
    <w:p w:rsidR="001237E0" w:rsidRDefault="00000000">
      <w:pPr>
        <w:pStyle w:val="2"/>
        <w:rPr>
          <w:rFonts w:asciiTheme="majorEastAsia" w:eastAsiaTheme="majorEastAsia" w:hAnsiTheme="majorEastAsia" w:cs="黑体"/>
          <w:sz w:val="28"/>
          <w:szCs w:val="28"/>
        </w:rPr>
      </w:pPr>
      <w:r>
        <w:rPr>
          <w:rFonts w:asciiTheme="majorEastAsia" w:eastAsiaTheme="majorEastAsia" w:hAnsiTheme="majorEastAsia" w:cs="黑体" w:hint="eastAsia"/>
          <w:sz w:val="28"/>
          <w:szCs w:val="28"/>
        </w:rPr>
        <w:t>十一、废止现行相关标准的建议</w:t>
      </w:r>
    </w:p>
    <w:p w:rsidR="001237E0" w:rsidRDefault="00000000">
      <w:pPr>
        <w:spacing w:line="600" w:lineRule="exact"/>
        <w:rPr>
          <w:rFonts w:ascii="黑体" w:eastAsia="黑体" w:hAnsi="黑体" w:cs="黑体"/>
          <w:b/>
          <w:bCs/>
          <w:sz w:val="24"/>
          <w:szCs w:val="24"/>
        </w:rPr>
      </w:pPr>
      <w:r>
        <w:rPr>
          <w:rFonts w:ascii="宋体" w:hAnsi="宋体" w:cs="宋体" w:hint="eastAsia"/>
          <w:szCs w:val="21"/>
        </w:rPr>
        <w:t xml:space="preserve">  </w:t>
      </w:r>
      <w:r>
        <w:rPr>
          <w:rFonts w:ascii="宋体" w:hAnsi="宋体" w:cs="宋体" w:hint="eastAsia"/>
          <w:sz w:val="24"/>
          <w:szCs w:val="24"/>
        </w:rPr>
        <w:t xml:space="preserve">  无。</w:t>
      </w:r>
    </w:p>
    <w:p w:rsidR="001237E0" w:rsidRDefault="00000000">
      <w:pPr>
        <w:pStyle w:val="2"/>
        <w:rPr>
          <w:rFonts w:asciiTheme="majorEastAsia" w:eastAsiaTheme="majorEastAsia" w:hAnsiTheme="majorEastAsia" w:cs="黑体"/>
          <w:sz w:val="28"/>
          <w:szCs w:val="28"/>
        </w:rPr>
      </w:pPr>
      <w:r>
        <w:rPr>
          <w:rFonts w:asciiTheme="majorEastAsia" w:eastAsiaTheme="majorEastAsia" w:hAnsiTheme="majorEastAsia" w:cs="黑体" w:hint="eastAsia"/>
          <w:sz w:val="28"/>
          <w:szCs w:val="28"/>
        </w:rPr>
        <w:t>十二、其他予以说明的事项</w:t>
      </w:r>
    </w:p>
    <w:p w:rsidR="001237E0" w:rsidRDefault="00000000">
      <w:pPr>
        <w:spacing w:line="600" w:lineRule="exact"/>
        <w:rPr>
          <w:rFonts w:ascii="宋体" w:hAnsi="宋体" w:cs="宋体"/>
          <w:sz w:val="24"/>
          <w:szCs w:val="24"/>
        </w:rPr>
      </w:pPr>
      <w:r>
        <w:rPr>
          <w:rFonts w:ascii="宋体" w:hAnsi="宋体" w:cs="宋体" w:hint="eastAsia"/>
          <w:szCs w:val="21"/>
        </w:rPr>
        <w:t xml:space="preserve">  </w:t>
      </w:r>
      <w:r>
        <w:rPr>
          <w:rFonts w:ascii="宋体" w:hAnsi="宋体" w:cs="宋体" w:hint="eastAsia"/>
          <w:sz w:val="24"/>
          <w:szCs w:val="24"/>
        </w:rPr>
        <w:t xml:space="preserve">  无。</w:t>
      </w:r>
    </w:p>
    <w:sectPr w:rsidR="001237E0">
      <w:headerReference w:type="default"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0DF5" w:rsidRDefault="00C10DF5">
      <w:r>
        <w:separator/>
      </w:r>
    </w:p>
  </w:endnote>
  <w:endnote w:type="continuationSeparator" w:id="0">
    <w:p w:rsidR="00C10DF5" w:rsidRDefault="00C1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37E0" w:rsidRDefault="00000000">
    <w:pPr>
      <w:pStyle w:val="af2"/>
      <w:jc w:val="center"/>
    </w:pPr>
    <w:r>
      <w:fldChar w:fldCharType="begin"/>
    </w:r>
    <w:r>
      <w:instrText>PAGE   \* MERGEFORMAT</w:instrText>
    </w:r>
    <w:r>
      <w:fldChar w:fldCharType="separate"/>
    </w:r>
    <w:r>
      <w:t>5</w:t>
    </w:r>
    <w:r>
      <w:fldChar w:fldCharType="end"/>
    </w:r>
  </w:p>
  <w:p w:rsidR="001237E0" w:rsidRDefault="001237E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0DF5" w:rsidRDefault="00C10DF5">
      <w:r>
        <w:separator/>
      </w:r>
    </w:p>
  </w:footnote>
  <w:footnote w:type="continuationSeparator" w:id="0">
    <w:p w:rsidR="00C10DF5" w:rsidRDefault="00C10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37E0" w:rsidRDefault="001237E0">
    <w:pPr>
      <w:ind w:lef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pPr>
        <w:ind w:left="1419" w:firstLine="0"/>
      </w:pPr>
      <w:rPr>
        <w:rFonts w:ascii="黑体" w:eastAsia="黑体" w:hAnsi="Times New Roman" w:hint="eastAsia"/>
        <w:b w:val="0"/>
        <w:i w:val="0"/>
        <w:sz w:val="21"/>
      </w:rPr>
    </w:lvl>
    <w:lvl w:ilvl="3">
      <w:start w:val="1"/>
      <w:numFmt w:val="decimal"/>
      <w:suff w:val="nothing"/>
      <w:lvlText w:val="%1.%2.%3.%4　"/>
      <w:lvlJc w:val="left"/>
      <w:pPr>
        <w:ind w:left="7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44C50F90"/>
    <w:multiLevelType w:val="multilevel"/>
    <w:tmpl w:val="44C50F90"/>
    <w:lvl w:ilvl="0">
      <w:start w:val="1"/>
      <w:numFmt w:val="lowerLetter"/>
      <w:pStyle w:val="a1"/>
      <w:lvlText w:val="%1)"/>
      <w:lvlJc w:val="left"/>
      <w:pPr>
        <w:tabs>
          <w:tab w:val="left" w:pos="851"/>
        </w:tabs>
        <w:ind w:left="851" w:hanging="426"/>
      </w:pPr>
      <w:rPr>
        <w:rFonts w:ascii="宋体" w:eastAsia="宋体" w:hAnsi="Times New Roman" w:hint="eastAsia"/>
        <w:sz w:val="21"/>
      </w:rPr>
    </w:lvl>
    <w:lvl w:ilvl="1">
      <w:start w:val="1"/>
      <w:numFmt w:val="decimal"/>
      <w:pStyle w:val="a2"/>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3"/>
      <w:suff w:val="nothing"/>
      <w:lvlText w:val="%1%2　"/>
      <w:lvlJc w:val="left"/>
      <w:pPr>
        <w:ind w:left="0" w:firstLine="0"/>
      </w:pPr>
      <w:rPr>
        <w:rFonts w:ascii="黑体" w:eastAsia="黑体" w:hint="eastAsia"/>
        <w:b w:val="0"/>
        <w:i w:val="0"/>
        <w:sz w:val="21"/>
      </w:rPr>
    </w:lvl>
    <w:lvl w:ilvl="2">
      <w:start w:val="1"/>
      <w:numFmt w:val="decimal"/>
      <w:pStyle w:val="a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color w:val="000000"/>
        <w:spacing w:val="0"/>
        <w:kern w:val="0"/>
        <w:position w:val="0"/>
        <w:sz w:val="21"/>
        <w:u w:val="none"/>
      </w:rPr>
    </w:lvl>
    <w:lvl w:ilvl="3">
      <w:start w:val="1"/>
      <w:numFmt w:val="decimal"/>
      <w:pStyle w:val="a5"/>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980106239">
    <w:abstractNumId w:val="1"/>
  </w:num>
  <w:num w:numId="2" w16cid:durableId="1650132446">
    <w:abstractNumId w:val="2"/>
  </w:num>
  <w:num w:numId="3" w16cid:durableId="3415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E2ZmIwNmJmZTI5ZWNhNTI3M2U2MzliNWE3ZmM3MWEifQ=="/>
  </w:docVars>
  <w:rsids>
    <w:rsidRoot w:val="00C07FD7"/>
    <w:rsid w:val="D68E3D55"/>
    <w:rsid w:val="DFDF394B"/>
    <w:rsid w:val="000125B6"/>
    <w:rsid w:val="00021860"/>
    <w:rsid w:val="00021AD1"/>
    <w:rsid w:val="00023888"/>
    <w:rsid w:val="00026950"/>
    <w:rsid w:val="00026A6A"/>
    <w:rsid w:val="000327DB"/>
    <w:rsid w:val="00032CEB"/>
    <w:rsid w:val="000342AE"/>
    <w:rsid w:val="00035ABD"/>
    <w:rsid w:val="00035D6A"/>
    <w:rsid w:val="00041DA0"/>
    <w:rsid w:val="0004323C"/>
    <w:rsid w:val="00043280"/>
    <w:rsid w:val="000445C2"/>
    <w:rsid w:val="00044EBD"/>
    <w:rsid w:val="00053DD0"/>
    <w:rsid w:val="00056E08"/>
    <w:rsid w:val="00060C0C"/>
    <w:rsid w:val="000746BA"/>
    <w:rsid w:val="00076F33"/>
    <w:rsid w:val="00091438"/>
    <w:rsid w:val="000929A1"/>
    <w:rsid w:val="00092EC0"/>
    <w:rsid w:val="00097BE9"/>
    <w:rsid w:val="000A0560"/>
    <w:rsid w:val="000A324F"/>
    <w:rsid w:val="000B0CCB"/>
    <w:rsid w:val="000B237C"/>
    <w:rsid w:val="000C3349"/>
    <w:rsid w:val="000C6A2D"/>
    <w:rsid w:val="000D17D0"/>
    <w:rsid w:val="000D4836"/>
    <w:rsid w:val="000D4CE1"/>
    <w:rsid w:val="000D7AD7"/>
    <w:rsid w:val="000E047B"/>
    <w:rsid w:val="000E2158"/>
    <w:rsid w:val="000F6655"/>
    <w:rsid w:val="00114B97"/>
    <w:rsid w:val="0012193A"/>
    <w:rsid w:val="001237E0"/>
    <w:rsid w:val="00131C05"/>
    <w:rsid w:val="001327F4"/>
    <w:rsid w:val="0013476B"/>
    <w:rsid w:val="00140FB8"/>
    <w:rsid w:val="00141B98"/>
    <w:rsid w:val="001446ED"/>
    <w:rsid w:val="00146EDD"/>
    <w:rsid w:val="00160328"/>
    <w:rsid w:val="00161356"/>
    <w:rsid w:val="00165275"/>
    <w:rsid w:val="00183189"/>
    <w:rsid w:val="00183CAA"/>
    <w:rsid w:val="00184D4C"/>
    <w:rsid w:val="00192421"/>
    <w:rsid w:val="00192C8B"/>
    <w:rsid w:val="00194207"/>
    <w:rsid w:val="001A424B"/>
    <w:rsid w:val="001A507A"/>
    <w:rsid w:val="001A72FB"/>
    <w:rsid w:val="001B4E14"/>
    <w:rsid w:val="001C3ED8"/>
    <w:rsid w:val="001C5231"/>
    <w:rsid w:val="001C55ED"/>
    <w:rsid w:val="001D038D"/>
    <w:rsid w:val="001E6353"/>
    <w:rsid w:val="001F266E"/>
    <w:rsid w:val="001F5976"/>
    <w:rsid w:val="001F7207"/>
    <w:rsid w:val="001F7AB4"/>
    <w:rsid w:val="002004B4"/>
    <w:rsid w:val="002004D0"/>
    <w:rsid w:val="00206A66"/>
    <w:rsid w:val="00210C5F"/>
    <w:rsid w:val="002145BD"/>
    <w:rsid w:val="00220EB9"/>
    <w:rsid w:val="00221BDC"/>
    <w:rsid w:val="00224108"/>
    <w:rsid w:val="00226544"/>
    <w:rsid w:val="00243479"/>
    <w:rsid w:val="00247ADE"/>
    <w:rsid w:val="00247BF2"/>
    <w:rsid w:val="002542CE"/>
    <w:rsid w:val="0026529F"/>
    <w:rsid w:val="00282694"/>
    <w:rsid w:val="00284FBA"/>
    <w:rsid w:val="00285508"/>
    <w:rsid w:val="002864C4"/>
    <w:rsid w:val="00292180"/>
    <w:rsid w:val="00293FB6"/>
    <w:rsid w:val="00294CF4"/>
    <w:rsid w:val="002A3B58"/>
    <w:rsid w:val="002A484B"/>
    <w:rsid w:val="002A6CD7"/>
    <w:rsid w:val="002B4C66"/>
    <w:rsid w:val="002C06C2"/>
    <w:rsid w:val="002C464D"/>
    <w:rsid w:val="002C4E91"/>
    <w:rsid w:val="002C769C"/>
    <w:rsid w:val="002E1DAF"/>
    <w:rsid w:val="002E2F23"/>
    <w:rsid w:val="002F02C5"/>
    <w:rsid w:val="002F3DF7"/>
    <w:rsid w:val="002F7CA0"/>
    <w:rsid w:val="0030109E"/>
    <w:rsid w:val="00307E6D"/>
    <w:rsid w:val="00310AD6"/>
    <w:rsid w:val="00311B24"/>
    <w:rsid w:val="00312657"/>
    <w:rsid w:val="00313D58"/>
    <w:rsid w:val="00316665"/>
    <w:rsid w:val="00316AEB"/>
    <w:rsid w:val="00317C9F"/>
    <w:rsid w:val="0034542C"/>
    <w:rsid w:val="00345489"/>
    <w:rsid w:val="00351087"/>
    <w:rsid w:val="003604FE"/>
    <w:rsid w:val="00371A8E"/>
    <w:rsid w:val="0037225A"/>
    <w:rsid w:val="003736A6"/>
    <w:rsid w:val="003770AF"/>
    <w:rsid w:val="00380C6C"/>
    <w:rsid w:val="003817FA"/>
    <w:rsid w:val="00381AA0"/>
    <w:rsid w:val="003823C7"/>
    <w:rsid w:val="003A084F"/>
    <w:rsid w:val="003A1A73"/>
    <w:rsid w:val="003A2E44"/>
    <w:rsid w:val="003B0E59"/>
    <w:rsid w:val="003B5A86"/>
    <w:rsid w:val="003C273A"/>
    <w:rsid w:val="003D40C4"/>
    <w:rsid w:val="003D52D5"/>
    <w:rsid w:val="003D587D"/>
    <w:rsid w:val="003D759D"/>
    <w:rsid w:val="003E7257"/>
    <w:rsid w:val="003F529A"/>
    <w:rsid w:val="003F5A3A"/>
    <w:rsid w:val="004001EF"/>
    <w:rsid w:val="00403C78"/>
    <w:rsid w:val="00411CCA"/>
    <w:rsid w:val="0042301F"/>
    <w:rsid w:val="00426380"/>
    <w:rsid w:val="00426D41"/>
    <w:rsid w:val="00433F0D"/>
    <w:rsid w:val="00453CFD"/>
    <w:rsid w:val="00454BA9"/>
    <w:rsid w:val="0046366A"/>
    <w:rsid w:val="00472477"/>
    <w:rsid w:val="00473EC6"/>
    <w:rsid w:val="00491AAF"/>
    <w:rsid w:val="00494341"/>
    <w:rsid w:val="00495729"/>
    <w:rsid w:val="004958A9"/>
    <w:rsid w:val="004A56F8"/>
    <w:rsid w:val="004B42FD"/>
    <w:rsid w:val="004B7CD3"/>
    <w:rsid w:val="004D035F"/>
    <w:rsid w:val="004D25D8"/>
    <w:rsid w:val="004D6719"/>
    <w:rsid w:val="004E142A"/>
    <w:rsid w:val="004E5B62"/>
    <w:rsid w:val="004F77A2"/>
    <w:rsid w:val="004F7B35"/>
    <w:rsid w:val="005023D2"/>
    <w:rsid w:val="00504D78"/>
    <w:rsid w:val="00514919"/>
    <w:rsid w:val="0052574F"/>
    <w:rsid w:val="0053279D"/>
    <w:rsid w:val="0054263F"/>
    <w:rsid w:val="005453CA"/>
    <w:rsid w:val="00547862"/>
    <w:rsid w:val="005517EF"/>
    <w:rsid w:val="00551D13"/>
    <w:rsid w:val="0055341B"/>
    <w:rsid w:val="00554865"/>
    <w:rsid w:val="00560931"/>
    <w:rsid w:val="00576B8F"/>
    <w:rsid w:val="00580A71"/>
    <w:rsid w:val="00581791"/>
    <w:rsid w:val="00587F37"/>
    <w:rsid w:val="00596C29"/>
    <w:rsid w:val="005A0A0F"/>
    <w:rsid w:val="005A7101"/>
    <w:rsid w:val="005B04B9"/>
    <w:rsid w:val="005D3277"/>
    <w:rsid w:val="005E1501"/>
    <w:rsid w:val="005E3C02"/>
    <w:rsid w:val="005F1579"/>
    <w:rsid w:val="005F2E08"/>
    <w:rsid w:val="005F79C2"/>
    <w:rsid w:val="00601078"/>
    <w:rsid w:val="00604FD1"/>
    <w:rsid w:val="00607AF6"/>
    <w:rsid w:val="00612AE7"/>
    <w:rsid w:val="00626486"/>
    <w:rsid w:val="00634184"/>
    <w:rsid w:val="00642FCC"/>
    <w:rsid w:val="00647254"/>
    <w:rsid w:val="00656F8B"/>
    <w:rsid w:val="00657FF9"/>
    <w:rsid w:val="00667F80"/>
    <w:rsid w:val="00670EC7"/>
    <w:rsid w:val="0067132A"/>
    <w:rsid w:val="006771EB"/>
    <w:rsid w:val="0068048B"/>
    <w:rsid w:val="00685DCF"/>
    <w:rsid w:val="00686FDF"/>
    <w:rsid w:val="006B265E"/>
    <w:rsid w:val="006B3A9B"/>
    <w:rsid w:val="006C06FD"/>
    <w:rsid w:val="006E04C4"/>
    <w:rsid w:val="006E6D06"/>
    <w:rsid w:val="0070016D"/>
    <w:rsid w:val="007030BB"/>
    <w:rsid w:val="007109C3"/>
    <w:rsid w:val="00713107"/>
    <w:rsid w:val="007201B7"/>
    <w:rsid w:val="00721E6D"/>
    <w:rsid w:val="007320F6"/>
    <w:rsid w:val="00735D69"/>
    <w:rsid w:val="0073722A"/>
    <w:rsid w:val="0074014F"/>
    <w:rsid w:val="00740307"/>
    <w:rsid w:val="00741613"/>
    <w:rsid w:val="007425D3"/>
    <w:rsid w:val="00752B3F"/>
    <w:rsid w:val="007638AD"/>
    <w:rsid w:val="007646B5"/>
    <w:rsid w:val="007731CB"/>
    <w:rsid w:val="00775364"/>
    <w:rsid w:val="007763BD"/>
    <w:rsid w:val="00781EEC"/>
    <w:rsid w:val="00782CFC"/>
    <w:rsid w:val="00783699"/>
    <w:rsid w:val="00792363"/>
    <w:rsid w:val="007932EA"/>
    <w:rsid w:val="007A0FB8"/>
    <w:rsid w:val="007A282E"/>
    <w:rsid w:val="007A39E9"/>
    <w:rsid w:val="007B25F6"/>
    <w:rsid w:val="007B6B4B"/>
    <w:rsid w:val="007B75E0"/>
    <w:rsid w:val="007C53A8"/>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723B"/>
    <w:rsid w:val="008261D3"/>
    <w:rsid w:val="00834EAE"/>
    <w:rsid w:val="00840377"/>
    <w:rsid w:val="0085109D"/>
    <w:rsid w:val="008652F1"/>
    <w:rsid w:val="008A1B7C"/>
    <w:rsid w:val="008A4BB3"/>
    <w:rsid w:val="008B5921"/>
    <w:rsid w:val="008B5D3C"/>
    <w:rsid w:val="008B6F36"/>
    <w:rsid w:val="008C2741"/>
    <w:rsid w:val="008D51C7"/>
    <w:rsid w:val="008F1A3F"/>
    <w:rsid w:val="00904D19"/>
    <w:rsid w:val="0091049B"/>
    <w:rsid w:val="00911E72"/>
    <w:rsid w:val="009123EA"/>
    <w:rsid w:val="00915B37"/>
    <w:rsid w:val="00916365"/>
    <w:rsid w:val="009303E4"/>
    <w:rsid w:val="0094073D"/>
    <w:rsid w:val="00950997"/>
    <w:rsid w:val="00951150"/>
    <w:rsid w:val="0096265C"/>
    <w:rsid w:val="009649D1"/>
    <w:rsid w:val="00971FFA"/>
    <w:rsid w:val="009729E2"/>
    <w:rsid w:val="00980CC7"/>
    <w:rsid w:val="00983CE9"/>
    <w:rsid w:val="009909D4"/>
    <w:rsid w:val="009910D3"/>
    <w:rsid w:val="00993015"/>
    <w:rsid w:val="00997646"/>
    <w:rsid w:val="009D2B32"/>
    <w:rsid w:val="009D5316"/>
    <w:rsid w:val="009D539D"/>
    <w:rsid w:val="009D5E09"/>
    <w:rsid w:val="009D659E"/>
    <w:rsid w:val="009E3906"/>
    <w:rsid w:val="009E3D3C"/>
    <w:rsid w:val="009E541C"/>
    <w:rsid w:val="009F2FFA"/>
    <w:rsid w:val="009F4E4B"/>
    <w:rsid w:val="009F538F"/>
    <w:rsid w:val="00A00A02"/>
    <w:rsid w:val="00A03AE0"/>
    <w:rsid w:val="00A10C43"/>
    <w:rsid w:val="00A218BA"/>
    <w:rsid w:val="00A33203"/>
    <w:rsid w:val="00A4359C"/>
    <w:rsid w:val="00A43FDA"/>
    <w:rsid w:val="00A45735"/>
    <w:rsid w:val="00A55416"/>
    <w:rsid w:val="00A577E2"/>
    <w:rsid w:val="00A62621"/>
    <w:rsid w:val="00A65029"/>
    <w:rsid w:val="00A73B4E"/>
    <w:rsid w:val="00A76F83"/>
    <w:rsid w:val="00A854F6"/>
    <w:rsid w:val="00A855B9"/>
    <w:rsid w:val="00A9442A"/>
    <w:rsid w:val="00AA02D0"/>
    <w:rsid w:val="00AA1F60"/>
    <w:rsid w:val="00AB29A6"/>
    <w:rsid w:val="00AC2761"/>
    <w:rsid w:val="00AD128C"/>
    <w:rsid w:val="00AD3B06"/>
    <w:rsid w:val="00AF29E8"/>
    <w:rsid w:val="00AF2FC0"/>
    <w:rsid w:val="00B03E6A"/>
    <w:rsid w:val="00B0432B"/>
    <w:rsid w:val="00B04431"/>
    <w:rsid w:val="00B05335"/>
    <w:rsid w:val="00B07968"/>
    <w:rsid w:val="00B15090"/>
    <w:rsid w:val="00B223D8"/>
    <w:rsid w:val="00B227F6"/>
    <w:rsid w:val="00B363A1"/>
    <w:rsid w:val="00B40259"/>
    <w:rsid w:val="00B5376B"/>
    <w:rsid w:val="00B67B85"/>
    <w:rsid w:val="00B710A0"/>
    <w:rsid w:val="00B90740"/>
    <w:rsid w:val="00B94948"/>
    <w:rsid w:val="00BA1248"/>
    <w:rsid w:val="00BB392C"/>
    <w:rsid w:val="00BC2A58"/>
    <w:rsid w:val="00BC463B"/>
    <w:rsid w:val="00BC4820"/>
    <w:rsid w:val="00BD2A6B"/>
    <w:rsid w:val="00BE01BA"/>
    <w:rsid w:val="00BE06D9"/>
    <w:rsid w:val="00BF3D86"/>
    <w:rsid w:val="00BF5FAB"/>
    <w:rsid w:val="00C02B99"/>
    <w:rsid w:val="00C0676C"/>
    <w:rsid w:val="00C06773"/>
    <w:rsid w:val="00C07FD7"/>
    <w:rsid w:val="00C10DF5"/>
    <w:rsid w:val="00C1489F"/>
    <w:rsid w:val="00C24F5C"/>
    <w:rsid w:val="00C27F6A"/>
    <w:rsid w:val="00C303B6"/>
    <w:rsid w:val="00C35947"/>
    <w:rsid w:val="00C35DF7"/>
    <w:rsid w:val="00C43FDE"/>
    <w:rsid w:val="00C5112C"/>
    <w:rsid w:val="00C63018"/>
    <w:rsid w:val="00C63B25"/>
    <w:rsid w:val="00C70BED"/>
    <w:rsid w:val="00C75F50"/>
    <w:rsid w:val="00C76244"/>
    <w:rsid w:val="00C82E2D"/>
    <w:rsid w:val="00C85261"/>
    <w:rsid w:val="00CA6EBE"/>
    <w:rsid w:val="00CB00C4"/>
    <w:rsid w:val="00CB125C"/>
    <w:rsid w:val="00CC70B8"/>
    <w:rsid w:val="00CC7860"/>
    <w:rsid w:val="00CD43CB"/>
    <w:rsid w:val="00CD6C9A"/>
    <w:rsid w:val="00CF074D"/>
    <w:rsid w:val="00CF5406"/>
    <w:rsid w:val="00D108F4"/>
    <w:rsid w:val="00D17521"/>
    <w:rsid w:val="00D200D6"/>
    <w:rsid w:val="00D20E90"/>
    <w:rsid w:val="00D23634"/>
    <w:rsid w:val="00D24E58"/>
    <w:rsid w:val="00D45ECB"/>
    <w:rsid w:val="00D7033C"/>
    <w:rsid w:val="00D84706"/>
    <w:rsid w:val="00D85F2C"/>
    <w:rsid w:val="00D86FBA"/>
    <w:rsid w:val="00D90933"/>
    <w:rsid w:val="00DA2F01"/>
    <w:rsid w:val="00DB0013"/>
    <w:rsid w:val="00DB3454"/>
    <w:rsid w:val="00DB4AD5"/>
    <w:rsid w:val="00DC3630"/>
    <w:rsid w:val="00DD718B"/>
    <w:rsid w:val="00DD7EBE"/>
    <w:rsid w:val="00DE2825"/>
    <w:rsid w:val="00DF5125"/>
    <w:rsid w:val="00DF6A53"/>
    <w:rsid w:val="00DF6A54"/>
    <w:rsid w:val="00E00C17"/>
    <w:rsid w:val="00E025A9"/>
    <w:rsid w:val="00E03D57"/>
    <w:rsid w:val="00E07DFE"/>
    <w:rsid w:val="00E11A6F"/>
    <w:rsid w:val="00E166E6"/>
    <w:rsid w:val="00E1672C"/>
    <w:rsid w:val="00E42B81"/>
    <w:rsid w:val="00E47E34"/>
    <w:rsid w:val="00E50118"/>
    <w:rsid w:val="00E56F40"/>
    <w:rsid w:val="00E72BD3"/>
    <w:rsid w:val="00E74BFC"/>
    <w:rsid w:val="00E75D8B"/>
    <w:rsid w:val="00E77999"/>
    <w:rsid w:val="00E95999"/>
    <w:rsid w:val="00EA4114"/>
    <w:rsid w:val="00EA7644"/>
    <w:rsid w:val="00EB1602"/>
    <w:rsid w:val="00EB46D7"/>
    <w:rsid w:val="00EC5B9D"/>
    <w:rsid w:val="00ED545D"/>
    <w:rsid w:val="00EE0B00"/>
    <w:rsid w:val="00EE33A6"/>
    <w:rsid w:val="00F34E25"/>
    <w:rsid w:val="00F3640C"/>
    <w:rsid w:val="00F3754A"/>
    <w:rsid w:val="00F46547"/>
    <w:rsid w:val="00F50275"/>
    <w:rsid w:val="00F5148D"/>
    <w:rsid w:val="00F51C56"/>
    <w:rsid w:val="00F52715"/>
    <w:rsid w:val="00F61FAD"/>
    <w:rsid w:val="00F64A7B"/>
    <w:rsid w:val="00F82FB7"/>
    <w:rsid w:val="00F842D4"/>
    <w:rsid w:val="00F9244E"/>
    <w:rsid w:val="00F937EE"/>
    <w:rsid w:val="00F96C35"/>
    <w:rsid w:val="00FB4480"/>
    <w:rsid w:val="00FD0271"/>
    <w:rsid w:val="00FD4FE4"/>
    <w:rsid w:val="00FE1150"/>
    <w:rsid w:val="00FE3DBE"/>
    <w:rsid w:val="00FF1806"/>
    <w:rsid w:val="00FF4757"/>
    <w:rsid w:val="00FF5E2B"/>
    <w:rsid w:val="00FF60E8"/>
    <w:rsid w:val="010529A1"/>
    <w:rsid w:val="015D78C2"/>
    <w:rsid w:val="01F8525A"/>
    <w:rsid w:val="025A548B"/>
    <w:rsid w:val="0267744B"/>
    <w:rsid w:val="032B7CCC"/>
    <w:rsid w:val="03C47A3D"/>
    <w:rsid w:val="03EF27C8"/>
    <w:rsid w:val="03F3608F"/>
    <w:rsid w:val="03F73430"/>
    <w:rsid w:val="044D4541"/>
    <w:rsid w:val="04B406C8"/>
    <w:rsid w:val="051A11D0"/>
    <w:rsid w:val="055B54AE"/>
    <w:rsid w:val="05B71053"/>
    <w:rsid w:val="07282BD2"/>
    <w:rsid w:val="073525D0"/>
    <w:rsid w:val="07933427"/>
    <w:rsid w:val="07BE0EAF"/>
    <w:rsid w:val="084D6DC9"/>
    <w:rsid w:val="08591C04"/>
    <w:rsid w:val="08C30585"/>
    <w:rsid w:val="090215F0"/>
    <w:rsid w:val="091229C5"/>
    <w:rsid w:val="093B6561"/>
    <w:rsid w:val="094B1189"/>
    <w:rsid w:val="09FF031A"/>
    <w:rsid w:val="0A95328F"/>
    <w:rsid w:val="0A9E3E3B"/>
    <w:rsid w:val="0AA00011"/>
    <w:rsid w:val="0B090D2C"/>
    <w:rsid w:val="0B9567CA"/>
    <w:rsid w:val="0C7A2535"/>
    <w:rsid w:val="0C7A6ED4"/>
    <w:rsid w:val="0D1C75CD"/>
    <w:rsid w:val="0D5F0B5D"/>
    <w:rsid w:val="0EE86A55"/>
    <w:rsid w:val="10DF406E"/>
    <w:rsid w:val="11926D8D"/>
    <w:rsid w:val="11E90053"/>
    <w:rsid w:val="12BF58FF"/>
    <w:rsid w:val="12F24C1A"/>
    <w:rsid w:val="13176148"/>
    <w:rsid w:val="13760D4E"/>
    <w:rsid w:val="13767950"/>
    <w:rsid w:val="14147A3B"/>
    <w:rsid w:val="15020CA3"/>
    <w:rsid w:val="155D62E6"/>
    <w:rsid w:val="16035571"/>
    <w:rsid w:val="162639CD"/>
    <w:rsid w:val="16436BBB"/>
    <w:rsid w:val="16BB474E"/>
    <w:rsid w:val="180E1119"/>
    <w:rsid w:val="18393541"/>
    <w:rsid w:val="18A176F2"/>
    <w:rsid w:val="18A500EF"/>
    <w:rsid w:val="18C35161"/>
    <w:rsid w:val="195D7E33"/>
    <w:rsid w:val="198552B3"/>
    <w:rsid w:val="19970503"/>
    <w:rsid w:val="19C27D7F"/>
    <w:rsid w:val="1B002FFA"/>
    <w:rsid w:val="1B9907D4"/>
    <w:rsid w:val="1BE76BEB"/>
    <w:rsid w:val="1C0C749B"/>
    <w:rsid w:val="1C2A1FFA"/>
    <w:rsid w:val="1D4460EE"/>
    <w:rsid w:val="1D7D286E"/>
    <w:rsid w:val="1D7F2551"/>
    <w:rsid w:val="1DD31238"/>
    <w:rsid w:val="1F417CF9"/>
    <w:rsid w:val="1F6736C2"/>
    <w:rsid w:val="1F783185"/>
    <w:rsid w:val="2071095A"/>
    <w:rsid w:val="20840C8E"/>
    <w:rsid w:val="208D6BBB"/>
    <w:rsid w:val="21D7460A"/>
    <w:rsid w:val="2216145C"/>
    <w:rsid w:val="223649D8"/>
    <w:rsid w:val="22A45836"/>
    <w:rsid w:val="22B34C76"/>
    <w:rsid w:val="23027041"/>
    <w:rsid w:val="237A0EA4"/>
    <w:rsid w:val="238C742E"/>
    <w:rsid w:val="23A75EEF"/>
    <w:rsid w:val="24481FE0"/>
    <w:rsid w:val="248764B8"/>
    <w:rsid w:val="24BC14A0"/>
    <w:rsid w:val="259768C4"/>
    <w:rsid w:val="25F36AC0"/>
    <w:rsid w:val="26177B96"/>
    <w:rsid w:val="26A45E4D"/>
    <w:rsid w:val="26D20B6F"/>
    <w:rsid w:val="272711D4"/>
    <w:rsid w:val="27533EE6"/>
    <w:rsid w:val="29417347"/>
    <w:rsid w:val="29A852E1"/>
    <w:rsid w:val="29EB4EC7"/>
    <w:rsid w:val="2A2F41FE"/>
    <w:rsid w:val="2A4D3368"/>
    <w:rsid w:val="2A721FF8"/>
    <w:rsid w:val="2B187193"/>
    <w:rsid w:val="2B2C3011"/>
    <w:rsid w:val="2B59385C"/>
    <w:rsid w:val="2B882FE3"/>
    <w:rsid w:val="2BFE0E57"/>
    <w:rsid w:val="2CF74318"/>
    <w:rsid w:val="2CFB12C0"/>
    <w:rsid w:val="2E060545"/>
    <w:rsid w:val="2E1F36AF"/>
    <w:rsid w:val="2FFC7C4A"/>
    <w:rsid w:val="30305AEA"/>
    <w:rsid w:val="304B257B"/>
    <w:rsid w:val="30B0524B"/>
    <w:rsid w:val="30B11B46"/>
    <w:rsid w:val="31EB4AD1"/>
    <w:rsid w:val="324C2EAE"/>
    <w:rsid w:val="32D166F5"/>
    <w:rsid w:val="33152293"/>
    <w:rsid w:val="339F6C4E"/>
    <w:rsid w:val="33DA06F7"/>
    <w:rsid w:val="340F48FC"/>
    <w:rsid w:val="34265515"/>
    <w:rsid w:val="343C1419"/>
    <w:rsid w:val="34AF2C20"/>
    <w:rsid w:val="34C11256"/>
    <w:rsid w:val="35031581"/>
    <w:rsid w:val="351202FF"/>
    <w:rsid w:val="351647A5"/>
    <w:rsid w:val="35BC388F"/>
    <w:rsid w:val="3609360F"/>
    <w:rsid w:val="361B04A0"/>
    <w:rsid w:val="365C6355"/>
    <w:rsid w:val="36646E1F"/>
    <w:rsid w:val="36825C5E"/>
    <w:rsid w:val="36C55F68"/>
    <w:rsid w:val="37265173"/>
    <w:rsid w:val="37D35893"/>
    <w:rsid w:val="383E4EC8"/>
    <w:rsid w:val="385A6D44"/>
    <w:rsid w:val="386A7099"/>
    <w:rsid w:val="389337B6"/>
    <w:rsid w:val="393E24A6"/>
    <w:rsid w:val="39A560B6"/>
    <w:rsid w:val="3AA14BDA"/>
    <w:rsid w:val="3B267C8A"/>
    <w:rsid w:val="3BC86EC9"/>
    <w:rsid w:val="3BE6368D"/>
    <w:rsid w:val="3C523343"/>
    <w:rsid w:val="3C772F67"/>
    <w:rsid w:val="3C890106"/>
    <w:rsid w:val="3D1651F0"/>
    <w:rsid w:val="3D4D254F"/>
    <w:rsid w:val="3D6B1A8C"/>
    <w:rsid w:val="3DED4844"/>
    <w:rsid w:val="3E712FA9"/>
    <w:rsid w:val="3EBE5E7C"/>
    <w:rsid w:val="3F5F3197"/>
    <w:rsid w:val="3FAD462D"/>
    <w:rsid w:val="3FEC7CB4"/>
    <w:rsid w:val="40687AEB"/>
    <w:rsid w:val="40DC4C45"/>
    <w:rsid w:val="40DF6FA1"/>
    <w:rsid w:val="41327A97"/>
    <w:rsid w:val="41922BF1"/>
    <w:rsid w:val="41A20AF6"/>
    <w:rsid w:val="4218487C"/>
    <w:rsid w:val="42486ADC"/>
    <w:rsid w:val="426E4241"/>
    <w:rsid w:val="42F1542D"/>
    <w:rsid w:val="43085A8E"/>
    <w:rsid w:val="43251536"/>
    <w:rsid w:val="43CF576B"/>
    <w:rsid w:val="43D766A6"/>
    <w:rsid w:val="44167D7E"/>
    <w:rsid w:val="445E5402"/>
    <w:rsid w:val="446C1C00"/>
    <w:rsid w:val="44774F25"/>
    <w:rsid w:val="4479634B"/>
    <w:rsid w:val="45841D41"/>
    <w:rsid w:val="458D7872"/>
    <w:rsid w:val="45A80E29"/>
    <w:rsid w:val="46387E1F"/>
    <w:rsid w:val="465E0411"/>
    <w:rsid w:val="46633C2B"/>
    <w:rsid w:val="46CB1754"/>
    <w:rsid w:val="46E771D4"/>
    <w:rsid w:val="47170634"/>
    <w:rsid w:val="47B411D0"/>
    <w:rsid w:val="47C066CC"/>
    <w:rsid w:val="47D55B81"/>
    <w:rsid w:val="48B6365C"/>
    <w:rsid w:val="48C64ECB"/>
    <w:rsid w:val="48FB6A8F"/>
    <w:rsid w:val="493A6E76"/>
    <w:rsid w:val="497F6E31"/>
    <w:rsid w:val="499D3D96"/>
    <w:rsid w:val="49C778F0"/>
    <w:rsid w:val="49DF1C3F"/>
    <w:rsid w:val="4A7207A7"/>
    <w:rsid w:val="4AA27F9B"/>
    <w:rsid w:val="4AE47C47"/>
    <w:rsid w:val="4B32363B"/>
    <w:rsid w:val="4B667B2B"/>
    <w:rsid w:val="4B735DE7"/>
    <w:rsid w:val="4BC3729A"/>
    <w:rsid w:val="4BF23E4F"/>
    <w:rsid w:val="4C4607DA"/>
    <w:rsid w:val="4CFF6B43"/>
    <w:rsid w:val="4D4675DD"/>
    <w:rsid w:val="4D6466CB"/>
    <w:rsid w:val="4E092FFA"/>
    <w:rsid w:val="4EF1621C"/>
    <w:rsid w:val="4F523FD7"/>
    <w:rsid w:val="4F7D08F7"/>
    <w:rsid w:val="50016AC2"/>
    <w:rsid w:val="50123898"/>
    <w:rsid w:val="50427E43"/>
    <w:rsid w:val="51AB68BB"/>
    <w:rsid w:val="51BE3532"/>
    <w:rsid w:val="52A73009"/>
    <w:rsid w:val="52D46729"/>
    <w:rsid w:val="530024DC"/>
    <w:rsid w:val="53194738"/>
    <w:rsid w:val="53836818"/>
    <w:rsid w:val="53DA11A0"/>
    <w:rsid w:val="53E32E8A"/>
    <w:rsid w:val="54915BA9"/>
    <w:rsid w:val="54C2402E"/>
    <w:rsid w:val="564B6B63"/>
    <w:rsid w:val="56514C21"/>
    <w:rsid w:val="567345E6"/>
    <w:rsid w:val="568E367B"/>
    <w:rsid w:val="56A70A5C"/>
    <w:rsid w:val="570B3917"/>
    <w:rsid w:val="5749021F"/>
    <w:rsid w:val="5779299C"/>
    <w:rsid w:val="57AB43F8"/>
    <w:rsid w:val="57D85739"/>
    <w:rsid w:val="580F3D30"/>
    <w:rsid w:val="58221A49"/>
    <w:rsid w:val="58B42698"/>
    <w:rsid w:val="592D575A"/>
    <w:rsid w:val="596407D3"/>
    <w:rsid w:val="5A573610"/>
    <w:rsid w:val="5B6F6F42"/>
    <w:rsid w:val="5B825CAE"/>
    <w:rsid w:val="5B9B4131"/>
    <w:rsid w:val="5BEF6CB4"/>
    <w:rsid w:val="5C476F4F"/>
    <w:rsid w:val="5C9748E3"/>
    <w:rsid w:val="5CBC6CD8"/>
    <w:rsid w:val="5CD740E4"/>
    <w:rsid w:val="5DB7078B"/>
    <w:rsid w:val="5DC015CE"/>
    <w:rsid w:val="5E0B66F4"/>
    <w:rsid w:val="5E7D3DE6"/>
    <w:rsid w:val="5EE83FD6"/>
    <w:rsid w:val="5F093E9D"/>
    <w:rsid w:val="5F8C425B"/>
    <w:rsid w:val="6045177F"/>
    <w:rsid w:val="60F308EF"/>
    <w:rsid w:val="6176717E"/>
    <w:rsid w:val="61A76DC0"/>
    <w:rsid w:val="62186AF3"/>
    <w:rsid w:val="62492AD7"/>
    <w:rsid w:val="62A10B56"/>
    <w:rsid w:val="62BB5C43"/>
    <w:rsid w:val="63653051"/>
    <w:rsid w:val="63737A74"/>
    <w:rsid w:val="637A6826"/>
    <w:rsid w:val="639C2195"/>
    <w:rsid w:val="645B0D09"/>
    <w:rsid w:val="658028C9"/>
    <w:rsid w:val="66116ABA"/>
    <w:rsid w:val="665373D5"/>
    <w:rsid w:val="665A00E6"/>
    <w:rsid w:val="66924654"/>
    <w:rsid w:val="66C1218C"/>
    <w:rsid w:val="66DF3DF0"/>
    <w:rsid w:val="677B141F"/>
    <w:rsid w:val="67FB3499"/>
    <w:rsid w:val="68467EA7"/>
    <w:rsid w:val="6A2C74F0"/>
    <w:rsid w:val="6A613793"/>
    <w:rsid w:val="6AAB298E"/>
    <w:rsid w:val="6ABE6410"/>
    <w:rsid w:val="6B8D4C87"/>
    <w:rsid w:val="6C2E17BA"/>
    <w:rsid w:val="6D48513C"/>
    <w:rsid w:val="6D762C20"/>
    <w:rsid w:val="6E1950F6"/>
    <w:rsid w:val="6E310AD8"/>
    <w:rsid w:val="6E940B7A"/>
    <w:rsid w:val="703A272E"/>
    <w:rsid w:val="717C721C"/>
    <w:rsid w:val="719566D4"/>
    <w:rsid w:val="72294B2F"/>
    <w:rsid w:val="74D06A77"/>
    <w:rsid w:val="75065DB7"/>
    <w:rsid w:val="76CC29FB"/>
    <w:rsid w:val="770F35FE"/>
    <w:rsid w:val="777B5002"/>
    <w:rsid w:val="78477BB6"/>
    <w:rsid w:val="785A5B03"/>
    <w:rsid w:val="79C4024E"/>
    <w:rsid w:val="79FC265D"/>
    <w:rsid w:val="7ABE4CD1"/>
    <w:rsid w:val="7AFE606B"/>
    <w:rsid w:val="7B5254FB"/>
    <w:rsid w:val="7B5935FD"/>
    <w:rsid w:val="7BB27F43"/>
    <w:rsid w:val="7BB72EDA"/>
    <w:rsid w:val="7BDB6CDC"/>
    <w:rsid w:val="7C340505"/>
    <w:rsid w:val="7C471EE4"/>
    <w:rsid w:val="7CEF2CDE"/>
    <w:rsid w:val="7D4635B2"/>
    <w:rsid w:val="7D64173C"/>
    <w:rsid w:val="7D777A3E"/>
    <w:rsid w:val="7DFC1F91"/>
    <w:rsid w:val="7E0916DD"/>
    <w:rsid w:val="7E405882"/>
    <w:rsid w:val="7EA254FE"/>
    <w:rsid w:val="7EA8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DA88AB"/>
  <w15:docId w15:val="{FFA7B137-9DD0-4EB5-90A7-B090E075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uiPriority="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semiHidden="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autoRedefine/>
    <w:qFormat/>
    <w:pPr>
      <w:widowControl w:val="0"/>
      <w:jc w:val="both"/>
    </w:pPr>
    <w:rPr>
      <w:kern w:val="2"/>
      <w:sz w:val="21"/>
      <w:szCs w:val="22"/>
    </w:rPr>
  </w:style>
  <w:style w:type="paragraph" w:styleId="1">
    <w:name w:val="heading 1"/>
    <w:basedOn w:val="a6"/>
    <w:next w:val="a6"/>
    <w:link w:val="10"/>
    <w:uiPriority w:val="99"/>
    <w:qFormat/>
    <w:pPr>
      <w:keepNext/>
      <w:keepLines/>
      <w:spacing w:before="340" w:after="330" w:line="578" w:lineRule="auto"/>
      <w:outlineLvl w:val="0"/>
    </w:pPr>
    <w:rPr>
      <w:b/>
      <w:bCs/>
      <w:kern w:val="44"/>
      <w:sz w:val="44"/>
      <w:szCs w:val="44"/>
    </w:rPr>
  </w:style>
  <w:style w:type="paragraph" w:styleId="2">
    <w:name w:val="heading 2"/>
    <w:basedOn w:val="a6"/>
    <w:next w:val="a6"/>
    <w:link w:val="20"/>
    <w:uiPriority w:val="99"/>
    <w:qFormat/>
    <w:pPr>
      <w:keepNext/>
      <w:keepLines/>
      <w:spacing w:before="260" w:after="260" w:line="416" w:lineRule="auto"/>
      <w:outlineLvl w:val="1"/>
    </w:pPr>
    <w:rPr>
      <w:rFonts w:ascii="Cambria" w:hAnsi="Cambria"/>
      <w:b/>
      <w:bCs/>
      <w:kern w:val="0"/>
      <w:sz w:val="32"/>
      <w:szCs w:val="32"/>
    </w:rPr>
  </w:style>
  <w:style w:type="paragraph" w:styleId="3">
    <w:name w:val="heading 3"/>
    <w:basedOn w:val="a6"/>
    <w:next w:val="a6"/>
    <w:link w:val="30"/>
    <w:autoRedefine/>
    <w:uiPriority w:val="99"/>
    <w:qFormat/>
    <w:pPr>
      <w:keepNext/>
      <w:keepLines/>
      <w:spacing w:before="260" w:after="260" w:line="416" w:lineRule="auto"/>
      <w:outlineLvl w:val="2"/>
    </w:pPr>
    <w:rPr>
      <w:rFonts w:asciiTheme="majorEastAsia" w:eastAsiaTheme="majorEastAsia" w:hAnsiTheme="majorEastAsia" w:cs="黑体"/>
      <w:b/>
      <w:bCs/>
      <w:kern w:val="0"/>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annotation text"/>
    <w:basedOn w:val="a6"/>
    <w:link w:val="ab"/>
    <w:uiPriority w:val="99"/>
    <w:semiHidden/>
    <w:qFormat/>
    <w:pPr>
      <w:jc w:val="left"/>
    </w:pPr>
    <w:rPr>
      <w:kern w:val="0"/>
      <w:sz w:val="20"/>
      <w:szCs w:val="21"/>
    </w:rPr>
  </w:style>
  <w:style w:type="paragraph" w:styleId="ac">
    <w:name w:val="Body Text"/>
    <w:basedOn w:val="a6"/>
    <w:link w:val="ad"/>
    <w:autoRedefine/>
    <w:uiPriority w:val="1"/>
    <w:qFormat/>
    <w:locked/>
    <w:pPr>
      <w:autoSpaceDE w:val="0"/>
      <w:autoSpaceDN w:val="0"/>
      <w:jc w:val="left"/>
    </w:pPr>
    <w:rPr>
      <w:rFonts w:ascii="宋体" w:hAnsi="宋体" w:cs="宋体"/>
      <w:kern w:val="0"/>
      <w:szCs w:val="21"/>
    </w:rPr>
  </w:style>
  <w:style w:type="paragraph" w:styleId="ae">
    <w:name w:val="Date"/>
    <w:basedOn w:val="a6"/>
    <w:next w:val="a6"/>
    <w:link w:val="af"/>
    <w:uiPriority w:val="99"/>
    <w:semiHidden/>
    <w:qFormat/>
    <w:pPr>
      <w:ind w:leftChars="2500" w:left="100"/>
    </w:pPr>
  </w:style>
  <w:style w:type="paragraph" w:styleId="af0">
    <w:name w:val="Balloon Text"/>
    <w:basedOn w:val="a6"/>
    <w:link w:val="af1"/>
    <w:uiPriority w:val="99"/>
    <w:semiHidden/>
    <w:qFormat/>
    <w:rPr>
      <w:kern w:val="0"/>
      <w:sz w:val="18"/>
      <w:szCs w:val="18"/>
    </w:rPr>
  </w:style>
  <w:style w:type="paragraph" w:styleId="af2">
    <w:name w:val="footer"/>
    <w:basedOn w:val="a6"/>
    <w:link w:val="af3"/>
    <w:autoRedefine/>
    <w:uiPriority w:val="99"/>
    <w:qFormat/>
    <w:pPr>
      <w:tabs>
        <w:tab w:val="center" w:pos="4153"/>
        <w:tab w:val="right" w:pos="8306"/>
      </w:tabs>
      <w:snapToGrid w:val="0"/>
      <w:jc w:val="left"/>
    </w:pPr>
    <w:rPr>
      <w:kern w:val="0"/>
      <w:sz w:val="18"/>
      <w:szCs w:val="18"/>
    </w:rPr>
  </w:style>
  <w:style w:type="paragraph" w:styleId="af4">
    <w:name w:val="header"/>
    <w:basedOn w:val="a6"/>
    <w:link w:val="af5"/>
    <w:autoRedefine/>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6"/>
    <w:next w:val="a6"/>
    <w:uiPriority w:val="99"/>
    <w:qFormat/>
    <w:pPr>
      <w:tabs>
        <w:tab w:val="right" w:leader="dot" w:pos="9241"/>
      </w:tabs>
      <w:spacing w:beforeLines="25" w:afterLines="25"/>
      <w:jc w:val="left"/>
    </w:pPr>
    <w:rPr>
      <w:rFonts w:ascii="宋体"/>
      <w:szCs w:val="21"/>
    </w:rPr>
  </w:style>
  <w:style w:type="paragraph" w:styleId="TOC2">
    <w:name w:val="toc 2"/>
    <w:basedOn w:val="a6"/>
    <w:next w:val="a6"/>
    <w:autoRedefine/>
    <w:uiPriority w:val="99"/>
    <w:qFormat/>
    <w:pPr>
      <w:tabs>
        <w:tab w:val="right" w:leader="dot" w:pos="9241"/>
      </w:tabs>
    </w:pPr>
    <w:rPr>
      <w:rFonts w:ascii="宋体"/>
      <w:szCs w:val="21"/>
    </w:rPr>
  </w:style>
  <w:style w:type="paragraph" w:styleId="af6">
    <w:name w:val="Normal (Web)"/>
    <w:basedOn w:val="a6"/>
    <w:autoRedefine/>
    <w:uiPriority w:val="99"/>
    <w:qFormat/>
    <w:pPr>
      <w:widowControl/>
      <w:spacing w:before="100" w:beforeAutospacing="1" w:after="100" w:afterAutospacing="1"/>
      <w:jc w:val="left"/>
    </w:pPr>
    <w:rPr>
      <w:rFonts w:ascii="宋体" w:hAnsi="宋体" w:cs="宋体"/>
      <w:kern w:val="0"/>
      <w:sz w:val="24"/>
      <w:szCs w:val="24"/>
    </w:rPr>
  </w:style>
  <w:style w:type="character" w:styleId="af7">
    <w:name w:val="Emphasis"/>
    <w:basedOn w:val="a7"/>
    <w:autoRedefine/>
    <w:uiPriority w:val="20"/>
    <w:qFormat/>
    <w:locked/>
    <w:rPr>
      <w:i/>
    </w:rPr>
  </w:style>
  <w:style w:type="character" w:styleId="af8">
    <w:name w:val="Hyperlink"/>
    <w:autoRedefine/>
    <w:uiPriority w:val="99"/>
    <w:semiHidden/>
    <w:qFormat/>
    <w:rPr>
      <w:rFonts w:cs="Times New Roman"/>
      <w:color w:val="0000CC"/>
      <w:u w:val="single"/>
    </w:rPr>
  </w:style>
  <w:style w:type="character" w:styleId="af9">
    <w:name w:val="annotation reference"/>
    <w:autoRedefine/>
    <w:uiPriority w:val="99"/>
    <w:semiHidden/>
    <w:qFormat/>
    <w:rPr>
      <w:rFonts w:cs="Times New Roman"/>
      <w:sz w:val="21"/>
    </w:rPr>
  </w:style>
  <w:style w:type="paragraph" w:customStyle="1" w:styleId="afa">
    <w:name w:val="段"/>
    <w:link w:val="Char"/>
    <w:autoRedefine/>
    <w:uiPriority w:val="99"/>
    <w:qFormat/>
    <w:pPr>
      <w:tabs>
        <w:tab w:val="center" w:pos="4201"/>
        <w:tab w:val="right" w:leader="dot" w:pos="9298"/>
      </w:tabs>
      <w:autoSpaceDE w:val="0"/>
      <w:autoSpaceDN w:val="0"/>
      <w:ind w:firstLineChars="200" w:firstLine="420"/>
      <w:jc w:val="both"/>
    </w:pPr>
    <w:rPr>
      <w:rFonts w:ascii="宋体" w:hAnsi="Times New Roman"/>
      <w:sz w:val="21"/>
      <w:szCs w:val="22"/>
    </w:rPr>
  </w:style>
  <w:style w:type="paragraph" w:customStyle="1" w:styleId="11">
    <w:name w:val="列出段落1"/>
    <w:basedOn w:val="a6"/>
    <w:autoRedefine/>
    <w:uiPriority w:val="99"/>
    <w:qFormat/>
    <w:pPr>
      <w:ind w:firstLineChars="200" w:firstLine="420"/>
    </w:pPr>
  </w:style>
  <w:style w:type="paragraph" w:customStyle="1" w:styleId="afb">
    <w:name w:val="目次、标准名称标题"/>
    <w:basedOn w:val="a6"/>
    <w:next w:val="afa"/>
    <w:autoRedefine/>
    <w:uiPriority w:val="9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c">
    <w:name w:val="标准书脚_奇数页"/>
    <w:autoRedefine/>
    <w:uiPriority w:val="99"/>
    <w:qFormat/>
    <w:pPr>
      <w:spacing w:before="120"/>
      <w:ind w:right="198"/>
      <w:jc w:val="right"/>
    </w:pPr>
    <w:rPr>
      <w:rFonts w:ascii="宋体" w:hAnsi="Times New Roman"/>
      <w:sz w:val="18"/>
      <w:szCs w:val="18"/>
    </w:rPr>
  </w:style>
  <w:style w:type="paragraph" w:customStyle="1" w:styleId="afd">
    <w:name w:val="标准文件_段"/>
    <w:autoRedefine/>
    <w:qFormat/>
    <w:pPr>
      <w:autoSpaceDE w:val="0"/>
      <w:autoSpaceDN w:val="0"/>
      <w:ind w:firstLineChars="200" w:firstLine="200"/>
      <w:jc w:val="both"/>
    </w:pPr>
    <w:rPr>
      <w:rFonts w:ascii="宋体" w:hAnsi="Times New Roman"/>
      <w:sz w:val="21"/>
    </w:rPr>
  </w:style>
  <w:style w:type="paragraph" w:customStyle="1" w:styleId="afe">
    <w:name w:val="标准文件_页脚奇数页"/>
    <w:autoRedefine/>
    <w:qFormat/>
    <w:pPr>
      <w:ind w:right="227"/>
      <w:jc w:val="right"/>
    </w:pPr>
    <w:rPr>
      <w:rFonts w:ascii="宋体" w:hAnsi="Times New Roman"/>
      <w:sz w:val="18"/>
    </w:rPr>
  </w:style>
  <w:style w:type="paragraph" w:customStyle="1" w:styleId="aff">
    <w:name w:val="标准文件_页眉奇数页"/>
    <w:next w:val="a6"/>
    <w:autoRedefine/>
    <w:qFormat/>
    <w:pPr>
      <w:tabs>
        <w:tab w:val="center" w:pos="4154"/>
        <w:tab w:val="right" w:pos="8306"/>
      </w:tabs>
      <w:spacing w:after="120"/>
      <w:jc w:val="right"/>
    </w:pPr>
    <w:rPr>
      <w:rFonts w:ascii="黑体" w:eastAsia="黑体" w:hAnsi="宋体"/>
      <w:sz w:val="21"/>
    </w:rPr>
  </w:style>
  <w:style w:type="paragraph" w:customStyle="1" w:styleId="a1">
    <w:name w:val="标准文件_字母编号列项（一级）"/>
    <w:qFormat/>
    <w:pPr>
      <w:numPr>
        <w:numId w:val="1"/>
      </w:numPr>
      <w:jc w:val="both"/>
    </w:pPr>
    <w:rPr>
      <w:rFonts w:ascii="宋体" w:hAnsi="Times New Roman"/>
      <w:sz w:val="21"/>
    </w:rPr>
  </w:style>
  <w:style w:type="paragraph" w:customStyle="1" w:styleId="a2">
    <w:name w:val="标准文件_数字编号列项（二级）"/>
    <w:autoRedefine/>
    <w:qFormat/>
    <w:pPr>
      <w:numPr>
        <w:ilvl w:val="1"/>
        <w:numId w:val="1"/>
      </w:numPr>
      <w:tabs>
        <w:tab w:val="left" w:pos="851"/>
      </w:tabs>
      <w:jc w:val="both"/>
    </w:pPr>
    <w:rPr>
      <w:rFonts w:ascii="宋体" w:hAnsi="Times New Roman"/>
      <w:sz w:val="21"/>
    </w:rPr>
  </w:style>
  <w:style w:type="paragraph" w:customStyle="1" w:styleId="a5">
    <w:name w:val="标准文件_二级条标题"/>
    <w:next w:val="afd"/>
    <w:qFormat/>
    <w:pPr>
      <w:widowControl w:val="0"/>
      <w:numPr>
        <w:ilvl w:val="3"/>
        <w:numId w:val="2"/>
      </w:numPr>
      <w:spacing w:beforeLines="50" w:afterLines="50"/>
      <w:jc w:val="both"/>
      <w:outlineLvl w:val="2"/>
    </w:pPr>
    <w:rPr>
      <w:rFonts w:ascii="黑体" w:eastAsia="黑体" w:hAnsi="Times New Roman"/>
      <w:sz w:val="21"/>
    </w:rPr>
  </w:style>
  <w:style w:type="paragraph" w:customStyle="1" w:styleId="aff0">
    <w:name w:val="标准文件_三级条标题"/>
    <w:next w:val="afd"/>
    <w:autoRedefine/>
    <w:qFormat/>
    <w:pPr>
      <w:outlineLvl w:val="3"/>
    </w:pPr>
    <w:rPr>
      <w:rFonts w:ascii="Times New Roman" w:hAnsi="Times New Roman"/>
    </w:rPr>
  </w:style>
  <w:style w:type="character" w:customStyle="1" w:styleId="10">
    <w:name w:val="标题 1 字符"/>
    <w:link w:val="1"/>
    <w:uiPriority w:val="99"/>
    <w:qFormat/>
    <w:locked/>
    <w:rPr>
      <w:rFonts w:cs="Times New Roman"/>
      <w:b/>
      <w:kern w:val="44"/>
      <w:sz w:val="44"/>
    </w:rPr>
  </w:style>
  <w:style w:type="character" w:customStyle="1" w:styleId="20">
    <w:name w:val="标题 2 字符"/>
    <w:link w:val="2"/>
    <w:uiPriority w:val="99"/>
    <w:qFormat/>
    <w:locked/>
    <w:rPr>
      <w:rFonts w:ascii="Cambria" w:eastAsia="宋体" w:hAnsi="Cambria" w:cs="Times New Roman"/>
      <w:b/>
      <w:sz w:val="32"/>
    </w:rPr>
  </w:style>
  <w:style w:type="character" w:customStyle="1" w:styleId="30">
    <w:name w:val="标题 3 字符"/>
    <w:link w:val="3"/>
    <w:uiPriority w:val="99"/>
    <w:qFormat/>
    <w:locked/>
    <w:rPr>
      <w:rFonts w:asciiTheme="majorEastAsia" w:eastAsiaTheme="majorEastAsia" w:hAnsiTheme="majorEastAsia" w:cs="黑体"/>
      <w:b/>
      <w:bCs/>
      <w:sz w:val="28"/>
      <w:szCs w:val="28"/>
    </w:rPr>
  </w:style>
  <w:style w:type="character" w:customStyle="1" w:styleId="ab">
    <w:name w:val="批注文字 字符"/>
    <w:link w:val="aa"/>
    <w:autoRedefine/>
    <w:uiPriority w:val="99"/>
    <w:semiHidden/>
    <w:qFormat/>
    <w:locked/>
    <w:rPr>
      <w:rFonts w:ascii="Calibri" w:eastAsia="宋体" w:hAnsi="Calibri" w:cs="Times New Roman"/>
      <w:sz w:val="21"/>
    </w:rPr>
  </w:style>
  <w:style w:type="character" w:customStyle="1" w:styleId="af">
    <w:name w:val="日期 字符"/>
    <w:link w:val="ae"/>
    <w:autoRedefine/>
    <w:uiPriority w:val="99"/>
    <w:semiHidden/>
    <w:qFormat/>
    <w:locked/>
    <w:rPr>
      <w:rFonts w:cs="Times New Roman"/>
      <w:kern w:val="2"/>
      <w:sz w:val="22"/>
      <w:szCs w:val="22"/>
    </w:rPr>
  </w:style>
  <w:style w:type="character" w:customStyle="1" w:styleId="af1">
    <w:name w:val="批注框文本 字符"/>
    <w:link w:val="af0"/>
    <w:autoRedefine/>
    <w:uiPriority w:val="99"/>
    <w:semiHidden/>
    <w:qFormat/>
    <w:locked/>
    <w:rPr>
      <w:rFonts w:cs="Times New Roman"/>
      <w:sz w:val="18"/>
    </w:rPr>
  </w:style>
  <w:style w:type="character" w:customStyle="1" w:styleId="af3">
    <w:name w:val="页脚 字符"/>
    <w:link w:val="af2"/>
    <w:autoRedefine/>
    <w:uiPriority w:val="99"/>
    <w:qFormat/>
    <w:locked/>
    <w:rPr>
      <w:rFonts w:cs="Times New Roman"/>
      <w:sz w:val="18"/>
    </w:rPr>
  </w:style>
  <w:style w:type="character" w:customStyle="1" w:styleId="af5">
    <w:name w:val="页眉 字符"/>
    <w:link w:val="af4"/>
    <w:uiPriority w:val="99"/>
    <w:qFormat/>
    <w:locked/>
    <w:rPr>
      <w:rFonts w:cs="Times New Roman"/>
      <w:sz w:val="18"/>
    </w:rPr>
  </w:style>
  <w:style w:type="character" w:customStyle="1" w:styleId="Char">
    <w:name w:val="段 Char"/>
    <w:link w:val="afa"/>
    <w:uiPriority w:val="99"/>
    <w:qFormat/>
    <w:locked/>
    <w:rPr>
      <w:rFonts w:ascii="宋体" w:hAnsi="Times New Roman"/>
      <w:sz w:val="22"/>
    </w:rPr>
  </w:style>
  <w:style w:type="character" w:customStyle="1" w:styleId="12">
    <w:name w:val="占位符文本1"/>
    <w:uiPriority w:val="99"/>
    <w:semiHidden/>
    <w:qFormat/>
    <w:rPr>
      <w:rFonts w:cs="Times New Roman"/>
      <w:color w:val="808080"/>
    </w:rPr>
  </w:style>
  <w:style w:type="character" w:customStyle="1" w:styleId="fontstyle01">
    <w:name w:val="fontstyle01"/>
    <w:qFormat/>
    <w:rPr>
      <w:rFonts w:ascii="宋体" w:eastAsia="宋体" w:hAnsi="宋体" w:cs="宋体"/>
      <w:color w:val="000000"/>
      <w:sz w:val="22"/>
      <w:szCs w:val="22"/>
    </w:rPr>
  </w:style>
  <w:style w:type="paragraph" w:customStyle="1" w:styleId="a">
    <w:name w:val="一级条标题"/>
    <w:next w:val="afa"/>
    <w:qFormat/>
    <w:pPr>
      <w:numPr>
        <w:ilvl w:val="1"/>
        <w:numId w:val="3"/>
      </w:numPr>
      <w:spacing w:beforeLines="50" w:before="156" w:afterLines="50" w:after="156"/>
      <w:ind w:left="0"/>
      <w:outlineLvl w:val="2"/>
    </w:pPr>
    <w:rPr>
      <w:rFonts w:ascii="黑体" w:eastAsia="黑体" w:hAnsi="Times New Roman"/>
      <w:sz w:val="21"/>
      <w:szCs w:val="21"/>
    </w:rPr>
  </w:style>
  <w:style w:type="paragraph" w:customStyle="1" w:styleId="a0">
    <w:name w:val="二级条标题"/>
    <w:basedOn w:val="a"/>
    <w:next w:val="afa"/>
    <w:qFormat/>
    <w:pPr>
      <w:numPr>
        <w:ilvl w:val="2"/>
      </w:numPr>
      <w:spacing w:before="50" w:after="50"/>
      <w:outlineLvl w:val="3"/>
    </w:pPr>
  </w:style>
  <w:style w:type="paragraph" w:customStyle="1" w:styleId="a3">
    <w:name w:val="标准文件_章标题"/>
    <w:next w:val="afd"/>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4">
    <w:name w:val="标准文件_一级条标题"/>
    <w:basedOn w:val="a3"/>
    <w:next w:val="afd"/>
    <w:qFormat/>
    <w:pPr>
      <w:numPr>
        <w:ilvl w:val="2"/>
      </w:numPr>
      <w:spacing w:beforeLines="50" w:before="50" w:afterLines="50" w:after="50"/>
      <w:outlineLvl w:val="1"/>
    </w:pPr>
  </w:style>
  <w:style w:type="character" w:customStyle="1" w:styleId="ad">
    <w:name w:val="正文文本 字符"/>
    <w:basedOn w:val="a7"/>
    <w:link w:val="ac"/>
    <w:uiPriority w:val="1"/>
    <w:qFormat/>
    <w:rPr>
      <w:rFonts w:ascii="宋体" w:hAnsi="宋体"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8F5D8-CB84-460F-9B93-D3C01A3C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483</Words>
  <Characters>2754</Characters>
  <Application>Microsoft Office Word</Application>
  <DocSecurity>0</DocSecurity>
  <Lines>22</Lines>
  <Paragraphs>6</Paragraphs>
  <ScaleCrop>false</ScaleCrop>
  <Company>Microsoft</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中国仪器仪表行业协会团体标准</dc:title>
  <dc:creator>liu</dc:creator>
  <cp:lastModifiedBy>静 王</cp:lastModifiedBy>
  <cp:revision>26</cp:revision>
  <cp:lastPrinted>2020-06-02T00:06:00Z</cp:lastPrinted>
  <dcterms:created xsi:type="dcterms:W3CDTF">2023-06-29T01:47:00Z</dcterms:created>
  <dcterms:modified xsi:type="dcterms:W3CDTF">2024-05-21T01:37:00Z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9DBFB99A96094F248E07BB2BE6895FB0_13</vt:lpwstr>
  </property>
</Properties>
</file>