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EBEC9">
      <w:pPr>
        <w:ind w:firstLine="1807" w:firstLineChars="600"/>
        <w:rPr>
          <w:rFonts w:hint="eastAsia" w:ascii="黑体" w:hAnsi="黑体" w:eastAsia="黑体" w:cs="黑体"/>
          <w:b/>
          <w:sz w:val="30"/>
          <w:szCs w:val="30"/>
        </w:rPr>
      </w:pPr>
    </w:p>
    <w:p w14:paraId="3FF43669">
      <w:pPr>
        <w:ind w:firstLine="2168" w:firstLineChars="600"/>
        <w:rPr>
          <w:rFonts w:hint="eastAsia" w:ascii="黑体" w:hAnsi="黑体" w:eastAsia="黑体" w:cs="黑体"/>
          <w:b/>
          <w:sz w:val="36"/>
          <w:szCs w:val="36"/>
        </w:rPr>
      </w:pPr>
    </w:p>
    <w:p w14:paraId="57FC225F">
      <w:pPr>
        <w:pStyle w:val="2"/>
        <w:jc w:val="center"/>
        <w:rPr>
          <w:rFonts w:eastAsia="黑体"/>
          <w:sz w:val="52"/>
          <w:szCs w:val="52"/>
        </w:rPr>
      </w:pPr>
      <w:r>
        <w:rPr>
          <w:rFonts w:eastAsia="黑体"/>
          <w:sz w:val="52"/>
          <w:szCs w:val="52"/>
        </w:rPr>
        <w:t>中国仪器仪表行业协会团体标准</w:t>
      </w:r>
    </w:p>
    <w:p w14:paraId="0854729A">
      <w:pPr>
        <w:ind w:firstLine="2168" w:firstLineChars="600"/>
        <w:rPr>
          <w:rFonts w:hint="eastAsia" w:ascii="黑体" w:hAnsi="黑体" w:eastAsia="黑体" w:cs="黑体"/>
          <w:b/>
          <w:sz w:val="36"/>
          <w:szCs w:val="36"/>
        </w:rPr>
      </w:pPr>
    </w:p>
    <w:p w14:paraId="36A42AFE">
      <w:pPr>
        <w:ind w:firstLine="2168" w:firstLineChars="600"/>
        <w:rPr>
          <w:rFonts w:hint="eastAsia" w:ascii="黑体" w:hAnsi="黑体" w:eastAsia="黑体" w:cs="黑体"/>
          <w:b/>
          <w:sz w:val="36"/>
          <w:szCs w:val="36"/>
        </w:rPr>
      </w:pPr>
    </w:p>
    <w:p w14:paraId="0DE2958E">
      <w:pPr>
        <w:ind w:firstLine="2168" w:firstLineChars="600"/>
        <w:rPr>
          <w:rFonts w:hint="eastAsia" w:ascii="黑体" w:hAnsi="黑体" w:eastAsia="黑体" w:cs="黑体"/>
          <w:b/>
          <w:sz w:val="36"/>
          <w:szCs w:val="36"/>
        </w:rPr>
      </w:pPr>
    </w:p>
    <w:p w14:paraId="36DB20D3">
      <w:pPr>
        <w:ind w:firstLine="2168" w:firstLineChars="600"/>
        <w:rPr>
          <w:rFonts w:hint="eastAsia" w:ascii="黑体" w:hAnsi="黑体" w:eastAsia="黑体" w:cs="黑体"/>
          <w:b/>
          <w:sz w:val="36"/>
          <w:szCs w:val="36"/>
        </w:rPr>
      </w:pPr>
    </w:p>
    <w:p w14:paraId="3E28D5BB">
      <w:pPr>
        <w:rPr>
          <w:rFonts w:ascii="Times New Roman" w:hAnsi="Times New Roman" w:eastAsia="宋体" w:cs="Times New Roman"/>
          <w:b/>
          <w:bCs/>
          <w:kern w:val="44"/>
          <w:sz w:val="48"/>
          <w:szCs w:val="48"/>
        </w:rPr>
      </w:pPr>
      <w:r>
        <w:rPr>
          <w:rFonts w:hint="eastAsia" w:ascii="Times New Roman" w:hAnsi="Times New Roman" w:eastAsia="宋体" w:cs="Times New Roman"/>
          <w:b/>
          <w:bCs/>
          <w:kern w:val="44"/>
          <w:sz w:val="48"/>
          <w:szCs w:val="48"/>
        </w:rPr>
        <w:t>《电磁和固态继电器电气参数测试方法》</w:t>
      </w:r>
    </w:p>
    <w:p w14:paraId="11EDADD2">
      <w:pPr>
        <w:jc w:val="center"/>
        <w:rPr>
          <w:rFonts w:hint="eastAsia" w:ascii="黑体" w:hAnsi="黑体" w:eastAsia="黑体" w:cs="黑体"/>
          <w:b/>
          <w:sz w:val="36"/>
          <w:szCs w:val="36"/>
        </w:rPr>
      </w:pPr>
    </w:p>
    <w:p w14:paraId="097918BB">
      <w:pPr>
        <w:jc w:val="center"/>
        <w:rPr>
          <w:rFonts w:hint="eastAsia" w:ascii="黑体" w:hAnsi="黑体" w:eastAsia="黑体" w:cs="黑体"/>
          <w:b/>
          <w:sz w:val="36"/>
          <w:szCs w:val="36"/>
        </w:rPr>
      </w:pPr>
    </w:p>
    <w:p w14:paraId="3DA52555">
      <w:pPr>
        <w:pStyle w:val="2"/>
        <w:jc w:val="center"/>
        <w:rPr>
          <w:rFonts w:hint="eastAsia" w:ascii="黑体" w:hAnsi="黑体" w:eastAsia="黑体"/>
          <w:b w:val="0"/>
        </w:rPr>
      </w:pPr>
      <w:r>
        <w:rPr>
          <w:rFonts w:ascii="黑体" w:hAnsi="黑体" w:eastAsia="黑体"/>
          <w:b w:val="0"/>
        </w:rPr>
        <w:t>编制说明</w:t>
      </w:r>
    </w:p>
    <w:p w14:paraId="0070F74D">
      <w:pPr>
        <w:jc w:val="center"/>
        <w:rPr>
          <w:b/>
          <w:sz w:val="32"/>
          <w:szCs w:val="32"/>
          <w:lang w:val="zh-CN"/>
        </w:rPr>
      </w:pPr>
    </w:p>
    <w:p w14:paraId="1553C725">
      <w:pPr>
        <w:jc w:val="center"/>
        <w:rPr>
          <w:b/>
          <w:sz w:val="32"/>
          <w:szCs w:val="32"/>
          <w:lang w:val="zh-CN"/>
        </w:rPr>
      </w:pPr>
    </w:p>
    <w:p w14:paraId="16008C0A">
      <w:pPr>
        <w:jc w:val="center"/>
        <w:rPr>
          <w:b/>
          <w:sz w:val="32"/>
          <w:szCs w:val="32"/>
          <w:lang w:val="zh-CN"/>
        </w:rPr>
      </w:pPr>
    </w:p>
    <w:p w14:paraId="41514443">
      <w:pPr>
        <w:jc w:val="center"/>
        <w:rPr>
          <w:b/>
          <w:sz w:val="32"/>
          <w:szCs w:val="32"/>
          <w:lang w:val="zh-CN"/>
        </w:rPr>
      </w:pPr>
      <w:r>
        <w:rPr>
          <w:b/>
          <w:sz w:val="32"/>
          <w:szCs w:val="32"/>
          <w:lang w:val="zh-CN"/>
        </w:rPr>
        <w:t>（</w:t>
      </w:r>
      <w:r>
        <w:rPr>
          <w:rFonts w:hint="eastAsia"/>
          <w:b/>
          <w:sz w:val="32"/>
          <w:szCs w:val="32"/>
          <w:lang w:val="zh-CN"/>
        </w:rPr>
        <w:t>征求意见</w:t>
      </w:r>
      <w:r>
        <w:rPr>
          <w:b/>
          <w:sz w:val="32"/>
          <w:szCs w:val="32"/>
          <w:lang w:val="zh-CN"/>
        </w:rPr>
        <w:t>稿）</w:t>
      </w:r>
    </w:p>
    <w:p w14:paraId="112010E3">
      <w:pPr>
        <w:jc w:val="center"/>
        <w:rPr>
          <w:rFonts w:eastAsia="宋体"/>
          <w:b/>
          <w:sz w:val="32"/>
          <w:szCs w:val="32"/>
        </w:rPr>
      </w:pPr>
      <w:r>
        <w:rPr>
          <w:rFonts w:hint="eastAsia"/>
          <w:b/>
          <w:sz w:val="32"/>
          <w:szCs w:val="32"/>
          <w:lang w:val="zh-CN"/>
        </w:rPr>
        <w:t>202</w:t>
      </w:r>
      <w:r>
        <w:rPr>
          <w:rFonts w:hint="eastAsia"/>
          <w:b/>
          <w:sz w:val="32"/>
          <w:szCs w:val="32"/>
        </w:rPr>
        <w:t>40715</w:t>
      </w:r>
    </w:p>
    <w:p w14:paraId="5218EB22">
      <w:pPr>
        <w:ind w:firstLine="1807" w:firstLineChars="600"/>
        <w:rPr>
          <w:rFonts w:hint="eastAsia" w:ascii="黑体" w:hAnsi="黑体" w:eastAsia="黑体" w:cs="黑体"/>
          <w:b/>
          <w:sz w:val="30"/>
          <w:szCs w:val="30"/>
        </w:rPr>
      </w:pPr>
    </w:p>
    <w:p w14:paraId="2D4F8F91">
      <w:pPr>
        <w:ind w:firstLine="1807" w:firstLineChars="600"/>
        <w:rPr>
          <w:rFonts w:hint="eastAsia" w:ascii="黑体" w:hAnsi="黑体" w:eastAsia="黑体" w:cs="黑体"/>
          <w:b/>
          <w:sz w:val="30"/>
          <w:szCs w:val="30"/>
        </w:rPr>
      </w:pPr>
    </w:p>
    <w:p w14:paraId="3AAFC2CE">
      <w:pPr>
        <w:ind w:firstLine="1807" w:firstLineChars="600"/>
        <w:rPr>
          <w:rFonts w:hint="eastAsia" w:ascii="黑体" w:hAnsi="黑体" w:eastAsia="黑体" w:cs="黑体"/>
          <w:b/>
          <w:sz w:val="30"/>
          <w:szCs w:val="30"/>
        </w:rPr>
      </w:pPr>
    </w:p>
    <w:p w14:paraId="3556C8D8">
      <w:pPr>
        <w:pStyle w:val="2"/>
        <w:jc w:val="left"/>
        <w:rPr>
          <w:sz w:val="28"/>
          <w:szCs w:val="28"/>
        </w:rPr>
      </w:pPr>
      <w:r>
        <w:rPr>
          <w:rFonts w:hint="eastAsia"/>
          <w:sz w:val="28"/>
          <w:szCs w:val="28"/>
        </w:rPr>
        <w:t>一、工作简况</w:t>
      </w:r>
    </w:p>
    <w:p w14:paraId="2C1120EE">
      <w:pPr>
        <w:pStyle w:val="3"/>
        <w:rPr>
          <w:sz w:val="30"/>
          <w:szCs w:val="30"/>
        </w:rPr>
      </w:pPr>
      <w:r>
        <w:rPr>
          <w:rFonts w:hint="eastAsia" w:ascii="Times New Roman" w:hAnsi="Times New Roman"/>
          <w:sz w:val="28"/>
          <w:szCs w:val="28"/>
        </w:rPr>
        <w:t>1、任务来源</w:t>
      </w:r>
    </w:p>
    <w:p w14:paraId="08CBC79D">
      <w:pPr>
        <w:pStyle w:val="10"/>
        <w:spacing w:line="360" w:lineRule="auto"/>
        <w:ind w:firstLine="48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本团体标准根据中国仪器仪表行业协会</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关于《低压分布式光伏接口转接器技术规范》等11项团体标准立项的批复</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（中电仪【2023】24号）文件立项，项目名称为：《电磁和固态继电器电气参数测量导则》，项目编号：T/CIMA 0126</w:t>
      </w:r>
      <w:r>
        <w:rPr>
          <w:rFonts w:hint="eastAsia" w:ascii="宋体" w:hAnsi="宋体" w:eastAsia="宋体" w:cs="宋体"/>
          <w:sz w:val="24"/>
          <w:szCs w:val="24"/>
          <w:highlight w:val="none"/>
        </w:rPr>
        <w:t>，</w:t>
      </w:r>
      <w:r>
        <w:rPr>
          <w:rFonts w:hint="eastAsia" w:ascii="Times New Roman" w:hAnsi="Times New Roman" w:eastAsia="宋体" w:cs="Times New Roman"/>
          <w:sz w:val="24"/>
          <w:szCs w:val="24"/>
          <w:highlight w:val="none"/>
        </w:rPr>
        <w:t>由中国仪器仪表行业协会电工仪器仪表分会提出，由中国仪器仪表行业协会归口。计划完成年限为2025年。</w:t>
      </w:r>
    </w:p>
    <w:p w14:paraId="2224343F">
      <w:pPr>
        <w:pStyle w:val="3"/>
        <w:rPr>
          <w:sz w:val="30"/>
          <w:szCs w:val="30"/>
          <w:highlight w:val="none"/>
        </w:rPr>
      </w:pPr>
      <w:r>
        <w:rPr>
          <w:rFonts w:hint="eastAsia" w:ascii="Times New Roman" w:hAnsi="Times New Roman"/>
          <w:sz w:val="28"/>
          <w:szCs w:val="28"/>
          <w:highlight w:val="none"/>
        </w:rPr>
        <w:t>2、</w:t>
      </w:r>
      <w:r>
        <w:rPr>
          <w:rFonts w:ascii="Times New Roman" w:hAnsi="Times New Roman"/>
          <w:sz w:val="28"/>
          <w:szCs w:val="28"/>
          <w:highlight w:val="none"/>
        </w:rPr>
        <w:t>主要工作过程</w:t>
      </w:r>
    </w:p>
    <w:p w14:paraId="2457EA66">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2023年8月:</w:t>
      </w:r>
      <w:r>
        <w:rPr>
          <w:rFonts w:hint="eastAsia" w:ascii="宋体" w:hAnsi="宋体" w:eastAsia="宋体" w:cs="宋体"/>
          <w:sz w:val="24"/>
          <w:szCs w:val="24"/>
          <w:highlight w:val="none"/>
        </w:rPr>
        <w:t>申请立项并上报标准的</w:t>
      </w:r>
      <w:r>
        <w:rPr>
          <w:rFonts w:hint="eastAsia" w:ascii="宋体" w:hAnsi="宋体" w:eastAsia="宋体" w:cs="宋体"/>
          <w:b/>
          <w:sz w:val="24"/>
          <w:szCs w:val="24"/>
          <w:highlight w:val="none"/>
        </w:rPr>
        <w:t>草案稿和项目建议书</w:t>
      </w:r>
      <w:r>
        <w:rPr>
          <w:rFonts w:hint="eastAsia" w:ascii="宋体" w:hAnsi="宋体" w:eastAsia="宋体" w:cs="宋体"/>
          <w:sz w:val="24"/>
          <w:szCs w:val="24"/>
          <w:highlight w:val="none"/>
        </w:rPr>
        <w:t>。</w:t>
      </w:r>
    </w:p>
    <w:p w14:paraId="09160A3C">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2023年10月</w:t>
      </w:r>
      <w:r>
        <w:rPr>
          <w:rFonts w:hint="eastAsia" w:ascii="宋体" w:hAnsi="宋体" w:eastAsia="宋体" w:cs="宋体"/>
          <w:sz w:val="24"/>
          <w:szCs w:val="24"/>
          <w:highlight w:val="none"/>
        </w:rPr>
        <w:t>：中国仪器仪表行业协会组织立项评审会议，会后下达了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低压分布式光伏接口转接器技术规范》等11项团体标准立项的批复”，由中电普瑞电力工程有限公司牵头，组织</w:t>
      </w:r>
      <w:r>
        <w:rPr>
          <w:rFonts w:hint="eastAsia" w:ascii="宋体" w:hAnsi="宋体" w:eastAsia="宋体" w:cs="宋体"/>
          <w:b/>
          <w:sz w:val="24"/>
          <w:szCs w:val="24"/>
          <w:highlight w:val="none"/>
        </w:rPr>
        <w:t>成立标准起草工作组</w:t>
      </w:r>
      <w:r>
        <w:rPr>
          <w:rFonts w:hint="eastAsia" w:ascii="宋体" w:hAnsi="宋体" w:eastAsia="宋体" w:cs="宋体"/>
          <w:sz w:val="24"/>
          <w:szCs w:val="24"/>
          <w:highlight w:val="none"/>
        </w:rPr>
        <w:t>。</w:t>
      </w:r>
    </w:p>
    <w:p w14:paraId="24B4CAAF">
      <w:pPr>
        <w:pStyle w:val="10"/>
        <w:spacing w:line="360" w:lineRule="auto"/>
        <w:ind w:firstLine="482"/>
        <w:rPr>
          <w:rFonts w:hint="eastAsia" w:ascii="宋体" w:hAnsi="宋体" w:eastAsia="宋体" w:cs="宋体"/>
          <w:b/>
          <w:sz w:val="24"/>
          <w:szCs w:val="24"/>
          <w:highlight w:val="none"/>
        </w:rPr>
      </w:pPr>
      <w:r>
        <w:rPr>
          <w:rFonts w:hint="eastAsia" w:ascii="宋体" w:hAnsi="宋体" w:eastAsia="宋体" w:cs="宋体"/>
          <w:b/>
          <w:bCs/>
          <w:sz w:val="24"/>
          <w:szCs w:val="24"/>
          <w:highlight w:val="none"/>
        </w:rPr>
        <w:t>2023年10月：</w:t>
      </w:r>
      <w:r>
        <w:rPr>
          <w:rFonts w:hint="eastAsia" w:ascii="宋体" w:hAnsi="宋体" w:eastAsia="宋体" w:cs="宋体"/>
          <w:sz w:val="24"/>
          <w:szCs w:val="24"/>
          <w:highlight w:val="none"/>
        </w:rPr>
        <w:t>启动团体标准制定工作。起草组严格按照GB/T 1.1-2020《标准化工作导则 第1部分：标准化文件的结构和起草规则》等文件的要求进行标准制定并形成</w:t>
      </w:r>
      <w:r>
        <w:rPr>
          <w:rFonts w:hint="eastAsia" w:ascii="宋体" w:hAnsi="宋体" w:eastAsia="宋体" w:cs="宋体"/>
          <w:b/>
          <w:sz w:val="24"/>
          <w:szCs w:val="24"/>
          <w:highlight w:val="none"/>
        </w:rPr>
        <w:t>工作组讨论稿。</w:t>
      </w:r>
    </w:p>
    <w:p w14:paraId="799F045A">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2023年10月：</w:t>
      </w:r>
      <w:r>
        <w:rPr>
          <w:rFonts w:hint="eastAsia" w:ascii="宋体" w:hAnsi="宋体" w:eastAsia="宋体" w:cs="宋体"/>
          <w:sz w:val="24"/>
          <w:szCs w:val="24"/>
          <w:highlight w:val="none"/>
        </w:rPr>
        <w:t>工作组讨论稿在标准编制工作组内部征求意见，共回收意见16条，主笔单位按照回收意见对工作组讨论稿进行了修改和完善。</w:t>
      </w:r>
    </w:p>
    <w:p w14:paraId="4E3B48DD">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2023年11月：</w:t>
      </w:r>
      <w:r>
        <w:rPr>
          <w:rFonts w:hint="eastAsia" w:ascii="宋体" w:hAnsi="宋体" w:eastAsia="宋体" w:cs="宋体"/>
          <w:sz w:val="24"/>
          <w:szCs w:val="24"/>
          <w:highlight w:val="none"/>
        </w:rPr>
        <w:t>在北京召开</w:t>
      </w:r>
      <w:r>
        <w:rPr>
          <w:rFonts w:hint="eastAsia" w:ascii="宋体" w:hAnsi="宋体" w:eastAsia="宋体" w:cs="宋体"/>
          <w:b/>
          <w:bCs/>
          <w:sz w:val="24"/>
          <w:szCs w:val="24"/>
          <w:highlight w:val="none"/>
        </w:rPr>
        <w:t>第一次工作组会议</w:t>
      </w:r>
      <w:r>
        <w:rPr>
          <w:rFonts w:hint="eastAsia" w:ascii="宋体" w:hAnsi="宋体" w:eastAsia="宋体" w:cs="宋体"/>
          <w:sz w:val="24"/>
          <w:szCs w:val="24"/>
          <w:highlight w:val="none"/>
        </w:rPr>
        <w:t>，对工作组讨论稿的标准化对象、结构进行了认真、仔细的逐条讨论，并对主要技术内容达成了一致意见，形成了会议纪要。</w:t>
      </w:r>
    </w:p>
    <w:p w14:paraId="6F95B720">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2023年12月—2024年5月：</w:t>
      </w:r>
      <w:r>
        <w:rPr>
          <w:rFonts w:hint="eastAsia" w:ascii="宋体" w:hAnsi="宋体" w:eastAsia="宋体" w:cs="宋体"/>
          <w:sz w:val="24"/>
          <w:szCs w:val="24"/>
          <w:highlight w:val="none"/>
        </w:rPr>
        <w:t>形成工作组讨论稿，开展第二次征求意见，共回收意见12条，主笔单位按照回收意见对工作组讨论稿进行了修改完善。</w:t>
      </w:r>
    </w:p>
    <w:p w14:paraId="5ECB16E5">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2024年5月：</w:t>
      </w:r>
      <w:r>
        <w:rPr>
          <w:rFonts w:hint="eastAsia" w:ascii="宋体" w:hAnsi="宋体" w:eastAsia="宋体" w:cs="宋体"/>
          <w:sz w:val="24"/>
          <w:szCs w:val="24"/>
          <w:highlight w:val="none"/>
        </w:rPr>
        <w:t>在广东珠海召开</w:t>
      </w:r>
      <w:r>
        <w:rPr>
          <w:rFonts w:hint="eastAsia" w:ascii="宋体" w:hAnsi="宋体" w:eastAsia="宋体" w:cs="宋体"/>
          <w:b/>
          <w:bCs/>
          <w:sz w:val="24"/>
          <w:szCs w:val="24"/>
          <w:highlight w:val="none"/>
        </w:rPr>
        <w:t>第二次工作组会议</w:t>
      </w:r>
      <w:r>
        <w:rPr>
          <w:rFonts w:hint="eastAsia" w:ascii="宋体" w:hAnsi="宋体" w:eastAsia="宋体" w:cs="宋体"/>
          <w:sz w:val="24"/>
          <w:szCs w:val="24"/>
          <w:highlight w:val="none"/>
        </w:rPr>
        <w:t>，对标准工作组讨论稿以所征求的意见内容进行了仔细讨论，形成会议纪要。</w:t>
      </w:r>
    </w:p>
    <w:p w14:paraId="765E0AC7">
      <w:pPr>
        <w:pStyle w:val="10"/>
        <w:spacing w:line="360" w:lineRule="auto"/>
        <w:ind w:firstLine="482"/>
        <w:rPr>
          <w:rFonts w:hint="eastAsia" w:ascii="宋体" w:hAnsi="宋体" w:eastAsia="宋体" w:cs="宋体"/>
          <w:sz w:val="24"/>
          <w:szCs w:val="24"/>
          <w:highlight w:val="none"/>
        </w:rPr>
      </w:pPr>
      <w:r>
        <w:rPr>
          <w:rFonts w:hint="eastAsia" w:ascii="宋体" w:hAnsi="宋体" w:eastAsia="宋体" w:cs="宋体"/>
          <w:b/>
          <w:bCs/>
          <w:sz w:val="24"/>
          <w:szCs w:val="24"/>
          <w:highlight w:val="none"/>
        </w:rPr>
        <w:t>2024年7月：</w:t>
      </w:r>
      <w:r>
        <w:rPr>
          <w:rFonts w:hint="eastAsia" w:ascii="宋体" w:hAnsi="宋体" w:eastAsia="宋体" w:cs="宋体"/>
          <w:sz w:val="24"/>
          <w:szCs w:val="24"/>
          <w:highlight w:val="none"/>
        </w:rPr>
        <w:t>形成</w:t>
      </w:r>
      <w:r>
        <w:rPr>
          <w:rFonts w:hint="eastAsia" w:ascii="宋体" w:hAnsi="宋体" w:eastAsia="宋体" w:cs="宋体"/>
          <w:b/>
          <w:sz w:val="24"/>
          <w:szCs w:val="24"/>
          <w:highlight w:val="none"/>
        </w:rPr>
        <w:t>征求意见稿</w:t>
      </w:r>
      <w:r>
        <w:rPr>
          <w:rFonts w:hint="eastAsia" w:ascii="宋体" w:hAnsi="宋体" w:eastAsia="宋体" w:cs="宋体"/>
          <w:sz w:val="24"/>
          <w:szCs w:val="24"/>
          <w:highlight w:val="none"/>
        </w:rPr>
        <w:t>。</w:t>
      </w:r>
    </w:p>
    <w:p w14:paraId="5A898992">
      <w:pPr>
        <w:pStyle w:val="3"/>
      </w:pPr>
      <w:r>
        <w:rPr>
          <w:rFonts w:hint="eastAsia" w:ascii="Times New Roman" w:hAnsi="Times New Roman"/>
          <w:sz w:val="28"/>
          <w:szCs w:val="28"/>
        </w:rPr>
        <w:t>3、主要参加单位和工作组成员及其所做的工作</w:t>
      </w:r>
    </w:p>
    <w:p w14:paraId="4F3BBDC4">
      <w:pPr>
        <w:spacing w:line="360" w:lineRule="auto"/>
        <w:rPr>
          <w:sz w:val="24"/>
          <w:szCs w:val="24"/>
        </w:rPr>
      </w:pPr>
      <w:r>
        <w:rPr>
          <w:rFonts w:hint="eastAsia"/>
          <w:sz w:val="24"/>
          <w:szCs w:val="24"/>
        </w:rPr>
        <w:t xml:space="preserve"> </w:t>
      </w:r>
      <w:r>
        <w:rPr>
          <w:sz w:val="24"/>
          <w:szCs w:val="24"/>
        </w:rPr>
        <w:t xml:space="preserve">   牵头单位是中电普瑞电力工程有限公司，主要起草单位有哈尔滨电工仪表研究所有限公司、苏州热工研究院、阳江核电有限有限公司、北京广利核系统工程有限公司、中广核数字科技有限公司等。</w:t>
      </w:r>
    </w:p>
    <w:p w14:paraId="53947067">
      <w:pPr>
        <w:spacing w:line="360" w:lineRule="auto"/>
        <w:ind w:firstLine="480" w:firstLineChars="200"/>
        <w:rPr>
          <w:sz w:val="24"/>
          <w:szCs w:val="24"/>
        </w:rPr>
      </w:pPr>
      <w:r>
        <w:rPr>
          <w:sz w:val="24"/>
          <w:szCs w:val="24"/>
        </w:rPr>
        <w:t>中电普瑞电力工程有限公司作为执笔单位负责了本标准起草、修改工作。</w:t>
      </w:r>
    </w:p>
    <w:p w14:paraId="05DEE63F">
      <w:pPr>
        <w:spacing w:line="360" w:lineRule="auto"/>
        <w:ind w:firstLine="480" w:firstLineChars="200"/>
        <w:rPr>
          <w:sz w:val="24"/>
          <w:szCs w:val="24"/>
        </w:rPr>
      </w:pPr>
      <w:r>
        <w:rPr>
          <w:sz w:val="24"/>
          <w:szCs w:val="24"/>
        </w:rPr>
        <w:t>主要起草人：</w:t>
      </w:r>
      <w:r>
        <w:rPr>
          <w:rFonts w:hint="eastAsia"/>
          <w:sz w:val="24"/>
          <w:szCs w:val="24"/>
        </w:rPr>
        <w:t>刘铁</w:t>
      </w:r>
      <w:r>
        <w:rPr>
          <w:sz w:val="24"/>
          <w:szCs w:val="24"/>
        </w:rPr>
        <w:t>、申莉、</w:t>
      </w:r>
      <w:r>
        <w:rPr>
          <w:rFonts w:hint="eastAsia"/>
          <w:sz w:val="24"/>
          <w:szCs w:val="24"/>
        </w:rPr>
        <w:t>王宝、武哲龙、金鑫</w:t>
      </w:r>
      <w:r>
        <w:rPr>
          <w:sz w:val="24"/>
          <w:szCs w:val="24"/>
        </w:rPr>
        <w:t>等。</w:t>
      </w:r>
    </w:p>
    <w:p w14:paraId="5DA50F48">
      <w:pPr>
        <w:spacing w:line="360" w:lineRule="auto"/>
        <w:ind w:firstLine="480" w:firstLineChars="200"/>
        <w:rPr>
          <w:sz w:val="24"/>
          <w:szCs w:val="24"/>
        </w:rPr>
      </w:pPr>
      <w:r>
        <w:rPr>
          <w:rFonts w:hint="eastAsia"/>
          <w:sz w:val="24"/>
          <w:szCs w:val="24"/>
        </w:rPr>
        <w:t>王宝为本标准的主笔人，负责标准的编写；申莉为本标准的技术负责人，为标准的总体内容进行全面指导；刘献成为本标准起草工作组组长，武哲龙等为本标准起草工作组组员，负责标准的编写进程和组织协调工作；何力、喻侃源、黄清林等组成员为本标准的编写和修改工作给予了大量帮助。</w:t>
      </w:r>
    </w:p>
    <w:p w14:paraId="24AD7D7D">
      <w:pPr>
        <w:pStyle w:val="3"/>
        <w:rPr>
          <w:rFonts w:ascii="Times New Roman" w:hAnsi="Times New Roman"/>
          <w:sz w:val="28"/>
          <w:szCs w:val="28"/>
        </w:rPr>
      </w:pPr>
      <w:r>
        <w:rPr>
          <w:rFonts w:hint="eastAsia" w:ascii="Times New Roman" w:hAnsi="Times New Roman"/>
          <w:sz w:val="28"/>
          <w:szCs w:val="28"/>
        </w:rPr>
        <w:t>二</w:t>
      </w:r>
      <w:r>
        <w:rPr>
          <w:rFonts w:ascii="Times New Roman" w:hAnsi="Times New Roman"/>
          <w:sz w:val="28"/>
          <w:szCs w:val="28"/>
        </w:rPr>
        <w:t>、标准编制原则和主要技术内容确定的依据 </w:t>
      </w:r>
    </w:p>
    <w:p w14:paraId="70932062">
      <w:pPr>
        <w:pStyle w:val="4"/>
        <w:rPr>
          <w:sz w:val="28"/>
          <w:szCs w:val="28"/>
        </w:rPr>
      </w:pPr>
      <w:r>
        <w:rPr>
          <w:rFonts w:hint="eastAsia"/>
          <w:sz w:val="28"/>
          <w:szCs w:val="28"/>
        </w:rPr>
        <w:t>2</w:t>
      </w:r>
      <w:r>
        <w:rPr>
          <w:sz w:val="28"/>
          <w:szCs w:val="28"/>
        </w:rPr>
        <w:t>.1主要阐述标准制定或修订过程遵循的基本原则</w:t>
      </w:r>
    </w:p>
    <w:p w14:paraId="4B96664D">
      <w:pPr>
        <w:pStyle w:val="12"/>
        <w:spacing w:line="360" w:lineRule="auto"/>
        <w:ind w:firstLineChars="0"/>
        <w:rPr>
          <w:rFonts w:hint="eastAsia" w:hAnsi="宋体" w:eastAsia="宋体" w:cs="宋体"/>
          <w:sz w:val="24"/>
          <w:szCs w:val="24"/>
        </w:rPr>
      </w:pPr>
      <w:r>
        <w:rPr>
          <w:rFonts w:hint="eastAsia" w:hAnsi="宋体" w:eastAsia="宋体" w:cs="宋体"/>
          <w:sz w:val="24"/>
          <w:szCs w:val="24"/>
        </w:rPr>
        <w:t>本标准从实际应用出发，充分考虑了现有相关国家标准和行业标准。编制遵循“统一性、协调性、适用性、一致性、规范性”的原则，注重标准的可操作性，本标准严格按照GB/T 1.1-2020《标准化工作导则 第1部分 标准化文件的结构和起草规则》的规定进行编写和表述。</w:t>
      </w:r>
    </w:p>
    <w:p w14:paraId="7E667AD1">
      <w:pPr>
        <w:pStyle w:val="12"/>
        <w:spacing w:line="360" w:lineRule="auto"/>
        <w:ind w:firstLineChars="0"/>
        <w:rPr>
          <w:rFonts w:hint="eastAsia" w:hAnsi="宋体" w:eastAsia="宋体" w:cs="宋体"/>
          <w:sz w:val="24"/>
          <w:szCs w:val="24"/>
        </w:rPr>
      </w:pPr>
      <w:r>
        <w:rPr>
          <w:rFonts w:hint="eastAsia" w:hAnsi="宋体" w:eastAsia="宋体" w:cs="宋体"/>
          <w:sz w:val="24"/>
          <w:szCs w:val="24"/>
        </w:rPr>
        <w:t>基于GB/T 7261-2016 《继电保护和安全自动装置基本试验方法》对电磁和固态继电器电气参数的分类、测试条件、测试项目、试验方法以及技术要求，充分考虑电磁和固态继电器的实际应用场景，进行电磁和固态继电器电气参数测试方法的编制。</w:t>
      </w:r>
    </w:p>
    <w:p w14:paraId="0AB9BF7C">
      <w:pPr>
        <w:pStyle w:val="12"/>
        <w:spacing w:line="360" w:lineRule="auto"/>
        <w:ind w:firstLine="480"/>
        <w:rPr>
          <w:rFonts w:hint="eastAsia" w:hAnsi="宋体" w:eastAsia="宋体" w:cs="宋体"/>
          <w:sz w:val="24"/>
          <w:szCs w:val="24"/>
        </w:rPr>
      </w:pPr>
      <w:r>
        <w:rPr>
          <w:rFonts w:hint="eastAsia" w:hAnsi="宋体" w:eastAsia="宋体" w:cs="宋体"/>
          <w:sz w:val="24"/>
          <w:szCs w:val="24"/>
        </w:rPr>
        <w:t>充分开展实地调研，了解研究单位、电网企业、发电企业、制造厂执行电磁和固态继电器电气参数测试的技术需求，同时了解目前电磁和固态继电器电气参数测试的主要技术指标与功能要求。</w:t>
      </w:r>
    </w:p>
    <w:p w14:paraId="3CD036F1">
      <w:pPr>
        <w:pStyle w:val="4"/>
        <w:rPr>
          <w:sz w:val="28"/>
          <w:szCs w:val="28"/>
        </w:rPr>
      </w:pPr>
      <w:r>
        <w:rPr>
          <w:rFonts w:hint="eastAsia"/>
          <w:sz w:val="28"/>
          <w:szCs w:val="28"/>
        </w:rPr>
        <w:t>2.2标准主要内容中技术指标、参数、公式、性能要求、试验方法、检验规则依据</w:t>
      </w:r>
    </w:p>
    <w:p w14:paraId="27E0D431">
      <w:pPr>
        <w:pStyle w:val="12"/>
        <w:spacing w:line="360" w:lineRule="auto"/>
        <w:ind w:firstLine="480"/>
        <w:rPr>
          <w:rFonts w:hint="eastAsia" w:hAnsi="宋体" w:eastAsia="宋体" w:cs="宋体"/>
          <w:sz w:val="24"/>
          <w:szCs w:val="24"/>
        </w:rPr>
      </w:pPr>
      <w:r>
        <w:rPr>
          <w:rFonts w:hint="eastAsia" w:hAnsi="宋体" w:eastAsia="宋体" w:cs="宋体"/>
          <w:sz w:val="24"/>
          <w:szCs w:val="24"/>
        </w:rPr>
        <w:t>对电磁和固态继电器的分类、电气参数测试前准备工作、试验条件、测试项目及要求、测试方法的确立是依据了相关国家、行业标准制定的。其中电磁继电器电气参数测试项目及要求、项目和方法、测试环境条件引用了GB/T 7261-2016《继电保</w:t>
      </w:r>
      <w:r>
        <w:rPr>
          <w:rFonts w:hint="eastAsia" w:hAnsi="宋体" w:eastAsia="宋体" w:cs="宋体"/>
          <w:sz w:val="24"/>
          <w:szCs w:val="24"/>
          <w:highlight w:val="none"/>
        </w:rPr>
        <w:t>护和安全自动装置基本试验方法》、GB/T 15510-2008《控制用电磁继电器可靠性试验通则》、JB/T 9568-2000 《电力系统继电器、保护及自动装置通用技术条件》、GB/T 21711.1-2013 《基础机电继电器 第1部分：总则与安全要求》等相关内容；固态继电器电气参数测试要求、项目和方法、测试环境条件引用了GB/T 36640-2018《固态继电器》、GJB1515B-2017《固体继电器通用规范》、QJ 2289-92《固体继电器测试方法》、GJB1515-92《固体继电器总规范》、JB/T 11050-2010《交流固体继电器》、GJB1515A-2001《固体继电器总规范》等相关要求；测试前准备工作应用了DL/T 995-2016《继电保护及电网安全自动装置检验规程》、GB 14048.1-2012《低压开关设备和控制设备 第1部分 总则》；测试条件中电磁继电器电气参数测试设备引用了GB/T 7261-2016《继电保护和安全自</w:t>
      </w:r>
      <w:r>
        <w:rPr>
          <w:rFonts w:hint="eastAsia" w:hAnsi="宋体" w:eastAsia="宋体" w:cs="宋体"/>
          <w:sz w:val="24"/>
          <w:szCs w:val="24"/>
        </w:rPr>
        <w:t>动装置基本试验方法》、GB/T 15510-2008《控制用电磁继电器可靠性试验通则》；测试条件中固态继电器电气参数测试设备引用了JJF(电子)0065-2021《固态继电器测试仪校准规范》。</w:t>
      </w:r>
    </w:p>
    <w:p w14:paraId="13D0001F">
      <w:pPr>
        <w:pStyle w:val="3"/>
        <w:rPr>
          <w:rFonts w:ascii="Times New Roman" w:hAnsi="Times New Roman"/>
          <w:sz w:val="28"/>
          <w:szCs w:val="28"/>
        </w:rPr>
      </w:pPr>
      <w:r>
        <w:rPr>
          <w:rFonts w:hint="eastAsia" w:ascii="Times New Roman" w:hAnsi="Times New Roman"/>
          <w:sz w:val="28"/>
          <w:szCs w:val="28"/>
        </w:rPr>
        <w:t>三</w:t>
      </w:r>
      <w:r>
        <w:rPr>
          <w:rFonts w:ascii="Times New Roman" w:hAnsi="Times New Roman"/>
          <w:sz w:val="28"/>
          <w:szCs w:val="28"/>
        </w:rPr>
        <w:t>、主要试验（或验证）情况</w:t>
      </w:r>
    </w:p>
    <w:p w14:paraId="2FDBA56D">
      <w:pPr>
        <w:pStyle w:val="4"/>
        <w:rPr>
          <w:kern w:val="2"/>
          <w:sz w:val="24"/>
          <w:szCs w:val="24"/>
        </w:rPr>
      </w:pPr>
      <w:r>
        <w:rPr>
          <w:rFonts w:hint="eastAsia"/>
          <w:sz w:val="28"/>
          <w:szCs w:val="28"/>
        </w:rPr>
        <w:t>3</w:t>
      </w:r>
      <w:r>
        <w:rPr>
          <w:sz w:val="28"/>
          <w:szCs w:val="28"/>
        </w:rPr>
        <w:t>.1</w:t>
      </w:r>
      <w:r>
        <w:rPr>
          <w:rFonts w:hint="eastAsia"/>
          <w:sz w:val="28"/>
          <w:szCs w:val="28"/>
        </w:rPr>
        <w:t>检验项目及参考标准</w:t>
      </w:r>
    </w:p>
    <w:p w14:paraId="7ED5E9CC">
      <w:pPr>
        <w:pStyle w:val="12"/>
        <w:spacing w:line="360" w:lineRule="auto"/>
        <w:ind w:firstLine="480"/>
        <w:rPr>
          <w:rFonts w:hint="eastAsia" w:hAnsi="宋体" w:eastAsia="宋体" w:cs="宋体"/>
          <w:sz w:val="24"/>
          <w:szCs w:val="24"/>
        </w:rPr>
      </w:pPr>
      <w:r>
        <w:rPr>
          <w:rFonts w:hint="eastAsia" w:hAnsi="宋体" w:eastAsia="宋体" w:cs="宋体"/>
          <w:sz w:val="24"/>
          <w:szCs w:val="24"/>
        </w:rPr>
        <w:t>在本标准起草工作过程中，委托部分企业对标准中的主要指标分别进行了验证试验。由阳江核电有限公司、台山核电有限公司、苏州热工研究院、北京广利核系统工程有限公司配合开展了验证工作。</w:t>
      </w:r>
    </w:p>
    <w:p w14:paraId="2C76527B">
      <w:pPr>
        <w:pStyle w:val="12"/>
        <w:spacing w:line="360" w:lineRule="auto"/>
        <w:ind w:firstLine="480"/>
        <w:rPr>
          <w:rFonts w:hint="eastAsia" w:hAnsi="宋体" w:eastAsia="宋体" w:cs="宋体"/>
          <w:sz w:val="24"/>
          <w:szCs w:val="24"/>
        </w:rPr>
      </w:pPr>
      <w:r>
        <w:rPr>
          <w:rFonts w:hint="eastAsia" w:hAnsi="宋体" w:eastAsia="宋体" w:cs="宋体"/>
          <w:sz w:val="24"/>
          <w:szCs w:val="24"/>
        </w:rPr>
        <w:t>试验涵盖电磁和固态继电器电气参数所有试验项目。</w:t>
      </w:r>
    </w:p>
    <w:p w14:paraId="4B756A44">
      <w:pPr>
        <w:pStyle w:val="12"/>
        <w:spacing w:line="360" w:lineRule="auto"/>
        <w:ind w:firstLine="480"/>
        <w:rPr>
          <w:rFonts w:hint="eastAsia" w:hAnsi="宋体" w:eastAsia="宋体" w:cs="宋体"/>
          <w:sz w:val="24"/>
          <w:szCs w:val="24"/>
        </w:rPr>
      </w:pPr>
      <w:r>
        <w:rPr>
          <w:rFonts w:hint="eastAsia" w:hAnsi="宋体" w:eastAsia="宋体" w:cs="宋体"/>
          <w:sz w:val="24"/>
          <w:szCs w:val="24"/>
        </w:rPr>
        <w:t>试验方法参考以下标准执行：</w:t>
      </w:r>
    </w:p>
    <w:p w14:paraId="0A3985FD">
      <w:pPr>
        <w:pStyle w:val="12"/>
        <w:spacing w:line="360" w:lineRule="auto"/>
        <w:ind w:firstLine="480"/>
        <w:rPr>
          <w:rFonts w:hint="eastAsia" w:hAnsi="宋体" w:eastAsia="宋体" w:cs="宋体"/>
          <w:sz w:val="24"/>
          <w:szCs w:val="24"/>
        </w:rPr>
      </w:pPr>
      <w:r>
        <w:rPr>
          <w:rFonts w:hint="eastAsia" w:hAnsi="宋体" w:eastAsia="宋体" w:cs="宋体"/>
          <w:sz w:val="24"/>
          <w:szCs w:val="24"/>
        </w:rPr>
        <w:t>GB/T 7261-2016《继电保护和安全自动装置基本试验方法》</w:t>
      </w:r>
    </w:p>
    <w:p w14:paraId="012872D1">
      <w:pPr>
        <w:pStyle w:val="12"/>
        <w:spacing w:line="360" w:lineRule="auto"/>
        <w:ind w:firstLine="480"/>
        <w:rPr>
          <w:rFonts w:hint="eastAsia" w:hAnsi="宋体" w:eastAsia="宋体" w:cs="宋体"/>
          <w:sz w:val="24"/>
          <w:szCs w:val="24"/>
        </w:rPr>
      </w:pPr>
      <w:r>
        <w:rPr>
          <w:rFonts w:hint="eastAsia" w:hAnsi="宋体" w:eastAsia="宋体" w:cs="宋体"/>
          <w:sz w:val="24"/>
          <w:szCs w:val="24"/>
        </w:rPr>
        <w:t>GJB1515B-2017《固体继电器通用规范》</w:t>
      </w:r>
    </w:p>
    <w:p w14:paraId="3A811B6E">
      <w:pPr>
        <w:pStyle w:val="12"/>
        <w:spacing w:line="360" w:lineRule="auto"/>
        <w:ind w:firstLine="480"/>
        <w:rPr>
          <w:rFonts w:hint="eastAsia" w:hAnsi="宋体" w:eastAsia="宋体" w:cs="宋体"/>
          <w:sz w:val="24"/>
          <w:szCs w:val="24"/>
        </w:rPr>
      </w:pPr>
      <w:r>
        <w:rPr>
          <w:rFonts w:hint="eastAsia" w:hAnsi="宋体" w:eastAsia="宋体" w:cs="宋体"/>
          <w:sz w:val="24"/>
          <w:szCs w:val="24"/>
        </w:rPr>
        <w:t>QJ 2289-92《固体继电器测试方法》</w:t>
      </w:r>
    </w:p>
    <w:p w14:paraId="2D89B89A">
      <w:pPr>
        <w:pStyle w:val="12"/>
        <w:spacing w:line="360" w:lineRule="auto"/>
        <w:ind w:firstLine="480"/>
        <w:rPr>
          <w:rFonts w:hint="eastAsia" w:hAnsi="宋体" w:eastAsia="宋体" w:cs="宋体"/>
          <w:sz w:val="24"/>
          <w:szCs w:val="24"/>
        </w:rPr>
      </w:pPr>
      <w:r>
        <w:rPr>
          <w:rFonts w:hint="eastAsia" w:hAnsi="宋体" w:eastAsia="宋体" w:cs="宋体"/>
          <w:sz w:val="24"/>
          <w:szCs w:val="24"/>
        </w:rPr>
        <w:t>DL/T 995-2016《继电保护及电网安全自动装置检验规程》</w:t>
      </w:r>
    </w:p>
    <w:p w14:paraId="196C2861">
      <w:pPr>
        <w:pStyle w:val="12"/>
        <w:spacing w:line="360" w:lineRule="auto"/>
        <w:ind w:firstLine="480"/>
        <w:rPr>
          <w:rFonts w:hint="eastAsia" w:hAnsi="宋体" w:eastAsia="宋体" w:cs="宋体"/>
          <w:sz w:val="24"/>
          <w:szCs w:val="24"/>
          <w:highlight w:val="none"/>
        </w:rPr>
      </w:pPr>
      <w:r>
        <w:rPr>
          <w:rFonts w:hint="eastAsia" w:hAnsi="宋体" w:eastAsia="宋体" w:cs="宋体"/>
          <w:sz w:val="24"/>
          <w:szCs w:val="24"/>
        </w:rPr>
        <w:t>电磁继电器电</w:t>
      </w:r>
      <w:r>
        <w:rPr>
          <w:rFonts w:hint="eastAsia" w:hAnsi="宋体" w:eastAsia="宋体" w:cs="宋体"/>
          <w:sz w:val="24"/>
          <w:szCs w:val="24"/>
          <w:highlight w:val="none"/>
        </w:rPr>
        <w:t>气参数测试共选取76项样品；固态继电器电气参数测试共选取32项样品。</w:t>
      </w:r>
    </w:p>
    <w:p w14:paraId="48509711">
      <w:pPr>
        <w:pStyle w:val="12"/>
        <w:spacing w:line="360" w:lineRule="auto"/>
        <w:ind w:firstLine="0" w:firstLineChars="0"/>
        <w:jc w:val="center"/>
        <w:rPr>
          <w:rFonts w:asciiTheme="minorHAnsi"/>
          <w:sz w:val="24"/>
          <w:szCs w:val="24"/>
        </w:rPr>
      </w:pPr>
      <w:r>
        <w:rPr>
          <w:rFonts w:asciiTheme="minorHAnsi"/>
          <w:sz w:val="24"/>
          <w:szCs w:val="24"/>
        </w:rPr>
        <w:t>表</w:t>
      </w:r>
      <w:r>
        <w:rPr>
          <w:rFonts w:hint="eastAsia" w:asciiTheme="minorHAnsi"/>
          <w:sz w:val="24"/>
          <w:szCs w:val="24"/>
        </w:rPr>
        <w:t>-1</w:t>
      </w:r>
      <w:r>
        <w:rPr>
          <w:rFonts w:asciiTheme="minorHAnsi"/>
          <w:sz w:val="24"/>
          <w:szCs w:val="24"/>
        </w:rPr>
        <w:t xml:space="preserve"> 电磁继电器电气参数测试</w:t>
      </w:r>
    </w:p>
    <w:tbl>
      <w:tblPr>
        <w:tblStyle w:val="8"/>
        <w:tblW w:w="7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842"/>
        <w:gridCol w:w="3552"/>
        <w:gridCol w:w="2268"/>
      </w:tblGrid>
      <w:tr w14:paraId="4D06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3F92179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序号</w:t>
            </w:r>
          </w:p>
        </w:tc>
        <w:tc>
          <w:tcPr>
            <w:tcW w:w="4394" w:type="dxa"/>
            <w:gridSpan w:val="2"/>
            <w:vAlign w:val="center"/>
          </w:tcPr>
          <w:p w14:paraId="39318D6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测试项目、要求、方法</w:t>
            </w:r>
          </w:p>
        </w:tc>
        <w:tc>
          <w:tcPr>
            <w:tcW w:w="2268" w:type="dxa"/>
            <w:vAlign w:val="center"/>
          </w:tcPr>
          <w:p w14:paraId="10AF5DB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与本</w:t>
            </w:r>
            <w:r>
              <w:rPr>
                <w:rFonts w:hint="eastAsia" w:hAnsi="Times New Roman" w:eastAsia="宋体" w:cs="Times New Roman"/>
                <w:color w:val="000000" w:themeColor="text1"/>
                <w:kern w:val="0"/>
                <w:sz w:val="18"/>
                <w:szCs w:val="18"/>
                <w14:textFill>
                  <w14:solidFill>
                    <w14:schemeClr w14:val="tx1"/>
                  </w14:solidFill>
                </w14:textFill>
              </w:rPr>
              <w:t>标准</w:t>
            </w:r>
            <w:r>
              <w:rPr>
                <w:rFonts w:hAnsi="Times New Roman" w:eastAsia="宋体" w:cs="Times New Roman"/>
                <w:color w:val="000000" w:themeColor="text1"/>
                <w:kern w:val="0"/>
                <w:sz w:val="18"/>
                <w:szCs w:val="18"/>
                <w14:textFill>
                  <w14:solidFill>
                    <w14:schemeClr w14:val="tx1"/>
                  </w14:solidFill>
                </w14:textFill>
              </w:rPr>
              <w:t>一致性</w:t>
            </w:r>
          </w:p>
        </w:tc>
      </w:tr>
      <w:tr w14:paraId="50CB0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63900F3B">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p>
        </w:tc>
        <w:tc>
          <w:tcPr>
            <w:tcW w:w="4394" w:type="dxa"/>
            <w:gridSpan w:val="2"/>
            <w:vAlign w:val="center"/>
          </w:tcPr>
          <w:p w14:paraId="2801C15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参数确定</w:t>
            </w:r>
          </w:p>
        </w:tc>
        <w:tc>
          <w:tcPr>
            <w:tcW w:w="2268" w:type="dxa"/>
            <w:vAlign w:val="center"/>
          </w:tcPr>
          <w:p w14:paraId="7731C679">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71EB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3EF4D92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p>
        </w:tc>
        <w:tc>
          <w:tcPr>
            <w:tcW w:w="4394" w:type="dxa"/>
            <w:gridSpan w:val="2"/>
            <w:vAlign w:val="center"/>
          </w:tcPr>
          <w:p w14:paraId="793A0BFE">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多触点接触同步时间</w:t>
            </w:r>
          </w:p>
        </w:tc>
        <w:tc>
          <w:tcPr>
            <w:tcW w:w="2268" w:type="dxa"/>
            <w:vAlign w:val="center"/>
          </w:tcPr>
          <w:p w14:paraId="7EBEEAC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6E43F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0A7576FC">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p>
        </w:tc>
        <w:tc>
          <w:tcPr>
            <w:tcW w:w="4394" w:type="dxa"/>
            <w:gridSpan w:val="2"/>
            <w:vAlign w:val="center"/>
          </w:tcPr>
          <w:p w14:paraId="3164CE1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触点接触电阻</w:t>
            </w:r>
          </w:p>
        </w:tc>
        <w:tc>
          <w:tcPr>
            <w:tcW w:w="2268" w:type="dxa"/>
            <w:vAlign w:val="center"/>
          </w:tcPr>
          <w:p w14:paraId="75E3DBD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3A2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4DD8E461">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4</w:t>
            </w:r>
          </w:p>
        </w:tc>
        <w:tc>
          <w:tcPr>
            <w:tcW w:w="4394" w:type="dxa"/>
            <w:gridSpan w:val="2"/>
            <w:vAlign w:val="center"/>
          </w:tcPr>
          <w:p w14:paraId="199943BD">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线圈直流电阻</w:t>
            </w:r>
          </w:p>
        </w:tc>
        <w:tc>
          <w:tcPr>
            <w:tcW w:w="2268" w:type="dxa"/>
            <w:vAlign w:val="center"/>
          </w:tcPr>
          <w:p w14:paraId="124BD62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A8A9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3F6FBA97">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5</w:t>
            </w:r>
          </w:p>
        </w:tc>
        <w:tc>
          <w:tcPr>
            <w:tcW w:w="842" w:type="dxa"/>
            <w:vMerge w:val="restart"/>
            <w:vAlign w:val="center"/>
          </w:tcPr>
          <w:p w14:paraId="4C2BFAD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变换器</w:t>
            </w:r>
          </w:p>
        </w:tc>
        <w:tc>
          <w:tcPr>
            <w:tcW w:w="3552" w:type="dxa"/>
            <w:vAlign w:val="center"/>
          </w:tcPr>
          <w:p w14:paraId="5FBDFB0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变比</w:t>
            </w:r>
          </w:p>
        </w:tc>
        <w:tc>
          <w:tcPr>
            <w:tcW w:w="2268" w:type="dxa"/>
            <w:vAlign w:val="center"/>
          </w:tcPr>
          <w:p w14:paraId="087B4A1A">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2366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377E2412">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6</w:t>
            </w:r>
          </w:p>
        </w:tc>
        <w:tc>
          <w:tcPr>
            <w:tcW w:w="842" w:type="dxa"/>
            <w:vMerge w:val="continue"/>
            <w:vAlign w:val="center"/>
          </w:tcPr>
          <w:p w14:paraId="10824F36">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p>
        </w:tc>
        <w:tc>
          <w:tcPr>
            <w:tcW w:w="3552" w:type="dxa"/>
            <w:vAlign w:val="center"/>
          </w:tcPr>
          <w:p w14:paraId="3E8C3A22">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转移阻抗和转移阻抗角</w:t>
            </w:r>
          </w:p>
        </w:tc>
        <w:tc>
          <w:tcPr>
            <w:tcW w:w="2268" w:type="dxa"/>
            <w:vAlign w:val="center"/>
          </w:tcPr>
          <w:p w14:paraId="08032E93">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D8C3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3642BC7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7</w:t>
            </w:r>
          </w:p>
        </w:tc>
        <w:tc>
          <w:tcPr>
            <w:tcW w:w="842" w:type="dxa"/>
            <w:vMerge w:val="continue"/>
            <w:vAlign w:val="center"/>
          </w:tcPr>
          <w:p w14:paraId="41F1E739">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p>
        </w:tc>
        <w:tc>
          <w:tcPr>
            <w:tcW w:w="3552" w:type="dxa"/>
            <w:vAlign w:val="center"/>
          </w:tcPr>
          <w:p w14:paraId="33A3FB8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伏安特性</w:t>
            </w:r>
          </w:p>
        </w:tc>
        <w:tc>
          <w:tcPr>
            <w:tcW w:w="2268" w:type="dxa"/>
            <w:vAlign w:val="center"/>
          </w:tcPr>
          <w:p w14:paraId="7EF5BB1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2438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2016BE8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8</w:t>
            </w:r>
          </w:p>
        </w:tc>
        <w:tc>
          <w:tcPr>
            <w:tcW w:w="842" w:type="dxa"/>
            <w:vMerge w:val="continue"/>
            <w:vAlign w:val="center"/>
          </w:tcPr>
          <w:p w14:paraId="668ED55B">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p>
        </w:tc>
        <w:tc>
          <w:tcPr>
            <w:tcW w:w="3552" w:type="dxa"/>
            <w:vAlign w:val="center"/>
          </w:tcPr>
          <w:p w14:paraId="245ADFBD">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相序滤过器输出电压</w:t>
            </w:r>
          </w:p>
        </w:tc>
        <w:tc>
          <w:tcPr>
            <w:tcW w:w="2268" w:type="dxa"/>
            <w:vAlign w:val="center"/>
          </w:tcPr>
          <w:p w14:paraId="5D549D1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08B3D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61B4ABE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9</w:t>
            </w:r>
          </w:p>
        </w:tc>
        <w:tc>
          <w:tcPr>
            <w:tcW w:w="4394" w:type="dxa"/>
            <w:gridSpan w:val="2"/>
            <w:vAlign w:val="center"/>
          </w:tcPr>
          <w:p w14:paraId="4E51F7B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动作/返回值</w:t>
            </w:r>
          </w:p>
        </w:tc>
        <w:tc>
          <w:tcPr>
            <w:tcW w:w="2268" w:type="dxa"/>
            <w:vAlign w:val="center"/>
          </w:tcPr>
          <w:p w14:paraId="4DBFB3B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4AE1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3E32BC1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0</w:t>
            </w:r>
          </w:p>
        </w:tc>
        <w:tc>
          <w:tcPr>
            <w:tcW w:w="4394" w:type="dxa"/>
            <w:gridSpan w:val="2"/>
            <w:vAlign w:val="center"/>
          </w:tcPr>
          <w:p w14:paraId="358CCC0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动作/返回电压范围</w:t>
            </w:r>
          </w:p>
        </w:tc>
        <w:tc>
          <w:tcPr>
            <w:tcW w:w="2268" w:type="dxa"/>
            <w:vAlign w:val="center"/>
          </w:tcPr>
          <w:p w14:paraId="5AEDE287">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9607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59C47767">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1</w:t>
            </w:r>
          </w:p>
        </w:tc>
        <w:tc>
          <w:tcPr>
            <w:tcW w:w="4394" w:type="dxa"/>
            <w:gridSpan w:val="2"/>
            <w:vAlign w:val="center"/>
          </w:tcPr>
          <w:p w14:paraId="1D3205A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动作/返回时间</w:t>
            </w:r>
          </w:p>
        </w:tc>
        <w:tc>
          <w:tcPr>
            <w:tcW w:w="2268" w:type="dxa"/>
            <w:vAlign w:val="center"/>
          </w:tcPr>
          <w:p w14:paraId="7A78309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E303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1EDF002B">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2</w:t>
            </w:r>
          </w:p>
        </w:tc>
        <w:tc>
          <w:tcPr>
            <w:tcW w:w="4394" w:type="dxa"/>
            <w:gridSpan w:val="2"/>
            <w:vAlign w:val="center"/>
          </w:tcPr>
          <w:p w14:paraId="7B1FA71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绝缘电阻</w:t>
            </w:r>
          </w:p>
        </w:tc>
        <w:tc>
          <w:tcPr>
            <w:tcW w:w="2268" w:type="dxa"/>
            <w:vAlign w:val="center"/>
          </w:tcPr>
          <w:p w14:paraId="1162BD1C">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3163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271" w:type="dxa"/>
          </w:tcPr>
          <w:p w14:paraId="5A49ABE0">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3</w:t>
            </w:r>
          </w:p>
        </w:tc>
        <w:tc>
          <w:tcPr>
            <w:tcW w:w="4394" w:type="dxa"/>
            <w:gridSpan w:val="2"/>
            <w:vAlign w:val="center"/>
          </w:tcPr>
          <w:p w14:paraId="5DE29C50">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介质耐压</w:t>
            </w:r>
          </w:p>
        </w:tc>
        <w:tc>
          <w:tcPr>
            <w:tcW w:w="2268" w:type="dxa"/>
            <w:vAlign w:val="center"/>
          </w:tcPr>
          <w:p w14:paraId="0E5A221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bl>
    <w:p w14:paraId="76B313AA">
      <w:pPr>
        <w:pStyle w:val="12"/>
        <w:spacing w:line="360" w:lineRule="auto"/>
        <w:ind w:firstLine="0" w:firstLineChars="0"/>
        <w:jc w:val="center"/>
        <w:rPr>
          <w:rFonts w:hint="eastAsia" w:hAnsi="宋体" w:eastAsia="宋体" w:cs="宋体"/>
          <w:sz w:val="24"/>
          <w:szCs w:val="24"/>
        </w:rPr>
      </w:pPr>
      <w:r>
        <w:rPr>
          <w:rFonts w:hint="eastAsia" w:hAnsi="宋体" w:eastAsia="宋体" w:cs="宋体"/>
          <w:sz w:val="24"/>
          <w:szCs w:val="24"/>
        </w:rPr>
        <w:t>表-2 电磁继电器电气参数测试</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2050"/>
        <w:gridCol w:w="2627"/>
        <w:gridCol w:w="2127"/>
      </w:tblGrid>
      <w:tr w14:paraId="4DB08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vAlign w:val="center"/>
          </w:tcPr>
          <w:p w14:paraId="408E9D5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序号</w:t>
            </w:r>
          </w:p>
        </w:tc>
        <w:tc>
          <w:tcPr>
            <w:tcW w:w="2050" w:type="dxa"/>
            <w:tcBorders>
              <w:right w:val="single" w:color="auto" w:sz="4" w:space="0"/>
            </w:tcBorders>
            <w:vAlign w:val="center"/>
          </w:tcPr>
          <w:p w14:paraId="3963DF6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固态继电器</w:t>
            </w:r>
          </w:p>
          <w:p w14:paraId="627FA45C">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类型</w:t>
            </w:r>
          </w:p>
        </w:tc>
        <w:tc>
          <w:tcPr>
            <w:tcW w:w="2627" w:type="dxa"/>
            <w:tcBorders>
              <w:right w:val="single" w:color="auto" w:sz="4" w:space="0"/>
            </w:tcBorders>
            <w:vAlign w:val="center"/>
          </w:tcPr>
          <w:p w14:paraId="6E6C1A40">
            <w:pPr>
              <w:pStyle w:val="12"/>
              <w:ind w:firstLine="0" w:firstLineChars="0"/>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color w:val="000000" w:themeColor="text1"/>
                <w:kern w:val="0"/>
                <w:sz w:val="18"/>
                <w:szCs w:val="18"/>
                <w14:textFill>
                  <w14:solidFill>
                    <w14:schemeClr w14:val="tx1"/>
                  </w14:solidFill>
                </w14:textFill>
              </w:rPr>
              <w:t>测试项目、要求、方法</w:t>
            </w:r>
          </w:p>
        </w:tc>
        <w:tc>
          <w:tcPr>
            <w:tcW w:w="2127" w:type="dxa"/>
            <w:tcBorders>
              <w:right w:val="single" w:color="auto" w:sz="4" w:space="0"/>
            </w:tcBorders>
            <w:vAlign w:val="center"/>
          </w:tcPr>
          <w:p w14:paraId="15C3802C">
            <w:pPr>
              <w:pStyle w:val="12"/>
              <w:ind w:firstLine="360"/>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与本</w:t>
            </w:r>
            <w:r>
              <w:rPr>
                <w:rFonts w:hint="eastAsia" w:hAnsi="Times New Roman" w:eastAsia="宋体" w:cs="Times New Roman"/>
                <w:color w:val="000000" w:themeColor="text1"/>
                <w:kern w:val="0"/>
                <w:sz w:val="18"/>
                <w:szCs w:val="18"/>
                <w14:textFill>
                  <w14:solidFill>
                    <w14:schemeClr w14:val="tx1"/>
                  </w14:solidFill>
                </w14:textFill>
              </w:rPr>
              <w:t>标准</w:t>
            </w:r>
            <w:r>
              <w:rPr>
                <w:rFonts w:hAnsi="Times New Roman" w:eastAsia="宋体" w:cs="Times New Roman"/>
                <w:color w:val="000000" w:themeColor="text1"/>
                <w:kern w:val="0"/>
                <w:sz w:val="18"/>
                <w:szCs w:val="18"/>
                <w14:textFill>
                  <w14:solidFill>
                    <w14:schemeClr w14:val="tx1"/>
                  </w14:solidFill>
                </w14:textFill>
              </w:rPr>
              <w:t>一致性</w:t>
            </w:r>
          </w:p>
        </w:tc>
      </w:tr>
      <w:tr w14:paraId="21045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0E946D92">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p>
        </w:tc>
        <w:tc>
          <w:tcPr>
            <w:tcW w:w="2050" w:type="dxa"/>
            <w:vMerge w:val="restart"/>
            <w:tcBorders>
              <w:right w:val="single" w:color="auto" w:sz="4" w:space="0"/>
            </w:tcBorders>
            <w:vAlign w:val="center"/>
          </w:tcPr>
          <w:p w14:paraId="00DD0D78">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直流固态继电器</w:t>
            </w:r>
          </w:p>
          <w:p w14:paraId="4EF9375D">
            <w:pPr>
              <w:pStyle w:val="12"/>
              <w:ind w:firstLine="36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Borders>
              <w:left w:val="single" w:color="auto" w:sz="4" w:space="0"/>
            </w:tcBorders>
            <w:vAlign w:val="center"/>
          </w:tcPr>
          <w:p w14:paraId="270E164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参数确定</w:t>
            </w:r>
          </w:p>
        </w:tc>
        <w:tc>
          <w:tcPr>
            <w:tcW w:w="2127" w:type="dxa"/>
            <w:tcBorders>
              <w:left w:val="single" w:color="auto" w:sz="4" w:space="0"/>
            </w:tcBorders>
            <w:vAlign w:val="center"/>
          </w:tcPr>
          <w:p w14:paraId="418C4B1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1EC5E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6C7035A8">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p>
        </w:tc>
        <w:tc>
          <w:tcPr>
            <w:tcW w:w="2050" w:type="dxa"/>
            <w:vMerge w:val="continue"/>
            <w:tcBorders>
              <w:right w:val="single" w:color="auto" w:sz="4" w:space="0"/>
            </w:tcBorders>
            <w:vAlign w:val="center"/>
          </w:tcPr>
          <w:p w14:paraId="49976861">
            <w:pPr>
              <w:pStyle w:val="12"/>
              <w:ind w:firstLine="36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Borders>
              <w:left w:val="single" w:color="auto" w:sz="4" w:space="0"/>
            </w:tcBorders>
            <w:vAlign w:val="center"/>
          </w:tcPr>
          <w:p w14:paraId="5958FA7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反极性</w:t>
            </w:r>
          </w:p>
        </w:tc>
        <w:tc>
          <w:tcPr>
            <w:tcW w:w="2127" w:type="dxa"/>
            <w:tcBorders>
              <w:left w:val="single" w:color="auto" w:sz="4" w:space="0"/>
            </w:tcBorders>
            <w:vAlign w:val="center"/>
          </w:tcPr>
          <w:p w14:paraId="22AA529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03158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72A41136">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p>
        </w:tc>
        <w:tc>
          <w:tcPr>
            <w:tcW w:w="2050" w:type="dxa"/>
            <w:vMerge w:val="continue"/>
            <w:tcBorders>
              <w:right w:val="single" w:color="auto" w:sz="4" w:space="0"/>
            </w:tcBorders>
            <w:vAlign w:val="center"/>
          </w:tcPr>
          <w:p w14:paraId="7F2A6A7F">
            <w:pPr>
              <w:pStyle w:val="12"/>
              <w:ind w:firstLine="36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0202EA09">
            <w:pPr>
              <w:pStyle w:val="12"/>
              <w:ind w:firstLine="0" w:firstLineChars="0"/>
              <w:jc w:val="center"/>
              <w:rPr>
                <w:rFonts w:hAnsi="Times New Roman" w:eastAsia="宋体" w:cs="Times New Roman"/>
                <w:color w:val="000000" w:themeColor="text1"/>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输入电流</w:t>
            </w:r>
          </w:p>
        </w:tc>
        <w:tc>
          <w:tcPr>
            <w:tcW w:w="2127" w:type="dxa"/>
            <w:tcBorders>
              <w:left w:val="single" w:color="auto" w:sz="4" w:space="0"/>
            </w:tcBorders>
            <w:vAlign w:val="center"/>
          </w:tcPr>
          <w:p w14:paraId="754F07A2">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8C8D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78C855F2">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4</w:t>
            </w:r>
          </w:p>
        </w:tc>
        <w:tc>
          <w:tcPr>
            <w:tcW w:w="2050" w:type="dxa"/>
            <w:vMerge w:val="continue"/>
            <w:tcBorders>
              <w:right w:val="single" w:color="auto" w:sz="4" w:space="0"/>
            </w:tcBorders>
            <w:vAlign w:val="center"/>
          </w:tcPr>
          <w:p w14:paraId="0DDF3C61">
            <w:pPr>
              <w:pStyle w:val="12"/>
              <w:ind w:firstLine="36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40F246C2">
            <w:pPr>
              <w:pStyle w:val="12"/>
              <w:ind w:firstLine="0" w:firstLineChars="0"/>
              <w:jc w:val="center"/>
              <w:rPr>
                <w:rFonts w:hAnsi="Times New Roman" w:eastAsia="宋体" w:cs="Times New Roman"/>
                <w:color w:val="000000" w:themeColor="text1"/>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输入接通电压/电流</w:t>
            </w:r>
          </w:p>
        </w:tc>
        <w:tc>
          <w:tcPr>
            <w:tcW w:w="2127" w:type="dxa"/>
            <w:tcBorders>
              <w:left w:val="single" w:color="auto" w:sz="4" w:space="0"/>
            </w:tcBorders>
            <w:vAlign w:val="center"/>
          </w:tcPr>
          <w:p w14:paraId="402C2279">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DA80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3D9A9CF9">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5</w:t>
            </w:r>
          </w:p>
        </w:tc>
        <w:tc>
          <w:tcPr>
            <w:tcW w:w="2050" w:type="dxa"/>
            <w:vMerge w:val="continue"/>
            <w:tcBorders>
              <w:right w:val="single" w:color="auto" w:sz="4" w:space="0"/>
            </w:tcBorders>
            <w:vAlign w:val="center"/>
          </w:tcPr>
          <w:p w14:paraId="47539F3A">
            <w:pPr>
              <w:pStyle w:val="12"/>
              <w:ind w:firstLine="36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7BF29A77">
            <w:pPr>
              <w:pStyle w:val="12"/>
              <w:ind w:firstLine="0" w:firstLineChars="0"/>
              <w:jc w:val="center"/>
              <w:rPr>
                <w:rFonts w:hAnsi="Times New Roman" w:eastAsia="宋体" w:cs="Times New Roman"/>
                <w:color w:val="000000" w:themeColor="text1"/>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输入关断电压</w:t>
            </w:r>
          </w:p>
        </w:tc>
        <w:tc>
          <w:tcPr>
            <w:tcW w:w="2127" w:type="dxa"/>
            <w:tcBorders>
              <w:left w:val="single" w:color="auto" w:sz="4" w:space="0"/>
            </w:tcBorders>
            <w:vAlign w:val="center"/>
          </w:tcPr>
          <w:p w14:paraId="4C9A8E2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40FF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7DF70A05">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6</w:t>
            </w:r>
          </w:p>
        </w:tc>
        <w:tc>
          <w:tcPr>
            <w:tcW w:w="2050" w:type="dxa"/>
            <w:vMerge w:val="continue"/>
            <w:tcBorders>
              <w:right w:val="single" w:color="auto" w:sz="4" w:space="0"/>
            </w:tcBorders>
            <w:vAlign w:val="center"/>
          </w:tcPr>
          <w:p w14:paraId="5DAB2393">
            <w:pPr>
              <w:pStyle w:val="12"/>
              <w:ind w:firstLine="36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7F9D6876">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接通时间</w:t>
            </w:r>
          </w:p>
        </w:tc>
        <w:tc>
          <w:tcPr>
            <w:tcW w:w="2127" w:type="dxa"/>
            <w:tcBorders>
              <w:left w:val="single" w:color="auto" w:sz="4" w:space="0"/>
            </w:tcBorders>
            <w:vAlign w:val="center"/>
          </w:tcPr>
          <w:p w14:paraId="7161988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B42D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42B7AE26">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7</w:t>
            </w:r>
          </w:p>
        </w:tc>
        <w:tc>
          <w:tcPr>
            <w:tcW w:w="2050" w:type="dxa"/>
            <w:vMerge w:val="continue"/>
            <w:tcBorders>
              <w:right w:val="single" w:color="auto" w:sz="4" w:space="0"/>
            </w:tcBorders>
            <w:vAlign w:val="center"/>
          </w:tcPr>
          <w:p w14:paraId="1E2DAAB3">
            <w:pPr>
              <w:pStyle w:val="12"/>
              <w:ind w:firstLine="36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48D575B2">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关断时间</w:t>
            </w:r>
          </w:p>
        </w:tc>
        <w:tc>
          <w:tcPr>
            <w:tcW w:w="2127" w:type="dxa"/>
            <w:tcBorders>
              <w:left w:val="single" w:color="auto" w:sz="4" w:space="0"/>
            </w:tcBorders>
            <w:vAlign w:val="center"/>
          </w:tcPr>
          <w:p w14:paraId="2E4E2A2D">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68C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0A2231A1">
            <w:pPr>
              <w:pStyle w:val="12"/>
              <w:ind w:firstLine="360"/>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8</w:t>
            </w:r>
          </w:p>
        </w:tc>
        <w:tc>
          <w:tcPr>
            <w:tcW w:w="2050" w:type="dxa"/>
            <w:vMerge w:val="continue"/>
            <w:tcBorders>
              <w:right w:val="single" w:color="auto" w:sz="4" w:space="0"/>
            </w:tcBorders>
            <w:vAlign w:val="center"/>
          </w:tcPr>
          <w:p w14:paraId="5011C36B">
            <w:pPr>
              <w:pStyle w:val="12"/>
              <w:ind w:firstLine="36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6181902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输出电压降/输出导通电阻</w:t>
            </w:r>
          </w:p>
        </w:tc>
        <w:tc>
          <w:tcPr>
            <w:tcW w:w="2127" w:type="dxa"/>
            <w:tcBorders>
              <w:left w:val="single" w:color="auto" w:sz="4" w:space="0"/>
            </w:tcBorders>
            <w:vAlign w:val="center"/>
          </w:tcPr>
          <w:p w14:paraId="5EE2039D">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765E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1823926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9</w:t>
            </w:r>
          </w:p>
        </w:tc>
        <w:tc>
          <w:tcPr>
            <w:tcW w:w="2050" w:type="dxa"/>
            <w:vMerge w:val="continue"/>
            <w:tcBorders>
              <w:right w:val="single" w:color="auto" w:sz="4" w:space="0"/>
            </w:tcBorders>
            <w:vAlign w:val="center"/>
          </w:tcPr>
          <w:p w14:paraId="189AB0B4">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1578553A">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输出漏电流</w:t>
            </w:r>
          </w:p>
        </w:tc>
        <w:tc>
          <w:tcPr>
            <w:tcW w:w="2127" w:type="dxa"/>
            <w:tcBorders>
              <w:left w:val="single" w:color="auto" w:sz="4" w:space="0"/>
            </w:tcBorders>
            <w:vAlign w:val="center"/>
          </w:tcPr>
          <w:p w14:paraId="2B26804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0A796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7B30C052">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0</w:t>
            </w:r>
          </w:p>
        </w:tc>
        <w:tc>
          <w:tcPr>
            <w:tcW w:w="2050" w:type="dxa"/>
            <w:vMerge w:val="continue"/>
            <w:tcBorders>
              <w:right w:val="single" w:color="auto" w:sz="4" w:space="0"/>
            </w:tcBorders>
            <w:vAlign w:val="center"/>
          </w:tcPr>
          <w:p w14:paraId="1B288EE8">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376F9A9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瞬态电压</w:t>
            </w:r>
          </w:p>
        </w:tc>
        <w:tc>
          <w:tcPr>
            <w:tcW w:w="2127" w:type="dxa"/>
            <w:tcBorders>
              <w:left w:val="single" w:color="auto" w:sz="4" w:space="0"/>
            </w:tcBorders>
            <w:vAlign w:val="center"/>
          </w:tcPr>
          <w:p w14:paraId="2F9F0D3A">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1DBA2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21F0D3C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1</w:t>
            </w:r>
          </w:p>
        </w:tc>
        <w:tc>
          <w:tcPr>
            <w:tcW w:w="2050" w:type="dxa"/>
            <w:vMerge w:val="continue"/>
            <w:tcBorders>
              <w:right w:val="single" w:color="auto" w:sz="4" w:space="0"/>
            </w:tcBorders>
            <w:vAlign w:val="center"/>
          </w:tcPr>
          <w:p w14:paraId="785F46F0">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287B58E2">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通态电流</w:t>
            </w:r>
          </w:p>
        </w:tc>
        <w:tc>
          <w:tcPr>
            <w:tcW w:w="2127" w:type="dxa"/>
            <w:tcBorders>
              <w:left w:val="single" w:color="auto" w:sz="4" w:space="0"/>
            </w:tcBorders>
            <w:vAlign w:val="center"/>
          </w:tcPr>
          <w:p w14:paraId="2308331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53C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52EDBD6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2</w:t>
            </w:r>
          </w:p>
        </w:tc>
        <w:tc>
          <w:tcPr>
            <w:tcW w:w="2050" w:type="dxa"/>
            <w:vMerge w:val="continue"/>
            <w:tcBorders>
              <w:right w:val="single" w:color="auto" w:sz="4" w:space="0"/>
            </w:tcBorders>
            <w:vAlign w:val="center"/>
          </w:tcPr>
          <w:p w14:paraId="6E82F37C">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7832C58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电气系统峰值</w:t>
            </w:r>
          </w:p>
        </w:tc>
        <w:tc>
          <w:tcPr>
            <w:tcW w:w="2127" w:type="dxa"/>
            <w:tcBorders>
              <w:left w:val="single" w:color="auto" w:sz="4" w:space="0"/>
            </w:tcBorders>
            <w:vAlign w:val="center"/>
          </w:tcPr>
          <w:p w14:paraId="26ACB7C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2F658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7A34647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3</w:t>
            </w:r>
          </w:p>
        </w:tc>
        <w:tc>
          <w:tcPr>
            <w:tcW w:w="2050" w:type="dxa"/>
            <w:vMerge w:val="continue"/>
            <w:tcBorders>
              <w:right w:val="single" w:color="auto" w:sz="4" w:space="0"/>
            </w:tcBorders>
            <w:vAlign w:val="center"/>
          </w:tcPr>
          <w:p w14:paraId="3CC78B93">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40769EA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过负载</w:t>
            </w:r>
          </w:p>
        </w:tc>
        <w:tc>
          <w:tcPr>
            <w:tcW w:w="2127" w:type="dxa"/>
            <w:tcBorders>
              <w:left w:val="single" w:color="auto" w:sz="4" w:space="0"/>
            </w:tcBorders>
            <w:vAlign w:val="center"/>
          </w:tcPr>
          <w:p w14:paraId="77E99EE6">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0CB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0EC1A82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4</w:t>
            </w:r>
          </w:p>
        </w:tc>
        <w:tc>
          <w:tcPr>
            <w:tcW w:w="2050" w:type="dxa"/>
            <w:vMerge w:val="continue"/>
            <w:tcBorders>
              <w:right w:val="single" w:color="auto" w:sz="4" w:space="0"/>
            </w:tcBorders>
            <w:vAlign w:val="center"/>
          </w:tcPr>
          <w:p w14:paraId="3864609E">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5CA9838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电压指数上升率（d</w:t>
            </w:r>
            <w:r>
              <w:rPr>
                <w:rFonts w:hint="eastAsia" w:hAnsi="Times New Roman" w:eastAsia="宋体" w:cs="Times New Roman"/>
                <w:snapToGrid w:val="0"/>
                <w:color w:val="000000" w:themeColor="text1"/>
                <w:kern w:val="0"/>
                <w:sz w:val="18"/>
                <w:szCs w:val="18"/>
                <w14:textFill>
                  <w14:solidFill>
                    <w14:schemeClr w14:val="tx1"/>
                  </w14:solidFill>
                </w14:textFill>
              </w:rPr>
              <w:t>V</w:t>
            </w:r>
            <w:r>
              <w:rPr>
                <w:rFonts w:hAnsi="Times New Roman" w:eastAsia="宋体" w:cs="Times New Roman"/>
                <w:snapToGrid w:val="0"/>
                <w:color w:val="000000" w:themeColor="text1"/>
                <w:kern w:val="0"/>
                <w:sz w:val="18"/>
                <w:szCs w:val="18"/>
                <w14:textFill>
                  <w14:solidFill>
                    <w14:schemeClr w14:val="tx1"/>
                  </w14:solidFill>
                </w14:textFill>
              </w:rPr>
              <w:t>/dt）</w:t>
            </w:r>
          </w:p>
        </w:tc>
        <w:tc>
          <w:tcPr>
            <w:tcW w:w="2127" w:type="dxa"/>
            <w:tcBorders>
              <w:left w:val="single" w:color="auto" w:sz="4" w:space="0"/>
            </w:tcBorders>
            <w:vAlign w:val="center"/>
          </w:tcPr>
          <w:p w14:paraId="5C4D742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2A43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746D543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5</w:t>
            </w:r>
          </w:p>
        </w:tc>
        <w:tc>
          <w:tcPr>
            <w:tcW w:w="2050" w:type="dxa"/>
            <w:vMerge w:val="continue"/>
            <w:tcBorders>
              <w:right w:val="single" w:color="auto" w:sz="4" w:space="0"/>
            </w:tcBorders>
            <w:vAlign w:val="center"/>
          </w:tcPr>
          <w:p w14:paraId="2D25BB1A">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28068E97">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功率损耗</w:t>
            </w:r>
            <w:r>
              <w:rPr>
                <w:rFonts w:hint="eastAsia" w:hAnsi="Times New Roman" w:eastAsia="宋体" w:cs="Times New Roman"/>
                <w:snapToGrid w:val="0"/>
                <w:color w:val="000000" w:themeColor="text1"/>
                <w:kern w:val="0"/>
                <w:sz w:val="18"/>
                <w:szCs w:val="18"/>
                <w14:textFill>
                  <w14:solidFill>
                    <w14:schemeClr w14:val="tx1"/>
                  </w14:solidFill>
                </w14:textFill>
              </w:rPr>
              <w:t>-接通状态</w:t>
            </w:r>
          </w:p>
        </w:tc>
        <w:tc>
          <w:tcPr>
            <w:tcW w:w="2127" w:type="dxa"/>
            <w:tcBorders>
              <w:left w:val="single" w:color="auto" w:sz="4" w:space="0"/>
            </w:tcBorders>
            <w:vAlign w:val="center"/>
          </w:tcPr>
          <w:p w14:paraId="2C6AB43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6E68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5379B56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6</w:t>
            </w:r>
          </w:p>
        </w:tc>
        <w:tc>
          <w:tcPr>
            <w:tcW w:w="2050" w:type="dxa"/>
            <w:vMerge w:val="continue"/>
            <w:tcBorders>
              <w:right w:val="single" w:color="auto" w:sz="4" w:space="0"/>
            </w:tcBorders>
            <w:vAlign w:val="center"/>
          </w:tcPr>
          <w:p w14:paraId="181CBBEC">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1E8C780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功率损耗</w:t>
            </w:r>
            <w:r>
              <w:rPr>
                <w:rFonts w:hint="eastAsia" w:hAnsi="Times New Roman" w:eastAsia="宋体" w:cs="Times New Roman"/>
                <w:snapToGrid w:val="0"/>
                <w:color w:val="000000" w:themeColor="text1"/>
                <w:kern w:val="0"/>
                <w:sz w:val="18"/>
                <w:szCs w:val="18"/>
                <w14:textFill>
                  <w14:solidFill>
                    <w14:schemeClr w14:val="tx1"/>
                  </w14:solidFill>
                </w14:textFill>
              </w:rPr>
              <w:t>-关断状态</w:t>
            </w:r>
          </w:p>
        </w:tc>
        <w:tc>
          <w:tcPr>
            <w:tcW w:w="2127" w:type="dxa"/>
            <w:tcBorders>
              <w:left w:val="single" w:color="auto" w:sz="4" w:space="0"/>
            </w:tcBorders>
            <w:vAlign w:val="center"/>
          </w:tcPr>
          <w:p w14:paraId="12A2734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D17D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34967DDB">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7</w:t>
            </w:r>
          </w:p>
        </w:tc>
        <w:tc>
          <w:tcPr>
            <w:tcW w:w="2050" w:type="dxa"/>
            <w:vMerge w:val="continue"/>
            <w:tcBorders>
              <w:right w:val="single" w:color="auto" w:sz="4" w:space="0"/>
            </w:tcBorders>
            <w:vAlign w:val="center"/>
          </w:tcPr>
          <w:p w14:paraId="5F2C025E">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48791EA7">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绝缘电阻</w:t>
            </w:r>
          </w:p>
        </w:tc>
        <w:tc>
          <w:tcPr>
            <w:tcW w:w="2127" w:type="dxa"/>
            <w:tcBorders>
              <w:left w:val="single" w:color="auto" w:sz="4" w:space="0"/>
            </w:tcBorders>
            <w:vAlign w:val="center"/>
          </w:tcPr>
          <w:p w14:paraId="7E248006">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0982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Borders>
              <w:right w:val="single" w:color="auto" w:sz="4" w:space="0"/>
            </w:tcBorders>
          </w:tcPr>
          <w:p w14:paraId="4F7C8100">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8</w:t>
            </w:r>
          </w:p>
        </w:tc>
        <w:tc>
          <w:tcPr>
            <w:tcW w:w="2050" w:type="dxa"/>
            <w:vMerge w:val="continue"/>
            <w:tcBorders>
              <w:right w:val="single" w:color="auto" w:sz="4" w:space="0"/>
            </w:tcBorders>
            <w:vAlign w:val="center"/>
          </w:tcPr>
          <w:p w14:paraId="6944EEE1">
            <w:pPr>
              <w:pStyle w:val="12"/>
              <w:ind w:firstLine="0" w:firstLineChars="0"/>
              <w:jc w:val="center"/>
              <w:rPr>
                <w:rFonts w:hAnsi="Times New Roman" w:eastAsia="宋体" w:cs="Times New Roman"/>
                <w:snapToGrid w:val="0"/>
                <w:color w:val="000000" w:themeColor="text1"/>
                <w:sz w:val="18"/>
                <w:szCs w:val="18"/>
                <w14:textFill>
                  <w14:solidFill>
                    <w14:schemeClr w14:val="tx1"/>
                  </w14:solidFill>
                </w14:textFill>
              </w:rPr>
            </w:pPr>
          </w:p>
        </w:tc>
        <w:tc>
          <w:tcPr>
            <w:tcW w:w="2627" w:type="dxa"/>
            <w:tcBorders>
              <w:left w:val="single" w:color="auto" w:sz="4" w:space="0"/>
            </w:tcBorders>
            <w:vAlign w:val="center"/>
          </w:tcPr>
          <w:p w14:paraId="13863CF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介质耐压</w:t>
            </w:r>
          </w:p>
        </w:tc>
        <w:tc>
          <w:tcPr>
            <w:tcW w:w="2127" w:type="dxa"/>
            <w:tcBorders>
              <w:left w:val="single" w:color="auto" w:sz="4" w:space="0"/>
            </w:tcBorders>
            <w:vAlign w:val="center"/>
          </w:tcPr>
          <w:p w14:paraId="05D79F2C">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C78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57E0B75D">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1</w:t>
            </w:r>
            <w:r>
              <w:rPr>
                <w:rFonts w:hAnsi="Times New Roman" w:eastAsia="宋体" w:cs="Times New Roman"/>
                <w:snapToGrid w:val="0"/>
                <w:color w:val="000000" w:themeColor="text1"/>
                <w:kern w:val="0"/>
                <w:sz w:val="18"/>
                <w:szCs w:val="18"/>
                <w14:textFill>
                  <w14:solidFill>
                    <w14:schemeClr w14:val="tx1"/>
                  </w14:solidFill>
                </w14:textFill>
              </w:rPr>
              <w:t>9</w:t>
            </w:r>
          </w:p>
        </w:tc>
        <w:tc>
          <w:tcPr>
            <w:tcW w:w="2050" w:type="dxa"/>
            <w:vMerge w:val="restart"/>
            <w:vAlign w:val="center"/>
          </w:tcPr>
          <w:p w14:paraId="693F9182">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有偏置固态继电器</w:t>
            </w:r>
          </w:p>
        </w:tc>
        <w:tc>
          <w:tcPr>
            <w:tcW w:w="2627" w:type="dxa"/>
            <w:vAlign w:val="center"/>
          </w:tcPr>
          <w:p w14:paraId="71051D2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偏置电流</w:t>
            </w:r>
          </w:p>
        </w:tc>
        <w:tc>
          <w:tcPr>
            <w:tcW w:w="2127" w:type="dxa"/>
            <w:vAlign w:val="center"/>
          </w:tcPr>
          <w:p w14:paraId="219BC72A">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59A6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109176C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0</w:t>
            </w:r>
          </w:p>
        </w:tc>
        <w:tc>
          <w:tcPr>
            <w:tcW w:w="2050" w:type="dxa"/>
            <w:vMerge w:val="continue"/>
            <w:vAlign w:val="center"/>
          </w:tcPr>
          <w:p w14:paraId="598366D0">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vAlign w:val="center"/>
          </w:tcPr>
          <w:p w14:paraId="19707C39">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控制电流</w:t>
            </w:r>
          </w:p>
        </w:tc>
        <w:tc>
          <w:tcPr>
            <w:tcW w:w="2127" w:type="dxa"/>
            <w:vAlign w:val="center"/>
          </w:tcPr>
          <w:p w14:paraId="58AA4ED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684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0CA71F12">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1</w:t>
            </w:r>
          </w:p>
        </w:tc>
        <w:tc>
          <w:tcPr>
            <w:tcW w:w="2050" w:type="dxa"/>
            <w:vMerge w:val="continue"/>
            <w:vAlign w:val="center"/>
          </w:tcPr>
          <w:p w14:paraId="189FB7D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vAlign w:val="center"/>
          </w:tcPr>
          <w:p w14:paraId="7ABA009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控制接通电压</w:t>
            </w:r>
          </w:p>
        </w:tc>
        <w:tc>
          <w:tcPr>
            <w:tcW w:w="2127" w:type="dxa"/>
            <w:vAlign w:val="center"/>
          </w:tcPr>
          <w:p w14:paraId="45F723D3">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491B0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6BB38BC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2</w:t>
            </w:r>
          </w:p>
        </w:tc>
        <w:tc>
          <w:tcPr>
            <w:tcW w:w="2050" w:type="dxa"/>
            <w:vMerge w:val="continue"/>
            <w:vAlign w:val="center"/>
          </w:tcPr>
          <w:p w14:paraId="1027635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vAlign w:val="center"/>
          </w:tcPr>
          <w:p w14:paraId="2DBCAAC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控制</w:t>
            </w:r>
            <w:r>
              <w:rPr>
                <w:rFonts w:hAnsi="Times New Roman" w:eastAsia="宋体" w:cs="Times New Roman"/>
                <w:snapToGrid w:val="0"/>
                <w:color w:val="000000" w:themeColor="text1"/>
                <w:kern w:val="0"/>
                <w:sz w:val="18"/>
                <w:szCs w:val="18"/>
                <w14:textFill>
                  <w14:solidFill>
                    <w14:schemeClr w14:val="tx1"/>
                  </w14:solidFill>
                </w14:textFill>
              </w:rPr>
              <w:t>关断电压</w:t>
            </w:r>
          </w:p>
        </w:tc>
        <w:tc>
          <w:tcPr>
            <w:tcW w:w="2127" w:type="dxa"/>
            <w:vAlign w:val="center"/>
          </w:tcPr>
          <w:p w14:paraId="07EDB41D">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1A9A7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70468256">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3</w:t>
            </w:r>
          </w:p>
        </w:tc>
        <w:tc>
          <w:tcPr>
            <w:tcW w:w="2050" w:type="dxa"/>
            <w:vMerge w:val="restart"/>
            <w:vAlign w:val="center"/>
          </w:tcPr>
          <w:p w14:paraId="6375D670">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保护型固态继电器</w:t>
            </w:r>
          </w:p>
        </w:tc>
        <w:tc>
          <w:tcPr>
            <w:tcW w:w="2627" w:type="dxa"/>
            <w:vAlign w:val="center"/>
          </w:tcPr>
          <w:p w14:paraId="58CE5D0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过载不跳闸电流</w:t>
            </w:r>
          </w:p>
        </w:tc>
        <w:tc>
          <w:tcPr>
            <w:tcW w:w="2127" w:type="dxa"/>
            <w:vAlign w:val="center"/>
          </w:tcPr>
          <w:p w14:paraId="308F2BBC">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8D5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70B01D9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4</w:t>
            </w:r>
          </w:p>
        </w:tc>
        <w:tc>
          <w:tcPr>
            <w:tcW w:w="2050" w:type="dxa"/>
            <w:vMerge w:val="continue"/>
            <w:vAlign w:val="center"/>
          </w:tcPr>
          <w:p w14:paraId="7711F59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vAlign w:val="center"/>
          </w:tcPr>
          <w:p w14:paraId="62C05787">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过载跳闸电流</w:t>
            </w:r>
          </w:p>
        </w:tc>
        <w:tc>
          <w:tcPr>
            <w:tcW w:w="2127" w:type="dxa"/>
            <w:vAlign w:val="center"/>
          </w:tcPr>
          <w:p w14:paraId="4178881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02C0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7C3AC85F">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5</w:t>
            </w:r>
          </w:p>
        </w:tc>
        <w:tc>
          <w:tcPr>
            <w:tcW w:w="2050" w:type="dxa"/>
            <w:vMerge w:val="continue"/>
            <w:vAlign w:val="center"/>
          </w:tcPr>
          <w:p w14:paraId="1A3E9D61">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vAlign w:val="center"/>
          </w:tcPr>
          <w:p w14:paraId="15E4EDE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负载短路时接通</w:t>
            </w:r>
          </w:p>
        </w:tc>
        <w:tc>
          <w:tcPr>
            <w:tcW w:w="2127" w:type="dxa"/>
            <w:vAlign w:val="center"/>
          </w:tcPr>
          <w:p w14:paraId="10F4427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13875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51B6B1DC">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6</w:t>
            </w:r>
          </w:p>
        </w:tc>
        <w:tc>
          <w:tcPr>
            <w:tcW w:w="2050" w:type="dxa"/>
            <w:vMerge w:val="continue"/>
            <w:vAlign w:val="center"/>
          </w:tcPr>
          <w:p w14:paraId="07299B5B">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vAlign w:val="center"/>
          </w:tcPr>
          <w:p w14:paraId="613B83C3">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接通时负载短路</w:t>
            </w:r>
          </w:p>
        </w:tc>
        <w:tc>
          <w:tcPr>
            <w:tcW w:w="2127" w:type="dxa"/>
            <w:vAlign w:val="center"/>
          </w:tcPr>
          <w:p w14:paraId="6A940F62">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17A0A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0E6415B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7</w:t>
            </w:r>
          </w:p>
        </w:tc>
        <w:tc>
          <w:tcPr>
            <w:tcW w:w="2050" w:type="dxa"/>
            <w:vMerge w:val="restart"/>
          </w:tcPr>
          <w:p w14:paraId="3D1A58E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状态固态继电器</w:t>
            </w:r>
          </w:p>
        </w:tc>
        <w:tc>
          <w:tcPr>
            <w:tcW w:w="2627" w:type="dxa"/>
          </w:tcPr>
          <w:p w14:paraId="6B9F47C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状态接通时间</w:t>
            </w:r>
          </w:p>
        </w:tc>
        <w:tc>
          <w:tcPr>
            <w:tcW w:w="2127" w:type="dxa"/>
            <w:vAlign w:val="center"/>
          </w:tcPr>
          <w:p w14:paraId="1944DC02">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613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1AC2520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8</w:t>
            </w:r>
          </w:p>
        </w:tc>
        <w:tc>
          <w:tcPr>
            <w:tcW w:w="2050" w:type="dxa"/>
            <w:vMerge w:val="continue"/>
          </w:tcPr>
          <w:p w14:paraId="30829B1B">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5779D8DC">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状态关断时间</w:t>
            </w:r>
          </w:p>
        </w:tc>
        <w:tc>
          <w:tcPr>
            <w:tcW w:w="2127" w:type="dxa"/>
            <w:vAlign w:val="center"/>
          </w:tcPr>
          <w:p w14:paraId="564C62A9">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6847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0683C84A">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2</w:t>
            </w:r>
            <w:r>
              <w:rPr>
                <w:rFonts w:hAnsi="Times New Roman" w:eastAsia="宋体" w:cs="Times New Roman"/>
                <w:snapToGrid w:val="0"/>
                <w:color w:val="000000" w:themeColor="text1"/>
                <w:kern w:val="0"/>
                <w:sz w:val="18"/>
                <w:szCs w:val="18"/>
                <w14:textFill>
                  <w14:solidFill>
                    <w14:schemeClr w14:val="tx1"/>
                  </w14:solidFill>
                </w14:textFill>
              </w:rPr>
              <w:t>9</w:t>
            </w:r>
          </w:p>
        </w:tc>
        <w:tc>
          <w:tcPr>
            <w:tcW w:w="2050" w:type="dxa"/>
            <w:vMerge w:val="continue"/>
          </w:tcPr>
          <w:p w14:paraId="3BC6889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1199801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状态接通电压</w:t>
            </w:r>
          </w:p>
        </w:tc>
        <w:tc>
          <w:tcPr>
            <w:tcW w:w="2127" w:type="dxa"/>
            <w:vAlign w:val="center"/>
          </w:tcPr>
          <w:p w14:paraId="448212C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927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2CD9BE0C">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0</w:t>
            </w:r>
          </w:p>
        </w:tc>
        <w:tc>
          <w:tcPr>
            <w:tcW w:w="2050" w:type="dxa"/>
            <w:vMerge w:val="continue"/>
          </w:tcPr>
          <w:p w14:paraId="30025952">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7C3AA19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状态关断电压</w:t>
            </w:r>
          </w:p>
        </w:tc>
        <w:tc>
          <w:tcPr>
            <w:tcW w:w="2127" w:type="dxa"/>
            <w:vAlign w:val="center"/>
          </w:tcPr>
          <w:p w14:paraId="7861E9A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7ABEB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12814081">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1</w:t>
            </w:r>
          </w:p>
        </w:tc>
        <w:tc>
          <w:tcPr>
            <w:tcW w:w="2050" w:type="dxa"/>
            <w:vMerge w:val="continue"/>
          </w:tcPr>
          <w:p w14:paraId="16163431">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0E312A6E">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状态阻断电压</w:t>
            </w:r>
          </w:p>
        </w:tc>
        <w:tc>
          <w:tcPr>
            <w:tcW w:w="2127" w:type="dxa"/>
            <w:vAlign w:val="center"/>
          </w:tcPr>
          <w:p w14:paraId="44753A9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72FA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2CEA24ED">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2</w:t>
            </w:r>
          </w:p>
        </w:tc>
        <w:tc>
          <w:tcPr>
            <w:tcW w:w="2050" w:type="dxa"/>
            <w:vMerge w:val="continue"/>
          </w:tcPr>
          <w:p w14:paraId="32C713E7">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647B0C83">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状态漏电流</w:t>
            </w:r>
          </w:p>
        </w:tc>
        <w:tc>
          <w:tcPr>
            <w:tcW w:w="2127" w:type="dxa"/>
            <w:vAlign w:val="center"/>
          </w:tcPr>
          <w:p w14:paraId="34F3A22A">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1BF9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4ECC30E0">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3</w:t>
            </w:r>
          </w:p>
        </w:tc>
        <w:tc>
          <w:tcPr>
            <w:tcW w:w="2050" w:type="dxa"/>
            <w:vMerge w:val="restart"/>
          </w:tcPr>
          <w:p w14:paraId="68A0C8DC">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交流固态继电器</w:t>
            </w:r>
          </w:p>
        </w:tc>
        <w:tc>
          <w:tcPr>
            <w:tcW w:w="2627" w:type="dxa"/>
          </w:tcPr>
          <w:p w14:paraId="2C2FE50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直流失调电压</w:t>
            </w:r>
          </w:p>
        </w:tc>
        <w:tc>
          <w:tcPr>
            <w:tcW w:w="2127" w:type="dxa"/>
            <w:vAlign w:val="center"/>
          </w:tcPr>
          <w:p w14:paraId="76FAE74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4E3ED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158624B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4</w:t>
            </w:r>
          </w:p>
        </w:tc>
        <w:tc>
          <w:tcPr>
            <w:tcW w:w="2050" w:type="dxa"/>
            <w:vMerge w:val="continue"/>
          </w:tcPr>
          <w:p w14:paraId="082E5D4E">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2C961615">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波形失真</w:t>
            </w:r>
          </w:p>
        </w:tc>
        <w:tc>
          <w:tcPr>
            <w:tcW w:w="2127" w:type="dxa"/>
            <w:vAlign w:val="center"/>
          </w:tcPr>
          <w:p w14:paraId="46A65AD4">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34FF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1B859163">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5</w:t>
            </w:r>
          </w:p>
        </w:tc>
        <w:tc>
          <w:tcPr>
            <w:tcW w:w="2050" w:type="dxa"/>
            <w:vMerge w:val="continue"/>
          </w:tcPr>
          <w:p w14:paraId="158BFC69">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371691BF">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最小负载电流</w:t>
            </w:r>
          </w:p>
        </w:tc>
        <w:tc>
          <w:tcPr>
            <w:tcW w:w="2127" w:type="dxa"/>
            <w:vAlign w:val="center"/>
          </w:tcPr>
          <w:p w14:paraId="599BC383">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4E79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4397C40F">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6</w:t>
            </w:r>
          </w:p>
        </w:tc>
        <w:tc>
          <w:tcPr>
            <w:tcW w:w="2050" w:type="dxa"/>
            <w:vMerge w:val="continue"/>
          </w:tcPr>
          <w:p w14:paraId="491E4C4B">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p>
        </w:tc>
        <w:tc>
          <w:tcPr>
            <w:tcW w:w="2627" w:type="dxa"/>
          </w:tcPr>
          <w:p w14:paraId="3244BD23">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零点交越</w:t>
            </w:r>
          </w:p>
        </w:tc>
        <w:tc>
          <w:tcPr>
            <w:tcW w:w="2127" w:type="dxa"/>
            <w:vAlign w:val="center"/>
          </w:tcPr>
          <w:p w14:paraId="60015B80">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r w14:paraId="53A23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988" w:type="dxa"/>
          </w:tcPr>
          <w:p w14:paraId="3CCF0625">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3</w:t>
            </w:r>
            <w:r>
              <w:rPr>
                <w:rFonts w:hAnsi="Times New Roman" w:eastAsia="宋体" w:cs="Times New Roman"/>
                <w:snapToGrid w:val="0"/>
                <w:color w:val="000000" w:themeColor="text1"/>
                <w:kern w:val="0"/>
                <w:sz w:val="18"/>
                <w:szCs w:val="18"/>
                <w14:textFill>
                  <w14:solidFill>
                    <w14:schemeClr w14:val="tx1"/>
                  </w14:solidFill>
                </w14:textFill>
              </w:rPr>
              <w:t>7</w:t>
            </w:r>
          </w:p>
        </w:tc>
        <w:tc>
          <w:tcPr>
            <w:tcW w:w="2050" w:type="dxa"/>
          </w:tcPr>
          <w:p w14:paraId="082FBD7D">
            <w:pPr>
              <w:pStyle w:val="12"/>
              <w:ind w:firstLine="0" w:firstLineChars="0"/>
              <w:jc w:val="center"/>
              <w:rPr>
                <w:rFonts w:hAnsi="Times New Roman" w:eastAsia="宋体" w:cs="Times New Roman"/>
                <w:snapToGrid w:val="0"/>
                <w:color w:val="000000" w:themeColor="text1"/>
                <w:kern w:val="0"/>
                <w:sz w:val="18"/>
                <w:szCs w:val="18"/>
                <w14:textFill>
                  <w14:solidFill>
                    <w14:schemeClr w14:val="tx1"/>
                  </w14:solidFill>
                </w14:textFill>
              </w:rPr>
            </w:pPr>
            <w:r>
              <w:rPr>
                <w:rFonts w:hint="eastAsia" w:hAnsi="Times New Roman" w:eastAsia="宋体" w:cs="Times New Roman"/>
                <w:snapToGrid w:val="0"/>
                <w:color w:val="000000" w:themeColor="text1"/>
                <w:kern w:val="0"/>
                <w:sz w:val="18"/>
                <w:szCs w:val="18"/>
                <w14:textFill>
                  <w14:solidFill>
                    <w14:schemeClr w14:val="tx1"/>
                  </w14:solidFill>
                </w14:textFill>
              </w:rPr>
              <w:t>光MOS继电器</w:t>
            </w:r>
          </w:p>
        </w:tc>
        <w:tc>
          <w:tcPr>
            <w:tcW w:w="2627" w:type="dxa"/>
          </w:tcPr>
          <w:p w14:paraId="7C4107F8">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snapToGrid w:val="0"/>
                <w:color w:val="000000" w:themeColor="text1"/>
                <w:kern w:val="0"/>
                <w:sz w:val="18"/>
                <w:szCs w:val="18"/>
                <w14:textFill>
                  <w14:solidFill>
                    <w14:schemeClr w14:val="tx1"/>
                  </w14:solidFill>
                </w14:textFill>
              </w:rPr>
              <w:t>输入电流正向电压降</w:t>
            </w:r>
          </w:p>
        </w:tc>
        <w:tc>
          <w:tcPr>
            <w:tcW w:w="2127" w:type="dxa"/>
            <w:vAlign w:val="center"/>
          </w:tcPr>
          <w:p w14:paraId="7F959F91">
            <w:pPr>
              <w:pStyle w:val="12"/>
              <w:ind w:firstLine="0" w:firstLineChars="0"/>
              <w:jc w:val="center"/>
              <w:rPr>
                <w:rFonts w:hAnsi="Times New Roman" w:eastAsia="宋体" w:cs="Times New Roman"/>
                <w:color w:val="000000" w:themeColor="text1"/>
                <w:kern w:val="0"/>
                <w:sz w:val="18"/>
                <w:szCs w:val="18"/>
                <w14:textFill>
                  <w14:solidFill>
                    <w14:schemeClr w14:val="tx1"/>
                  </w14:solidFill>
                </w14:textFill>
              </w:rPr>
            </w:pPr>
            <w:r>
              <w:rPr>
                <w:rFonts w:hAnsi="Times New Roman" w:eastAsia="宋体" w:cs="Times New Roman"/>
                <w:color w:val="000000" w:themeColor="text1"/>
                <w:kern w:val="0"/>
                <w:sz w:val="18"/>
                <w:szCs w:val="18"/>
                <w14:textFill>
                  <w14:solidFill>
                    <w14:schemeClr w14:val="tx1"/>
                  </w14:solidFill>
                </w14:textFill>
              </w:rPr>
              <w:t>一致</w:t>
            </w:r>
          </w:p>
        </w:tc>
      </w:tr>
    </w:tbl>
    <w:p w14:paraId="48AE34F4">
      <w:pPr>
        <w:pStyle w:val="4"/>
        <w:rPr>
          <w:color w:val="auto"/>
          <w:kern w:val="2"/>
          <w:sz w:val="28"/>
          <w:szCs w:val="28"/>
          <w:highlight w:val="none"/>
        </w:rPr>
      </w:pPr>
      <w:r>
        <w:rPr>
          <w:rFonts w:hint="eastAsia"/>
          <w:color w:val="auto"/>
          <w:sz w:val="28"/>
          <w:szCs w:val="28"/>
          <w:highlight w:val="none"/>
        </w:rPr>
        <w:t>3</w:t>
      </w:r>
      <w:r>
        <w:rPr>
          <w:color w:val="auto"/>
          <w:sz w:val="28"/>
          <w:szCs w:val="28"/>
          <w:highlight w:val="none"/>
        </w:rPr>
        <w:t>.</w:t>
      </w:r>
      <w:r>
        <w:rPr>
          <w:rFonts w:hint="eastAsia"/>
          <w:color w:val="auto"/>
          <w:sz w:val="28"/>
          <w:szCs w:val="28"/>
          <w:highlight w:val="none"/>
        </w:rPr>
        <w:t>2检验结果</w:t>
      </w:r>
    </w:p>
    <w:p w14:paraId="16114032">
      <w:pPr>
        <w:pStyle w:val="12"/>
        <w:spacing w:line="360" w:lineRule="auto"/>
        <w:ind w:firstLine="480"/>
        <w:rPr>
          <w:rFonts w:asciiTheme="minorHAnsi"/>
          <w:color w:val="auto"/>
          <w:sz w:val="24"/>
          <w:szCs w:val="24"/>
          <w:highlight w:val="none"/>
        </w:rPr>
      </w:pPr>
      <w:r>
        <w:rPr>
          <w:rFonts w:hint="eastAsia" w:asciiTheme="minorHAnsi"/>
          <w:color w:val="auto"/>
          <w:sz w:val="24"/>
          <w:szCs w:val="24"/>
          <w:highlight w:val="none"/>
        </w:rPr>
        <w:t>核查所有企业样品技术要求和方法，所检项目符合《电磁和固态继电器电气参数测试方法》要求。</w:t>
      </w:r>
    </w:p>
    <w:p w14:paraId="6D4023C3">
      <w:pPr>
        <w:pStyle w:val="3"/>
        <w:rPr>
          <w:rFonts w:ascii="Times New Roman" w:hAnsi="Times New Roman"/>
          <w:sz w:val="28"/>
          <w:szCs w:val="28"/>
        </w:rPr>
      </w:pPr>
      <w:r>
        <w:rPr>
          <w:rFonts w:hint="eastAsia" w:ascii="Times New Roman" w:hAnsi="Times New Roman"/>
          <w:sz w:val="28"/>
          <w:szCs w:val="28"/>
        </w:rPr>
        <w:t>四、标准涉及国内外专利及处置情况</w:t>
      </w:r>
    </w:p>
    <w:p w14:paraId="22DB04FA">
      <w:pPr>
        <w:spacing w:line="360" w:lineRule="auto"/>
        <w:ind w:firstLine="480" w:firstLineChars="200"/>
        <w:rPr>
          <w:sz w:val="24"/>
          <w:szCs w:val="24"/>
        </w:rPr>
      </w:pPr>
      <w:r>
        <w:rPr>
          <w:rFonts w:hint="eastAsia"/>
          <w:sz w:val="24"/>
          <w:szCs w:val="24"/>
        </w:rPr>
        <w:t>无</w:t>
      </w:r>
      <w:r>
        <w:rPr>
          <w:sz w:val="24"/>
          <w:szCs w:val="24"/>
        </w:rPr>
        <w:t>。</w:t>
      </w:r>
    </w:p>
    <w:p w14:paraId="75A431B1">
      <w:pPr>
        <w:pStyle w:val="3"/>
        <w:rPr>
          <w:rFonts w:ascii="Times New Roman" w:hAnsi="Times New Roman"/>
          <w:sz w:val="28"/>
          <w:szCs w:val="28"/>
        </w:rPr>
      </w:pPr>
      <w:r>
        <w:rPr>
          <w:rFonts w:hint="eastAsia" w:ascii="Times New Roman" w:hAnsi="Times New Roman"/>
          <w:bCs w:val="0"/>
          <w:sz w:val="28"/>
          <w:szCs w:val="28"/>
        </w:rPr>
        <w:t>五</w:t>
      </w:r>
      <w:r>
        <w:rPr>
          <w:rFonts w:ascii="Times New Roman" w:hAnsi="Times New Roman"/>
          <w:bCs w:val="0"/>
          <w:sz w:val="28"/>
          <w:szCs w:val="28"/>
        </w:rPr>
        <w:t>、</w:t>
      </w:r>
      <w:r>
        <w:rPr>
          <w:rFonts w:hint="eastAsia" w:ascii="Times New Roman" w:hAnsi="Times New Roman"/>
          <w:sz w:val="28"/>
          <w:szCs w:val="28"/>
        </w:rPr>
        <w:t>预期达到的社会效益、对产业发展的作用等情况</w:t>
      </w:r>
    </w:p>
    <w:p w14:paraId="016565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过制定本标准，可规范电磁和固态继电器的电气参数技术指标要求、测试项目、试验方法、检验结果评价，实现测试仪器或装置标准化，易于实现电磁和固态继电器运行和产品质量管控，降低每年因电磁和继电器误动/拒动,带来的经济损失。。</w:t>
      </w:r>
    </w:p>
    <w:p w14:paraId="15059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应用</w:t>
      </w:r>
      <w:bookmarkStart w:id="0" w:name="_GoBack"/>
      <w:bookmarkEnd w:id="0"/>
      <w:r>
        <w:rPr>
          <w:rFonts w:hint="eastAsia" w:ascii="宋体" w:hAnsi="宋体" w:eastAsia="宋体" w:cs="宋体"/>
          <w:sz w:val="24"/>
          <w:szCs w:val="24"/>
          <w:highlight w:val="none"/>
        </w:rPr>
        <w:t>该标准可高效开展电磁和</w:t>
      </w:r>
      <w:r>
        <w:rPr>
          <w:rFonts w:hint="eastAsia" w:ascii="宋体" w:hAnsi="宋体" w:eastAsia="宋体" w:cs="宋体"/>
          <w:sz w:val="24"/>
          <w:szCs w:val="24"/>
        </w:rPr>
        <w:t>固态继电器的电气参数测试，保障电磁和固态继电器质量，为电磁和固态继电器运行可靠性提供支撑，并能有效缓解电磁继电器和固态继电器误动、拒动问题，有助于提升电网企业、发电企业、重大电力用户安全稳定运行。</w:t>
      </w:r>
    </w:p>
    <w:p w14:paraId="631A0BCC">
      <w:pPr>
        <w:pStyle w:val="3"/>
        <w:rPr>
          <w:rFonts w:ascii="Times New Roman" w:hAnsi="Times New Roman"/>
          <w:sz w:val="28"/>
          <w:szCs w:val="28"/>
        </w:rPr>
      </w:pPr>
      <w:r>
        <w:rPr>
          <w:rFonts w:hint="eastAsia" w:ascii="Times New Roman" w:hAnsi="Times New Roman"/>
          <w:sz w:val="28"/>
          <w:szCs w:val="28"/>
        </w:rPr>
        <w:t>六</w:t>
      </w:r>
      <w:r>
        <w:rPr>
          <w:rFonts w:ascii="Times New Roman" w:hAnsi="Times New Roman"/>
          <w:sz w:val="28"/>
          <w:szCs w:val="28"/>
        </w:rPr>
        <w:t>、标准与现有标准、制定中标准的协调配套情况</w:t>
      </w:r>
    </w:p>
    <w:p w14:paraId="316370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与现有标准、制定中的标准没有矛盾。</w:t>
      </w:r>
    </w:p>
    <w:p w14:paraId="615F2D29">
      <w:pPr>
        <w:spacing w:line="360" w:lineRule="auto"/>
        <w:rPr>
          <w:b/>
          <w:bCs/>
          <w:kern w:val="0"/>
          <w:sz w:val="28"/>
          <w:szCs w:val="28"/>
          <w:lang w:val="zh-CN"/>
        </w:rPr>
      </w:pPr>
      <w:r>
        <w:rPr>
          <w:rFonts w:hint="eastAsia"/>
          <w:b/>
          <w:bCs/>
          <w:kern w:val="0"/>
          <w:sz w:val="28"/>
          <w:szCs w:val="28"/>
          <w:lang w:val="zh-CN"/>
        </w:rPr>
        <w:t>七</w:t>
      </w:r>
      <w:r>
        <w:rPr>
          <w:b/>
          <w:bCs/>
          <w:kern w:val="0"/>
          <w:sz w:val="28"/>
          <w:szCs w:val="28"/>
          <w:lang w:val="zh-CN"/>
        </w:rPr>
        <w:t>、</w:t>
      </w:r>
      <w:r>
        <w:rPr>
          <w:rFonts w:hint="eastAsia"/>
          <w:b/>
          <w:bCs/>
          <w:kern w:val="0"/>
          <w:sz w:val="28"/>
          <w:szCs w:val="28"/>
          <w:lang w:val="zh-CN"/>
        </w:rPr>
        <w:t>采用国际标准和国外先进标准情况</w:t>
      </w:r>
    </w:p>
    <w:p w14:paraId="1D7AE215">
      <w:pPr>
        <w:spacing w:line="360" w:lineRule="auto"/>
        <w:ind w:firstLine="480" w:firstLineChars="200"/>
        <w:rPr>
          <w:b/>
          <w:bCs/>
          <w:kern w:val="0"/>
          <w:sz w:val="28"/>
          <w:szCs w:val="28"/>
          <w:lang w:val="zh-CN"/>
        </w:rPr>
      </w:pPr>
      <w:r>
        <w:rPr>
          <w:sz w:val="24"/>
          <w:szCs w:val="24"/>
          <w:lang w:val="zh-CN"/>
        </w:rPr>
        <w:t>无。</w:t>
      </w:r>
    </w:p>
    <w:p w14:paraId="7C053A33">
      <w:pPr>
        <w:spacing w:line="360" w:lineRule="auto"/>
        <w:rPr>
          <w:b/>
          <w:bCs/>
          <w:kern w:val="0"/>
          <w:sz w:val="28"/>
          <w:szCs w:val="28"/>
          <w:lang w:val="zh-CN"/>
        </w:rPr>
      </w:pPr>
      <w:r>
        <w:rPr>
          <w:rFonts w:hint="eastAsia"/>
          <w:b/>
          <w:bCs/>
          <w:kern w:val="0"/>
          <w:sz w:val="28"/>
          <w:szCs w:val="28"/>
          <w:lang w:val="zh-CN"/>
        </w:rPr>
        <w:t>八</w:t>
      </w:r>
      <w:r>
        <w:rPr>
          <w:b/>
          <w:bCs/>
          <w:kern w:val="0"/>
          <w:sz w:val="28"/>
          <w:szCs w:val="28"/>
          <w:lang w:val="zh-CN"/>
        </w:rPr>
        <w:t>、重大分歧意见的处理经过和依据</w:t>
      </w:r>
    </w:p>
    <w:p w14:paraId="0E77309D">
      <w:pPr>
        <w:spacing w:line="360" w:lineRule="auto"/>
        <w:ind w:firstLine="480" w:firstLineChars="200"/>
        <w:rPr>
          <w:sz w:val="24"/>
          <w:szCs w:val="24"/>
          <w:lang w:val="zh-CN"/>
        </w:rPr>
      </w:pPr>
      <w:r>
        <w:rPr>
          <w:sz w:val="24"/>
          <w:szCs w:val="24"/>
          <w:lang w:val="zh-CN"/>
        </w:rPr>
        <w:t>无。</w:t>
      </w:r>
    </w:p>
    <w:p w14:paraId="00FD8150">
      <w:pPr>
        <w:pStyle w:val="3"/>
        <w:rPr>
          <w:rFonts w:ascii="Times New Roman" w:hAnsi="Times New Roman"/>
          <w:b w:val="0"/>
          <w:bCs w:val="0"/>
          <w:sz w:val="28"/>
          <w:szCs w:val="28"/>
        </w:rPr>
      </w:pPr>
      <w:r>
        <w:rPr>
          <w:rFonts w:hint="eastAsia" w:ascii="Times New Roman" w:hAnsi="Times New Roman"/>
          <w:bCs w:val="0"/>
          <w:sz w:val="28"/>
          <w:szCs w:val="28"/>
        </w:rPr>
        <w:t>九</w:t>
      </w:r>
      <w:r>
        <w:rPr>
          <w:rFonts w:ascii="Times New Roman" w:hAnsi="Times New Roman"/>
          <w:bCs w:val="0"/>
          <w:sz w:val="28"/>
          <w:szCs w:val="28"/>
        </w:rPr>
        <w:t>、</w:t>
      </w:r>
      <w:r>
        <w:rPr>
          <w:rFonts w:ascii="Times New Roman" w:hAnsi="Times New Roman"/>
          <w:sz w:val="28"/>
          <w:szCs w:val="28"/>
        </w:rPr>
        <w:t>标准作为强制性或推荐性标准发布的意见</w:t>
      </w:r>
    </w:p>
    <w:p w14:paraId="03CC96DD">
      <w:pPr>
        <w:spacing w:line="360" w:lineRule="auto"/>
        <w:ind w:firstLine="480" w:firstLineChars="200"/>
        <w:rPr>
          <w:sz w:val="24"/>
          <w:szCs w:val="24"/>
          <w:lang w:val="zh-CN"/>
        </w:rPr>
      </w:pPr>
      <w:r>
        <w:rPr>
          <w:sz w:val="24"/>
          <w:szCs w:val="24"/>
          <w:lang w:val="zh-CN"/>
        </w:rPr>
        <w:t>本标准</w:t>
      </w:r>
      <w:r>
        <w:rPr>
          <w:rFonts w:hint="eastAsia"/>
          <w:sz w:val="24"/>
          <w:szCs w:val="24"/>
          <w:lang w:val="zh-CN"/>
        </w:rPr>
        <w:t>为首次制定，</w:t>
      </w:r>
      <w:r>
        <w:rPr>
          <w:sz w:val="24"/>
          <w:szCs w:val="24"/>
          <w:lang w:val="zh-CN"/>
        </w:rPr>
        <w:t>为推荐性</w:t>
      </w:r>
      <w:r>
        <w:rPr>
          <w:rFonts w:hint="eastAsia"/>
          <w:sz w:val="24"/>
          <w:szCs w:val="24"/>
          <w:lang w:val="zh-CN"/>
        </w:rPr>
        <w:t>团体</w:t>
      </w:r>
      <w:r>
        <w:rPr>
          <w:sz w:val="24"/>
          <w:szCs w:val="24"/>
          <w:lang w:val="zh-CN"/>
        </w:rPr>
        <w:t>标准。</w:t>
      </w:r>
      <w:r>
        <w:rPr>
          <w:rFonts w:hint="eastAsia"/>
          <w:sz w:val="24"/>
          <w:szCs w:val="24"/>
          <w:lang w:val="zh-CN"/>
        </w:rPr>
        <w:t xml:space="preserve"> </w:t>
      </w:r>
    </w:p>
    <w:p w14:paraId="1E2DCBC1">
      <w:pPr>
        <w:spacing w:line="360" w:lineRule="auto"/>
        <w:rPr>
          <w:b/>
          <w:bCs/>
          <w:kern w:val="0"/>
          <w:sz w:val="28"/>
          <w:szCs w:val="28"/>
        </w:rPr>
      </w:pPr>
      <w:r>
        <w:rPr>
          <w:rFonts w:hint="eastAsia"/>
          <w:b/>
          <w:bCs/>
          <w:kern w:val="0"/>
          <w:sz w:val="28"/>
          <w:szCs w:val="28"/>
        </w:rPr>
        <w:t>十</w:t>
      </w:r>
      <w:r>
        <w:rPr>
          <w:b/>
          <w:bCs/>
          <w:kern w:val="0"/>
          <w:sz w:val="28"/>
          <w:szCs w:val="28"/>
        </w:rPr>
        <w:t>、</w:t>
      </w:r>
      <w:r>
        <w:rPr>
          <w:rFonts w:hint="eastAsia"/>
          <w:b/>
          <w:bCs/>
          <w:kern w:val="0"/>
          <w:sz w:val="28"/>
          <w:szCs w:val="28"/>
        </w:rPr>
        <w:t>贯彻标准的要求和措施建议</w:t>
      </w:r>
    </w:p>
    <w:p w14:paraId="53BF6F2B">
      <w:pPr>
        <w:numPr>
          <w:ilvl w:val="0"/>
          <w:numId w:val="1"/>
        </w:numPr>
        <w:spacing w:line="360" w:lineRule="auto"/>
        <w:rPr>
          <w:sz w:val="24"/>
          <w:szCs w:val="24"/>
        </w:rPr>
      </w:pPr>
      <w:r>
        <w:rPr>
          <w:rFonts w:hint="eastAsia"/>
          <w:sz w:val="24"/>
          <w:szCs w:val="24"/>
        </w:rPr>
        <w:t>组织措施</w:t>
      </w:r>
    </w:p>
    <w:p w14:paraId="26E61D73">
      <w:pPr>
        <w:spacing w:line="360" w:lineRule="auto"/>
        <w:ind w:firstLine="420"/>
        <w:jc w:val="left"/>
        <w:rPr>
          <w:sz w:val="24"/>
          <w:szCs w:val="24"/>
        </w:rPr>
      </w:pPr>
      <w:r>
        <w:rPr>
          <w:rFonts w:hint="eastAsia"/>
          <w:sz w:val="24"/>
          <w:szCs w:val="24"/>
        </w:rPr>
        <w:t>利用信息平台对标准进行推广和宣贯，同时展示试点效果案例；联合有实力的电磁和固态继电器电气参数测试装置生产厂家，建设试验试点，便于客户实地调研。</w:t>
      </w:r>
    </w:p>
    <w:p w14:paraId="405A76CB">
      <w:pPr>
        <w:numPr>
          <w:ilvl w:val="0"/>
          <w:numId w:val="1"/>
        </w:numPr>
        <w:spacing w:line="360" w:lineRule="auto"/>
        <w:rPr>
          <w:sz w:val="24"/>
          <w:szCs w:val="24"/>
        </w:rPr>
      </w:pPr>
      <w:r>
        <w:rPr>
          <w:rFonts w:hint="eastAsia"/>
          <w:sz w:val="24"/>
          <w:szCs w:val="24"/>
        </w:rPr>
        <w:t>技术措施</w:t>
      </w:r>
    </w:p>
    <w:p w14:paraId="2203B09A">
      <w:pPr>
        <w:spacing w:line="360" w:lineRule="auto"/>
        <w:ind w:firstLine="420"/>
        <w:jc w:val="left"/>
        <w:rPr>
          <w:sz w:val="24"/>
          <w:szCs w:val="24"/>
        </w:rPr>
      </w:pPr>
      <w:r>
        <w:rPr>
          <w:rFonts w:hint="eastAsia"/>
          <w:sz w:val="24"/>
          <w:szCs w:val="24"/>
        </w:rPr>
        <w:t>通过统一电磁和固态继电器电气参数测试的技术指标要求，推进电磁和固态继电器电气参数测试规范化管理。</w:t>
      </w:r>
    </w:p>
    <w:p w14:paraId="313D1970">
      <w:pPr>
        <w:numPr>
          <w:ilvl w:val="0"/>
          <w:numId w:val="1"/>
        </w:numPr>
        <w:spacing w:line="360" w:lineRule="auto"/>
        <w:rPr>
          <w:sz w:val="24"/>
          <w:szCs w:val="24"/>
        </w:rPr>
      </w:pPr>
      <w:r>
        <w:rPr>
          <w:rFonts w:hint="eastAsia"/>
          <w:sz w:val="24"/>
          <w:szCs w:val="24"/>
        </w:rPr>
        <w:t>实施日期</w:t>
      </w:r>
    </w:p>
    <w:p w14:paraId="00A10468">
      <w:pPr>
        <w:spacing w:line="360" w:lineRule="auto"/>
        <w:ind w:firstLine="420"/>
        <w:jc w:val="left"/>
        <w:rPr>
          <w:sz w:val="24"/>
          <w:szCs w:val="24"/>
        </w:rPr>
      </w:pPr>
      <w:r>
        <w:rPr>
          <w:rFonts w:hint="eastAsia"/>
          <w:sz w:val="24"/>
          <w:szCs w:val="24"/>
        </w:rPr>
        <w:t>自标准发布后，及时推广实施。</w:t>
      </w:r>
    </w:p>
    <w:p w14:paraId="5F88E06C">
      <w:pPr>
        <w:spacing w:line="360" w:lineRule="auto"/>
        <w:rPr>
          <w:b/>
          <w:bCs/>
          <w:kern w:val="0"/>
          <w:sz w:val="28"/>
          <w:szCs w:val="28"/>
        </w:rPr>
      </w:pPr>
      <w:r>
        <w:rPr>
          <w:rFonts w:hint="eastAsia"/>
          <w:b/>
          <w:bCs/>
          <w:kern w:val="0"/>
          <w:sz w:val="28"/>
          <w:szCs w:val="28"/>
        </w:rPr>
        <w:t>十一、废行现行相关标准的建议</w:t>
      </w:r>
    </w:p>
    <w:p w14:paraId="50801C98">
      <w:pPr>
        <w:spacing w:line="360" w:lineRule="auto"/>
        <w:ind w:firstLine="480" w:firstLineChars="200"/>
        <w:rPr>
          <w:sz w:val="24"/>
          <w:szCs w:val="24"/>
        </w:rPr>
      </w:pPr>
      <w:r>
        <w:rPr>
          <w:sz w:val="24"/>
          <w:szCs w:val="24"/>
        </w:rPr>
        <w:t>无。</w:t>
      </w:r>
    </w:p>
    <w:p w14:paraId="41A7E349">
      <w:pPr>
        <w:spacing w:line="360" w:lineRule="auto"/>
        <w:rPr>
          <w:b/>
          <w:bCs/>
          <w:kern w:val="0"/>
          <w:sz w:val="28"/>
          <w:szCs w:val="28"/>
        </w:rPr>
      </w:pPr>
      <w:r>
        <w:rPr>
          <w:rFonts w:hint="eastAsia"/>
          <w:b/>
          <w:bCs/>
          <w:kern w:val="0"/>
          <w:sz w:val="28"/>
          <w:szCs w:val="28"/>
        </w:rPr>
        <w:t>十二</w:t>
      </w:r>
      <w:r>
        <w:rPr>
          <w:b/>
          <w:bCs/>
          <w:kern w:val="0"/>
          <w:sz w:val="28"/>
          <w:szCs w:val="28"/>
        </w:rPr>
        <w:t>、其他予以说明的事项</w:t>
      </w:r>
    </w:p>
    <w:p w14:paraId="1822FDB6">
      <w:pPr>
        <w:spacing w:line="360" w:lineRule="auto"/>
        <w:ind w:firstLine="480" w:firstLineChars="200"/>
        <w:rPr>
          <w:sz w:val="24"/>
          <w:szCs w:val="24"/>
        </w:rPr>
      </w:pPr>
      <w:r>
        <w:rPr>
          <w:rFonts w:hint="eastAsia"/>
          <w:sz w:val="24"/>
          <w:szCs w:val="24"/>
        </w:rPr>
        <w:t>2023年11月30日，在北京召开第一次工作组会议，对工作组讨论稿的标准化对象、结构进行了认真、细致的逐条讨论，达成标准名字共识，经工作组成员共同讨论将原立项名称</w:t>
      </w:r>
      <w:r>
        <w:rPr>
          <w:sz w:val="24"/>
          <w:szCs w:val="24"/>
        </w:rPr>
        <w:t>《电磁和固态继电器电气参数测量导则》改为《电磁和固态继电器电气参数测试方法》</w:t>
      </w:r>
      <w:r>
        <w:rPr>
          <w:rFonts w:hint="eastAsia"/>
          <w:sz w:val="24"/>
          <w:szCs w:val="24"/>
        </w:rPr>
        <w:t>。</w:t>
      </w:r>
    </w:p>
    <w:p w14:paraId="2A70CE2A"/>
    <w:p w14:paraId="75286B2C">
      <w:pPr>
        <w:pStyle w:val="10"/>
        <w:spacing w:line="360" w:lineRule="auto"/>
        <w:ind w:firstLine="0" w:firstLineChars="0"/>
        <w:rPr>
          <w:rFonts w:hint="eastAsia" w:ascii="宋体" w:hAnsi="宋体" w:eastAsia="宋体" w:cs="宋体"/>
          <w:strike/>
          <w:dstrike w:val="0"/>
          <w:sz w:val="24"/>
          <w:szCs w:val="24"/>
          <w:highlight w:val="cyan"/>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17711"/>
    <w:multiLevelType w:val="multilevel"/>
    <w:tmpl w:val="6261771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kNzE3MzJmZGU1YTg4ZmE0NjBlZTViNWY5ZmUyZjQifQ=="/>
  </w:docVars>
  <w:rsids>
    <w:rsidRoot w:val="007A53FA"/>
    <w:rsid w:val="00053118"/>
    <w:rsid w:val="00067A5C"/>
    <w:rsid w:val="00084DDD"/>
    <w:rsid w:val="000C0742"/>
    <w:rsid w:val="00114A77"/>
    <w:rsid w:val="00195F52"/>
    <w:rsid w:val="001E18BB"/>
    <w:rsid w:val="001E738B"/>
    <w:rsid w:val="00262E33"/>
    <w:rsid w:val="00281C13"/>
    <w:rsid w:val="003B17E3"/>
    <w:rsid w:val="003E1C5A"/>
    <w:rsid w:val="00425371"/>
    <w:rsid w:val="00461365"/>
    <w:rsid w:val="005003B6"/>
    <w:rsid w:val="005100DD"/>
    <w:rsid w:val="00535360"/>
    <w:rsid w:val="005A092B"/>
    <w:rsid w:val="006510C3"/>
    <w:rsid w:val="00651AF2"/>
    <w:rsid w:val="0067022C"/>
    <w:rsid w:val="006C017B"/>
    <w:rsid w:val="006D5308"/>
    <w:rsid w:val="007453B1"/>
    <w:rsid w:val="007A53FA"/>
    <w:rsid w:val="007F2C2A"/>
    <w:rsid w:val="00857B77"/>
    <w:rsid w:val="0088218F"/>
    <w:rsid w:val="00893605"/>
    <w:rsid w:val="008C4EF7"/>
    <w:rsid w:val="008D1F3C"/>
    <w:rsid w:val="009042DC"/>
    <w:rsid w:val="00A668AE"/>
    <w:rsid w:val="00AA4449"/>
    <w:rsid w:val="00B35315"/>
    <w:rsid w:val="00BE1B27"/>
    <w:rsid w:val="00BE7B28"/>
    <w:rsid w:val="00C704C7"/>
    <w:rsid w:val="00C97958"/>
    <w:rsid w:val="00D90B82"/>
    <w:rsid w:val="00DB284E"/>
    <w:rsid w:val="00DC0DAD"/>
    <w:rsid w:val="00DF014B"/>
    <w:rsid w:val="00E46A2C"/>
    <w:rsid w:val="00E869B0"/>
    <w:rsid w:val="00EB486A"/>
    <w:rsid w:val="00EE7B9B"/>
    <w:rsid w:val="00F11D34"/>
    <w:rsid w:val="00F21196"/>
    <w:rsid w:val="04130446"/>
    <w:rsid w:val="17C0399D"/>
    <w:rsid w:val="1BBC447B"/>
    <w:rsid w:val="1C3B5434"/>
    <w:rsid w:val="1C5E7970"/>
    <w:rsid w:val="1DD20507"/>
    <w:rsid w:val="1F3823DC"/>
    <w:rsid w:val="21076199"/>
    <w:rsid w:val="21FE57EE"/>
    <w:rsid w:val="25311A36"/>
    <w:rsid w:val="26647BE9"/>
    <w:rsid w:val="28064E52"/>
    <w:rsid w:val="2AED63FF"/>
    <w:rsid w:val="2DF6381D"/>
    <w:rsid w:val="337C0EF8"/>
    <w:rsid w:val="37C93D50"/>
    <w:rsid w:val="39CA46A3"/>
    <w:rsid w:val="39E014E8"/>
    <w:rsid w:val="3F2C3B8A"/>
    <w:rsid w:val="417C7DA6"/>
    <w:rsid w:val="4D4B1038"/>
    <w:rsid w:val="4E9E008C"/>
    <w:rsid w:val="53DB0C3B"/>
    <w:rsid w:val="58BD4DB3"/>
    <w:rsid w:val="5E677C9B"/>
    <w:rsid w:val="72D213B5"/>
    <w:rsid w:val="75527D89"/>
    <w:rsid w:val="77A47413"/>
    <w:rsid w:val="7AD6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keepNext/>
      <w:keepLines/>
      <w:spacing w:before="260" w:after="260" w:line="416" w:lineRule="auto"/>
      <w:outlineLvl w:val="1"/>
    </w:pPr>
    <w:rPr>
      <w:rFonts w:ascii="Cambria" w:hAnsi="Cambria" w:eastAsia="宋体" w:cs="Times New Roman"/>
      <w:b/>
      <w:bCs/>
      <w:kern w:val="0"/>
      <w:sz w:val="32"/>
      <w:szCs w:val="32"/>
    </w:rPr>
  </w:style>
  <w:style w:type="paragraph" w:styleId="4">
    <w:name w:val="heading 3"/>
    <w:basedOn w:val="1"/>
    <w:next w:val="1"/>
    <w:link w:val="16"/>
    <w:qFormat/>
    <w:uiPriority w:val="9"/>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
    <w:name w:val="List Paragraph"/>
    <w:basedOn w:val="1"/>
    <w:qFormat/>
    <w:uiPriority w:val="34"/>
    <w:pPr>
      <w:ind w:firstLine="420" w:firstLineChars="200"/>
    </w:pPr>
  </w:style>
  <w:style w:type="character" w:customStyle="1" w:styleId="11">
    <w:name w:val="段 Char"/>
    <w:link w:val="12"/>
    <w:qFormat/>
    <w:uiPriority w:val="0"/>
    <w:rPr>
      <w:rFonts w:ascii="宋体"/>
    </w:rPr>
  </w:style>
  <w:style w:type="paragraph" w:customStyle="1" w:styleId="12">
    <w:name w:val="段"/>
    <w:link w:val="1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标题 2 字符"/>
    <w:basedOn w:val="9"/>
    <w:link w:val="3"/>
    <w:qFormat/>
    <w:uiPriority w:val="9"/>
    <w:rPr>
      <w:rFonts w:ascii="Cambria" w:hAnsi="Cambria" w:eastAsia="宋体" w:cs="Times New Roman"/>
      <w:b/>
      <w:bCs/>
      <w:kern w:val="0"/>
      <w:sz w:val="32"/>
      <w:szCs w:val="32"/>
    </w:rPr>
  </w:style>
  <w:style w:type="character" w:customStyle="1" w:styleId="16">
    <w:name w:val="标题 3 字符"/>
    <w:basedOn w:val="9"/>
    <w:link w:val="4"/>
    <w:qFormat/>
    <w:uiPriority w:val="9"/>
    <w:rPr>
      <w:rFonts w:ascii="Times New Roman" w:hAnsi="Times New Roman" w:eastAsia="宋体" w:cs="Times New Roman"/>
      <w:b/>
      <w:bC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10</Company>
  <Pages>8</Pages>
  <Words>3325</Words>
  <Characters>3678</Characters>
  <Lines>30</Lines>
  <Paragraphs>8</Paragraphs>
  <TotalTime>16</TotalTime>
  <ScaleCrop>false</ScaleCrop>
  <LinksUpToDate>false</LinksUpToDate>
  <CharactersWithSpaces>3713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2024-07-09T12:20:00Z</dcterms:created>
  <dc:creator>Windows 10</dc:creator>
  <cp:lastModifiedBy>金鑫</cp:lastModifiedBy>
  <dcterms:modified xsi:type="dcterms:W3CDTF">2024-08-15T01:06:17Z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3BFC08741AFD42149B284F524876BDD7_13</vt:lpwstr>
  </property>
</Properties>
</file>