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ED33E7">
      <w:pPr>
        <w:pStyle w:val="24"/>
      </w:pPr>
    </w:p>
    <w:p w14:paraId="34D6366D">
      <w:pPr>
        <w:pStyle w:val="3"/>
        <w:jc w:val="center"/>
        <w:rPr>
          <w:rFonts w:ascii="Times New Roman" w:hAnsi="Times New Roman"/>
          <w:sz w:val="52"/>
          <w:szCs w:val="52"/>
        </w:rPr>
      </w:pPr>
      <w:r>
        <w:rPr>
          <w:rFonts w:hint="eastAsia" w:ascii="Times New Roman" w:hAnsi="Times New Roman"/>
          <w:sz w:val="52"/>
          <w:szCs w:val="52"/>
        </w:rPr>
        <w:t>中国仪器仪表行业协会团体标准</w:t>
      </w:r>
    </w:p>
    <w:p w14:paraId="27660A65">
      <w:pPr>
        <w:rPr>
          <w:rFonts w:ascii="Times New Roman" w:hAnsi="Times New Roman" w:eastAsia="黑体"/>
          <w:sz w:val="52"/>
          <w:szCs w:val="52"/>
        </w:rPr>
      </w:pPr>
    </w:p>
    <w:p w14:paraId="7EDE2AF2">
      <w:pPr>
        <w:pStyle w:val="3"/>
        <w:jc w:val="center"/>
        <w:rPr>
          <w:rFonts w:cs="黑体"/>
          <w:b/>
          <w:bCs/>
          <w:sz w:val="44"/>
          <w:szCs w:val="44"/>
        </w:rPr>
      </w:pPr>
      <w:r>
        <w:rPr>
          <w:rFonts w:hint="eastAsia" w:cs="黑体"/>
          <w:sz w:val="44"/>
          <w:szCs w:val="44"/>
        </w:rPr>
        <w:t>《</w:t>
      </w:r>
      <w:bookmarkStart w:id="2" w:name="_GoBack"/>
      <w:bookmarkStart w:id="0" w:name="_Hlk160698772"/>
      <w:r>
        <w:rPr>
          <w:rFonts w:hint="eastAsia" w:cs="黑体"/>
          <w:sz w:val="44"/>
          <w:szCs w:val="44"/>
        </w:rPr>
        <w:t>采集终端远程通信单元</w:t>
      </w:r>
      <w:r>
        <w:rPr>
          <w:rFonts w:hint="eastAsia" w:cs="黑体"/>
          <w:sz w:val="44"/>
          <w:szCs w:val="44"/>
          <w:lang w:val="en-US" w:eastAsia="zh-CN"/>
        </w:rPr>
        <w:t xml:space="preserve"> </w:t>
      </w:r>
      <w:r>
        <w:rPr>
          <w:rFonts w:hint="eastAsia" w:cs="黑体"/>
          <w:sz w:val="44"/>
          <w:szCs w:val="44"/>
        </w:rPr>
        <w:t>第3部分</w:t>
      </w:r>
      <w:bookmarkEnd w:id="0"/>
      <w:r>
        <w:rPr>
          <w:rFonts w:hint="eastAsia" w:cs="黑体"/>
          <w:sz w:val="44"/>
          <w:szCs w:val="44"/>
          <w:lang w:val="en-US" w:eastAsia="zh-CN"/>
        </w:rPr>
        <w:t xml:space="preserve"> </w:t>
      </w:r>
      <w:r>
        <w:rPr>
          <w:rFonts w:hint="eastAsia" w:cs="黑体"/>
          <w:sz w:val="44"/>
          <w:szCs w:val="44"/>
        </w:rPr>
        <w:t>型式规范</w:t>
      </w:r>
      <w:bookmarkEnd w:id="2"/>
      <w:r>
        <w:rPr>
          <w:rFonts w:hint="eastAsia" w:cs="黑体"/>
          <w:sz w:val="44"/>
          <w:szCs w:val="44"/>
        </w:rPr>
        <w:t>》</w:t>
      </w:r>
    </w:p>
    <w:p w14:paraId="73F25F18">
      <w:pPr>
        <w:rPr>
          <w:rFonts w:ascii="Times New Roman" w:hAnsi="Times New Roman"/>
          <w:sz w:val="32"/>
          <w:szCs w:val="32"/>
        </w:rPr>
      </w:pPr>
    </w:p>
    <w:p w14:paraId="1FD0BBF1">
      <w:pPr>
        <w:rPr>
          <w:rFonts w:ascii="Times New Roman" w:hAnsi="Times New Roman"/>
          <w:sz w:val="32"/>
          <w:szCs w:val="32"/>
        </w:rPr>
      </w:pPr>
    </w:p>
    <w:p w14:paraId="210086B4">
      <w:pPr>
        <w:rPr>
          <w:rFonts w:ascii="Times New Roman" w:hAnsi="Times New Roman"/>
          <w:sz w:val="32"/>
          <w:szCs w:val="32"/>
        </w:rPr>
      </w:pPr>
    </w:p>
    <w:p w14:paraId="1137FDC5">
      <w:pPr>
        <w:pStyle w:val="3"/>
        <w:jc w:val="center"/>
        <w:rPr>
          <w:rFonts w:cs="黑体"/>
          <w:b/>
          <w:bCs/>
          <w:sz w:val="44"/>
          <w:szCs w:val="44"/>
        </w:rPr>
      </w:pPr>
      <w:r>
        <w:rPr>
          <w:rFonts w:hint="eastAsia" w:cs="黑体"/>
          <w:sz w:val="44"/>
          <w:szCs w:val="44"/>
        </w:rPr>
        <w:t>编制说明</w:t>
      </w:r>
    </w:p>
    <w:p w14:paraId="25086F9F">
      <w:pPr>
        <w:jc w:val="center"/>
        <w:rPr>
          <w:rFonts w:ascii="Times New Roman" w:hAnsi="Times New Roman"/>
          <w:sz w:val="32"/>
          <w:szCs w:val="32"/>
        </w:rPr>
      </w:pPr>
      <w:r>
        <w:rPr>
          <w:rFonts w:hint="eastAsia" w:ascii="Times New Roman" w:hAnsi="Times New Roman"/>
          <w:sz w:val="32"/>
          <w:szCs w:val="32"/>
        </w:rPr>
        <w:t>（</w:t>
      </w:r>
      <w:r>
        <w:rPr>
          <w:rFonts w:hint="eastAsia" w:ascii="Times New Roman" w:hAnsi="Times New Roman"/>
          <w:b/>
          <w:bCs/>
          <w:sz w:val="32"/>
          <w:szCs w:val="32"/>
        </w:rPr>
        <w:t>征求意见稿</w:t>
      </w:r>
      <w:r>
        <w:rPr>
          <w:rFonts w:hint="eastAsia" w:ascii="Times New Roman" w:hAnsi="Times New Roman"/>
          <w:sz w:val="32"/>
          <w:szCs w:val="32"/>
        </w:rPr>
        <w:t>）</w:t>
      </w:r>
    </w:p>
    <w:p w14:paraId="4D6C289A">
      <w:pPr>
        <w:rPr>
          <w:rFonts w:ascii="Times New Roman" w:hAnsi="Times New Roman"/>
          <w:sz w:val="28"/>
          <w:szCs w:val="28"/>
        </w:rPr>
      </w:pPr>
    </w:p>
    <w:p w14:paraId="742F9258">
      <w:pPr>
        <w:rPr>
          <w:rFonts w:ascii="Times New Roman" w:hAnsi="Times New Roman"/>
          <w:sz w:val="28"/>
          <w:szCs w:val="28"/>
        </w:rPr>
      </w:pPr>
    </w:p>
    <w:p w14:paraId="08C65EC5">
      <w:pPr>
        <w:rPr>
          <w:rFonts w:ascii="Times New Roman" w:hAnsi="Times New Roman"/>
          <w:sz w:val="28"/>
          <w:szCs w:val="28"/>
        </w:rPr>
      </w:pPr>
    </w:p>
    <w:p w14:paraId="674B7EC7">
      <w:pPr>
        <w:rPr>
          <w:rFonts w:ascii="Times New Roman" w:hAnsi="Times New Roman"/>
          <w:sz w:val="28"/>
          <w:szCs w:val="28"/>
        </w:rPr>
      </w:pPr>
    </w:p>
    <w:p w14:paraId="4A43CA02">
      <w:pPr>
        <w:rPr>
          <w:rFonts w:ascii="Times New Roman" w:hAnsi="Times New Roman"/>
          <w:sz w:val="28"/>
          <w:szCs w:val="28"/>
        </w:rPr>
      </w:pPr>
    </w:p>
    <w:p w14:paraId="636B3C5F">
      <w:pPr>
        <w:jc w:val="center"/>
        <w:rPr>
          <w:rFonts w:hint="eastAsia" w:ascii="Times New Roman" w:hAnsi="Times New Roman" w:eastAsia="宋体"/>
          <w:sz w:val="28"/>
          <w:szCs w:val="28"/>
          <w:lang w:val="en-US" w:eastAsia="zh-CN"/>
        </w:rPr>
      </w:pPr>
      <w:r>
        <w:rPr>
          <w:rFonts w:hint="eastAsia" w:ascii="Times New Roman" w:hAnsi="Times New Roman"/>
          <w:sz w:val="28"/>
          <w:szCs w:val="28"/>
        </w:rPr>
        <w:t>202</w:t>
      </w:r>
      <w:r>
        <w:rPr>
          <w:rFonts w:hint="eastAsia" w:ascii="Times New Roman" w:hAnsi="Times New Roman"/>
          <w:sz w:val="28"/>
          <w:szCs w:val="28"/>
          <w:lang w:val="en-US" w:eastAsia="zh-CN"/>
        </w:rPr>
        <w:t>5</w:t>
      </w:r>
      <w:r>
        <w:rPr>
          <w:rFonts w:ascii="Times New Roman" w:hAnsi="Times New Roman"/>
          <w:sz w:val="28"/>
          <w:szCs w:val="28"/>
        </w:rPr>
        <w:t>040</w:t>
      </w:r>
      <w:r>
        <w:rPr>
          <w:rFonts w:hint="eastAsia" w:ascii="Times New Roman" w:hAnsi="Times New Roman"/>
          <w:sz w:val="28"/>
          <w:szCs w:val="28"/>
          <w:lang w:val="en-US" w:eastAsia="zh-CN"/>
        </w:rPr>
        <w:t>1</w:t>
      </w:r>
    </w:p>
    <w:p w14:paraId="32EAFC83">
      <w:pPr>
        <w:pStyle w:val="21"/>
        <w:ind w:left="1920" w:firstLine="1400" w:firstLineChars="500"/>
        <w:jc w:val="left"/>
        <w:rPr>
          <w:rFonts w:ascii="黑体" w:hAnsi="黑体" w:eastAsia="黑体" w:cs="黑体"/>
          <w:sz w:val="28"/>
          <w:szCs w:val="28"/>
        </w:rPr>
      </w:pPr>
    </w:p>
    <w:p w14:paraId="3BFE2FB4">
      <w:pPr>
        <w:pStyle w:val="21"/>
        <w:ind w:left="1920" w:firstLine="1400" w:firstLineChars="500"/>
        <w:jc w:val="left"/>
        <w:rPr>
          <w:rFonts w:ascii="黑体" w:hAnsi="黑体" w:eastAsia="黑体" w:cs="黑体"/>
          <w:sz w:val="28"/>
          <w:szCs w:val="28"/>
        </w:rPr>
      </w:pPr>
    </w:p>
    <w:p w14:paraId="4764344B">
      <w:pPr>
        <w:pStyle w:val="23"/>
        <w:spacing w:before="360" w:after="360"/>
        <w:ind w:firstLine="210"/>
        <w:rPr>
          <w:rFonts w:hAnsi="黑体" w:cs="黑体"/>
          <w:shd w:val="clear" w:color="auto" w:fill="FFFFFF"/>
        </w:rPr>
        <w:sectPr>
          <w:footerReference r:id="rId3" w:type="default"/>
          <w:pgSz w:w="11906" w:h="16838"/>
          <w:pgMar w:top="1440" w:right="1800" w:bottom="1440" w:left="1800" w:header="851" w:footer="992" w:gutter="0"/>
          <w:cols w:space="720" w:num="1"/>
          <w:docGrid w:type="lines" w:linePitch="312" w:charSpace="0"/>
        </w:sectPr>
      </w:pPr>
    </w:p>
    <w:p w14:paraId="400BDEA9">
      <w:pPr>
        <w:pStyle w:val="4"/>
        <w:numPr>
          <w:ilvl w:val="0"/>
          <w:numId w:val="0"/>
        </w:numPr>
        <w:rPr>
          <w:rFonts w:ascii="宋体" w:hAnsi="宋体" w:cs="宋体"/>
        </w:rPr>
      </w:pPr>
      <w:r>
        <w:rPr>
          <w:rFonts w:hint="eastAsia" w:ascii="宋体" w:hAnsi="宋体" w:cs="宋体"/>
        </w:rPr>
        <w:t>一、工作简况</w:t>
      </w:r>
    </w:p>
    <w:p w14:paraId="2E55D89F">
      <w:pPr>
        <w:pStyle w:val="4"/>
        <w:numPr>
          <w:ilvl w:val="0"/>
          <w:numId w:val="0"/>
        </w:numPr>
        <w:rPr>
          <w:rFonts w:ascii="黑体" w:hAnsi="黑体" w:cs="宋体"/>
        </w:rPr>
      </w:pPr>
      <w:r>
        <w:rPr>
          <w:rFonts w:hint="eastAsia" w:ascii="黑体" w:hAnsi="黑体" w:cs="宋体"/>
        </w:rPr>
        <w:t>1．任务来源</w:t>
      </w:r>
    </w:p>
    <w:p w14:paraId="12EF8EE4">
      <w:pPr>
        <w:spacing w:line="360" w:lineRule="auto"/>
        <w:ind w:firstLine="420" w:firstLineChars="200"/>
        <w:rPr>
          <w:bCs/>
          <w:sz w:val="21"/>
          <w:szCs w:val="21"/>
        </w:rPr>
      </w:pPr>
      <w:r>
        <w:rPr>
          <w:rFonts w:hint="eastAsia"/>
          <w:bCs/>
          <w:sz w:val="21"/>
          <w:szCs w:val="21"/>
        </w:rPr>
        <w:t>本标准根据中国仪器仪表行业协会</w:t>
      </w:r>
      <w:r>
        <w:rPr>
          <w:rFonts w:hint="eastAsia"/>
          <w:bCs/>
          <w:sz w:val="21"/>
          <w:szCs w:val="21"/>
          <w:lang w:eastAsia="zh-CN"/>
        </w:rPr>
        <w:t>《</w:t>
      </w:r>
      <w:r>
        <w:rPr>
          <w:rFonts w:hint="eastAsia"/>
          <w:bCs/>
          <w:sz w:val="21"/>
          <w:szCs w:val="21"/>
        </w:rPr>
        <w:t>关于</w:t>
      </w:r>
      <w:r>
        <w:rPr>
          <w:rFonts w:hint="eastAsia"/>
          <w:bCs/>
          <w:sz w:val="21"/>
          <w:szCs w:val="21"/>
          <w:lang w:val="en-US" w:eastAsia="zh-CN"/>
        </w:rPr>
        <w:t>&lt;</w:t>
      </w:r>
      <w:r>
        <w:rPr>
          <w:rFonts w:hint="eastAsia"/>
          <w:bCs/>
          <w:sz w:val="21"/>
          <w:szCs w:val="21"/>
        </w:rPr>
        <w:t>静止式电能表动态误差同步测试方法</w:t>
      </w:r>
      <w:r>
        <w:rPr>
          <w:rFonts w:hint="eastAsia"/>
          <w:bCs/>
          <w:sz w:val="21"/>
          <w:szCs w:val="21"/>
          <w:lang w:val="en-US" w:eastAsia="zh-CN"/>
        </w:rPr>
        <w:t>&gt;</w:t>
      </w:r>
      <w:r>
        <w:rPr>
          <w:rFonts w:hint="eastAsia"/>
          <w:bCs/>
          <w:sz w:val="21"/>
          <w:szCs w:val="21"/>
        </w:rPr>
        <w:t>等</w:t>
      </w:r>
      <w:r>
        <w:rPr>
          <w:bCs/>
          <w:sz w:val="21"/>
          <w:szCs w:val="21"/>
        </w:rPr>
        <w:t>16项团体标准立项的批复</w:t>
      </w:r>
      <w:r>
        <w:rPr>
          <w:rFonts w:hint="eastAsia"/>
          <w:bCs/>
          <w:sz w:val="21"/>
          <w:szCs w:val="21"/>
        </w:rPr>
        <w:t>文件</w:t>
      </w:r>
      <w:r>
        <w:rPr>
          <w:rFonts w:hint="eastAsia"/>
          <w:bCs/>
          <w:sz w:val="21"/>
          <w:szCs w:val="21"/>
          <w:lang w:eastAsia="zh-CN"/>
        </w:rPr>
        <w:t>》</w:t>
      </w:r>
      <w:r>
        <w:rPr>
          <w:rFonts w:hint="eastAsia"/>
          <w:bCs/>
          <w:sz w:val="21"/>
          <w:szCs w:val="21"/>
        </w:rPr>
        <w:t xml:space="preserve">（中仪协 [2022]10号）立项，项目名称为《电力营销用采集设备定位单元技术规范》，项目编号为T/CIMA </w:t>
      </w:r>
      <w:r>
        <w:rPr>
          <w:bCs/>
          <w:sz w:val="21"/>
          <w:szCs w:val="21"/>
        </w:rPr>
        <w:t>0092</w:t>
      </w:r>
      <w:r>
        <w:rPr>
          <w:rFonts w:hint="eastAsia"/>
          <w:bCs/>
          <w:sz w:val="21"/>
          <w:szCs w:val="21"/>
          <w:lang w:val="en-US" w:eastAsia="zh-CN"/>
        </w:rPr>
        <w:t>.3</w:t>
      </w:r>
      <w:r>
        <w:rPr>
          <w:rFonts w:hint="eastAsia"/>
          <w:bCs/>
          <w:sz w:val="21"/>
          <w:szCs w:val="21"/>
        </w:rPr>
        <w:t>-2024，由中国仪器仪表行业协会电工仪器仪表分会提出，中国仪器仪表行业协会归口，计划完成年限是2024年12月。</w:t>
      </w:r>
    </w:p>
    <w:p w14:paraId="0E70BB0B">
      <w:pPr>
        <w:pStyle w:val="4"/>
        <w:numPr>
          <w:ilvl w:val="0"/>
          <w:numId w:val="0"/>
        </w:numPr>
        <w:rPr>
          <w:rFonts w:ascii="黑体" w:hAnsi="黑体" w:cs="宋体"/>
        </w:rPr>
      </w:pPr>
      <w:r>
        <w:rPr>
          <w:rFonts w:hint="eastAsia" w:ascii="黑体" w:hAnsi="黑体" w:cs="宋体"/>
        </w:rPr>
        <w:t>2．主要工作过程</w:t>
      </w:r>
    </w:p>
    <w:p w14:paraId="6DF91F17">
      <w:pPr>
        <w:spacing w:line="360" w:lineRule="auto"/>
        <w:ind w:firstLine="422" w:firstLineChars="200"/>
        <w:rPr>
          <w:b/>
          <w:sz w:val="21"/>
          <w:szCs w:val="21"/>
        </w:rPr>
      </w:pPr>
      <w:r>
        <w:rPr>
          <w:rFonts w:hint="eastAsia"/>
          <w:b/>
          <w:sz w:val="21"/>
          <w:szCs w:val="21"/>
        </w:rPr>
        <w:t>2021年12月：</w:t>
      </w:r>
      <w:r>
        <w:rPr>
          <w:rFonts w:hint="eastAsia"/>
          <w:bCs/>
          <w:sz w:val="21"/>
          <w:szCs w:val="21"/>
        </w:rPr>
        <w:t>中国仪器仪表行业协会电工仪器仪表分会申请立项</w:t>
      </w:r>
      <w:r>
        <w:rPr>
          <w:rFonts w:hint="eastAsia"/>
          <w:b/>
          <w:sz w:val="21"/>
          <w:szCs w:val="21"/>
        </w:rPr>
        <w:t>，并形成标准草案稿。</w:t>
      </w:r>
    </w:p>
    <w:p w14:paraId="1D379EFB">
      <w:pPr>
        <w:spacing w:line="360" w:lineRule="auto"/>
        <w:ind w:firstLine="422" w:firstLineChars="200"/>
        <w:rPr>
          <w:sz w:val="21"/>
          <w:szCs w:val="21"/>
        </w:rPr>
      </w:pPr>
      <w:r>
        <w:rPr>
          <w:rFonts w:hint="eastAsia"/>
          <w:b/>
          <w:sz w:val="21"/>
          <w:szCs w:val="21"/>
        </w:rPr>
        <w:t>2022年7月：</w:t>
      </w:r>
      <w:r>
        <w:rPr>
          <w:rFonts w:hint="eastAsia"/>
          <w:sz w:val="21"/>
          <w:szCs w:val="21"/>
        </w:rPr>
        <w:t>中国仪器仪表行业协会组织立项评审会议，会后下达了</w:t>
      </w:r>
      <w:r>
        <w:rPr>
          <w:rFonts w:hint="eastAsia"/>
          <w:bCs/>
          <w:sz w:val="21"/>
          <w:szCs w:val="21"/>
        </w:rPr>
        <w:t>《静止式电能表动态误差同步测试方法》等</w:t>
      </w:r>
      <w:r>
        <w:rPr>
          <w:bCs/>
          <w:sz w:val="21"/>
          <w:szCs w:val="21"/>
        </w:rPr>
        <w:t>16项团体标准立项的批复</w:t>
      </w:r>
      <w:r>
        <w:rPr>
          <w:rFonts w:hint="eastAsia"/>
          <w:bCs/>
          <w:sz w:val="21"/>
          <w:szCs w:val="21"/>
        </w:rPr>
        <w:t>文件</w:t>
      </w:r>
      <w:r>
        <w:rPr>
          <w:rFonts w:hint="eastAsia"/>
          <w:sz w:val="21"/>
          <w:szCs w:val="21"/>
        </w:rPr>
        <w:t>，由中国电力科学研究院有限公司，组织</w:t>
      </w:r>
      <w:r>
        <w:rPr>
          <w:rFonts w:hint="eastAsia" w:cs="黑体"/>
          <w:b/>
          <w:sz w:val="21"/>
          <w:szCs w:val="21"/>
        </w:rPr>
        <w:t>成立标准起草工作组</w:t>
      </w:r>
      <w:r>
        <w:rPr>
          <w:rFonts w:hint="eastAsia"/>
          <w:sz w:val="21"/>
          <w:szCs w:val="21"/>
        </w:rPr>
        <w:t>。</w:t>
      </w:r>
    </w:p>
    <w:p w14:paraId="41AAC40B">
      <w:pPr>
        <w:spacing w:line="360" w:lineRule="auto"/>
        <w:ind w:firstLine="422" w:firstLineChars="200"/>
        <w:rPr>
          <w:sz w:val="21"/>
          <w:szCs w:val="21"/>
        </w:rPr>
      </w:pPr>
      <w:r>
        <w:rPr>
          <w:rFonts w:hint="eastAsia"/>
          <w:b/>
          <w:sz w:val="21"/>
          <w:szCs w:val="21"/>
        </w:rPr>
        <w:t>2022年8月-2022年12月：</w:t>
      </w:r>
      <w:r>
        <w:rPr>
          <w:rFonts w:hint="eastAsia"/>
          <w:sz w:val="21"/>
          <w:szCs w:val="21"/>
        </w:rPr>
        <w:t>启动团体标准制定工作。起草组严格按照《国家标准管理办法》、GB/T 1.1—2020《标准化工作导则 第1部分：标准化文件的结构和起草规则编写》等文件的要求进行标准制定并</w:t>
      </w:r>
      <w:r>
        <w:rPr>
          <w:rFonts w:hint="eastAsia" w:cs="黑体"/>
          <w:b/>
          <w:sz w:val="21"/>
          <w:szCs w:val="21"/>
        </w:rPr>
        <w:t>形成了工作组讨论稿</w:t>
      </w:r>
      <w:r>
        <w:rPr>
          <w:rFonts w:hint="eastAsia"/>
          <w:sz w:val="21"/>
          <w:szCs w:val="21"/>
        </w:rPr>
        <w:t>。</w:t>
      </w:r>
    </w:p>
    <w:p w14:paraId="5761CBA4">
      <w:pPr>
        <w:spacing w:line="360" w:lineRule="auto"/>
        <w:ind w:firstLine="413" w:firstLineChars="196"/>
        <w:rPr>
          <w:sz w:val="21"/>
          <w:szCs w:val="21"/>
        </w:rPr>
      </w:pPr>
      <w:bookmarkStart w:id="1" w:name="_Hlk17657671"/>
      <w:r>
        <w:rPr>
          <w:rFonts w:hint="eastAsia"/>
          <w:b/>
          <w:sz w:val="21"/>
          <w:szCs w:val="21"/>
        </w:rPr>
        <w:t>2023年1月</w:t>
      </w:r>
      <w:bookmarkEnd w:id="1"/>
      <w:r>
        <w:rPr>
          <w:rFonts w:hint="eastAsia"/>
          <w:sz w:val="21"/>
          <w:szCs w:val="21"/>
        </w:rPr>
        <w:t>：工作组讨论稿在标准编制工作组内部第一次征求意见，主笔单位按照回收意见对工作组讨论稿进行了修改完善。</w:t>
      </w:r>
    </w:p>
    <w:p w14:paraId="268871C5">
      <w:pPr>
        <w:spacing w:line="360" w:lineRule="auto"/>
        <w:ind w:firstLine="413" w:firstLineChars="196"/>
        <w:rPr>
          <w:sz w:val="21"/>
          <w:szCs w:val="21"/>
        </w:rPr>
      </w:pPr>
      <w:r>
        <w:rPr>
          <w:rFonts w:hint="eastAsia"/>
          <w:b/>
          <w:sz w:val="21"/>
          <w:szCs w:val="21"/>
        </w:rPr>
        <w:t>2023年2月22日：</w:t>
      </w:r>
      <w:r>
        <w:rPr>
          <w:rFonts w:hint="eastAsia"/>
          <w:bCs/>
          <w:sz w:val="21"/>
          <w:szCs w:val="21"/>
        </w:rPr>
        <w:t>在许昌市</w:t>
      </w:r>
      <w:r>
        <w:rPr>
          <w:rFonts w:hint="eastAsia"/>
          <w:sz w:val="21"/>
          <w:szCs w:val="21"/>
        </w:rPr>
        <w:t>召开起草工作组第一次会议，工作组对工作组讨论稿的标准化对象、结构进行了认真、细致的逐条讨论，明确了标准化对象为采集终端远程通信单元，确定将</w:t>
      </w:r>
      <w:r>
        <w:rPr>
          <w:rFonts w:hint="eastAsia"/>
          <w:b/>
          <w:bCs/>
          <w:sz w:val="21"/>
          <w:szCs w:val="21"/>
        </w:rPr>
        <w:t>标准名称调整为《采集终端远程通信单元技术规范》</w:t>
      </w:r>
      <w:r>
        <w:rPr>
          <w:rFonts w:hint="eastAsia"/>
          <w:sz w:val="21"/>
          <w:szCs w:val="21"/>
        </w:rPr>
        <w:t>，明确了标准的适用范围，</w:t>
      </w:r>
      <w:r>
        <w:rPr>
          <w:sz w:val="21"/>
          <w:szCs w:val="21"/>
        </w:rPr>
        <w:t>明确了技术要求部分</w:t>
      </w:r>
      <w:r>
        <w:rPr>
          <w:rFonts w:hint="eastAsia"/>
          <w:sz w:val="21"/>
          <w:szCs w:val="21"/>
        </w:rPr>
        <w:t>构成，形成会议纪要</w:t>
      </w:r>
      <w:r>
        <w:rPr>
          <w:sz w:val="21"/>
          <w:szCs w:val="21"/>
        </w:rPr>
        <w:t>。</w:t>
      </w:r>
    </w:p>
    <w:p w14:paraId="062F4AD5">
      <w:pPr>
        <w:pStyle w:val="2"/>
        <w:spacing w:line="360" w:lineRule="auto"/>
        <w:ind w:firstLine="424" w:firstLineChars="201"/>
      </w:pPr>
      <w:r>
        <w:rPr>
          <w:rFonts w:hint="eastAsia"/>
          <w:b/>
          <w:bCs/>
          <w:sz w:val="21"/>
          <w:szCs w:val="21"/>
        </w:rPr>
        <w:t>2023年6月14日：</w:t>
      </w:r>
      <w:r>
        <w:rPr>
          <w:rFonts w:hint="eastAsia"/>
          <w:sz w:val="21"/>
          <w:szCs w:val="21"/>
        </w:rPr>
        <w:t>在太原市召开起草工作组第二次会议，标准工作组对讨论稿以及所征求的意见内容进行了仔细讨论，按照讨论要求进行了</w:t>
      </w:r>
      <w:r>
        <w:rPr>
          <w:rFonts w:hint="eastAsia"/>
          <w:b/>
          <w:bCs/>
          <w:sz w:val="21"/>
          <w:szCs w:val="21"/>
        </w:rPr>
        <w:t>分册（技术规范、接口协议、型式结构）</w:t>
      </w:r>
      <w:r>
        <w:rPr>
          <w:rFonts w:hint="eastAsia"/>
          <w:sz w:val="21"/>
          <w:szCs w:val="21"/>
        </w:rPr>
        <w:t>，形成会议纪要。</w:t>
      </w:r>
    </w:p>
    <w:p w14:paraId="0B93DDF1">
      <w:pPr>
        <w:spacing w:line="360" w:lineRule="auto"/>
        <w:ind w:firstLine="413" w:firstLineChars="196"/>
        <w:rPr>
          <w:sz w:val="21"/>
          <w:szCs w:val="21"/>
        </w:rPr>
      </w:pPr>
      <w:r>
        <w:rPr>
          <w:rFonts w:hint="eastAsia"/>
          <w:b/>
          <w:bCs/>
          <w:sz w:val="21"/>
          <w:szCs w:val="21"/>
        </w:rPr>
        <w:t>2024年2月29日：</w:t>
      </w:r>
      <w:r>
        <w:rPr>
          <w:rFonts w:hint="eastAsia"/>
          <w:sz w:val="21"/>
          <w:szCs w:val="21"/>
        </w:rPr>
        <w:t>在厦门市召开起草工作组第三次会议，标准工作组对</w:t>
      </w:r>
      <w:r>
        <w:rPr>
          <w:rFonts w:hint="eastAsia"/>
          <w:b/>
          <w:bCs/>
          <w:sz w:val="21"/>
          <w:szCs w:val="21"/>
        </w:rPr>
        <w:t>《采集终端远程通信单元第1部分技术规范》、《采集终端远程通信单元第2部分接口协议》、《采集终端远程通信单元第3部分型式结构》</w:t>
      </w:r>
      <w:r>
        <w:rPr>
          <w:rFonts w:hint="eastAsia"/>
          <w:sz w:val="21"/>
          <w:szCs w:val="21"/>
        </w:rPr>
        <w:t>讨论稿以及所征求的意见内容进行了</w:t>
      </w:r>
      <w:r>
        <w:rPr>
          <w:rFonts w:hint="eastAsia" w:hAnsiTheme="minorHAnsi"/>
          <w:sz w:val="21"/>
          <w:szCs w:val="21"/>
        </w:rPr>
        <w:t>反馈</w:t>
      </w:r>
      <w:r>
        <w:rPr>
          <w:rFonts w:hint="eastAsia"/>
          <w:sz w:val="21"/>
          <w:szCs w:val="21"/>
        </w:rPr>
        <w:t>，形成会议纪要。</w:t>
      </w:r>
    </w:p>
    <w:p w14:paraId="48195345">
      <w:pPr>
        <w:spacing w:line="360" w:lineRule="auto"/>
        <w:ind w:firstLine="413" w:firstLineChars="196"/>
        <w:rPr>
          <w:sz w:val="21"/>
          <w:szCs w:val="21"/>
        </w:rPr>
      </w:pPr>
      <w:r>
        <w:rPr>
          <w:rFonts w:hint="eastAsia"/>
          <w:b/>
          <w:bCs/>
          <w:sz w:val="21"/>
          <w:szCs w:val="21"/>
        </w:rPr>
        <w:t>2024年</w:t>
      </w:r>
      <w:r>
        <w:rPr>
          <w:rFonts w:hint="eastAsia"/>
          <w:b/>
          <w:bCs/>
          <w:sz w:val="21"/>
          <w:szCs w:val="21"/>
          <w:lang w:val="en-US" w:eastAsia="zh-CN"/>
        </w:rPr>
        <w:t>12</w:t>
      </w:r>
      <w:r>
        <w:rPr>
          <w:rFonts w:hint="eastAsia"/>
          <w:b/>
          <w:bCs/>
          <w:sz w:val="21"/>
          <w:szCs w:val="21"/>
        </w:rPr>
        <w:t>月：</w:t>
      </w:r>
      <w:r>
        <w:rPr>
          <w:rFonts w:hint="eastAsia"/>
          <w:sz w:val="21"/>
          <w:szCs w:val="21"/>
        </w:rPr>
        <w:t>标准工作组</w:t>
      </w:r>
      <w:r>
        <w:rPr>
          <w:rFonts w:hint="eastAsia" w:hAnsiTheme="minorHAnsi"/>
          <w:sz w:val="21"/>
          <w:szCs w:val="21"/>
        </w:rPr>
        <w:t>进一步修改完善技术标准，形成</w:t>
      </w:r>
      <w:r>
        <w:rPr>
          <w:rFonts w:hint="eastAsia" w:hAnsiTheme="minorHAnsi"/>
          <w:b/>
          <w:bCs/>
          <w:sz w:val="21"/>
          <w:szCs w:val="21"/>
          <w:lang w:val="en-US" w:eastAsia="zh-CN"/>
        </w:rPr>
        <w:t>征求意见</w:t>
      </w:r>
      <w:r>
        <w:rPr>
          <w:rFonts w:hint="eastAsia" w:hAnsiTheme="minorHAnsi"/>
          <w:b/>
          <w:bCs/>
          <w:sz w:val="21"/>
          <w:szCs w:val="21"/>
        </w:rPr>
        <w:t>稿</w:t>
      </w:r>
      <w:r>
        <w:rPr>
          <w:rFonts w:hint="eastAsia"/>
          <w:sz w:val="21"/>
          <w:szCs w:val="21"/>
        </w:rPr>
        <w:t>。</w:t>
      </w:r>
    </w:p>
    <w:p w14:paraId="3D1AE60E">
      <w:pPr>
        <w:pStyle w:val="4"/>
        <w:numPr>
          <w:ilvl w:val="0"/>
          <w:numId w:val="0"/>
        </w:numPr>
        <w:rPr>
          <w:rFonts w:ascii="黑体" w:hAnsi="黑体" w:cs="宋体"/>
          <w:lang w:val="zh-CN"/>
        </w:rPr>
      </w:pPr>
      <w:r>
        <w:rPr>
          <w:rFonts w:hint="eastAsia" w:ascii="黑体" w:hAnsi="黑体" w:cs="宋体"/>
        </w:rPr>
        <w:t>3．</w:t>
      </w:r>
      <w:r>
        <w:rPr>
          <w:rFonts w:hint="eastAsia" w:ascii="黑体" w:hAnsi="黑体" w:cs="宋体"/>
          <w:lang w:val="zh-CN"/>
        </w:rPr>
        <w:t>主要参加单位和工作组成员及其所做的工作</w:t>
      </w:r>
    </w:p>
    <w:p w14:paraId="1BCC734F">
      <w:pPr>
        <w:spacing w:line="360" w:lineRule="auto"/>
        <w:ind w:firstLine="420" w:firstLineChars="200"/>
        <w:rPr>
          <w:sz w:val="21"/>
          <w:szCs w:val="21"/>
        </w:rPr>
      </w:pPr>
      <w:r>
        <w:rPr>
          <w:rFonts w:hint="eastAsia"/>
          <w:sz w:val="21"/>
          <w:szCs w:val="21"/>
        </w:rPr>
        <w:t>工作组组长由哈尔滨电工仪表研究所有限公司担任，牵头起草单位是中国电力科学研究院有限公司，主要起草单位有河南许继仪表有限公司、北京市腾河智慧能源科技有限公司、宁波飞羚电气有限公司、国网思极位置服务有限公司、国网冀北电力有限公司等。</w:t>
      </w:r>
    </w:p>
    <w:p w14:paraId="3FC97CA3">
      <w:pPr>
        <w:spacing w:line="360" w:lineRule="auto"/>
        <w:ind w:firstLine="420" w:firstLineChars="200"/>
        <w:rPr>
          <w:sz w:val="21"/>
          <w:szCs w:val="21"/>
        </w:rPr>
      </w:pPr>
      <w:r>
        <w:rPr>
          <w:rFonts w:hint="eastAsia"/>
          <w:sz w:val="21"/>
          <w:szCs w:val="21"/>
        </w:rPr>
        <w:t>中国电力科学研究院有限公司</w:t>
      </w:r>
      <w:r>
        <w:rPr>
          <w:sz w:val="21"/>
          <w:szCs w:val="21"/>
        </w:rPr>
        <w:t>作为执笔单位负责了本标准的起草、修改工作</w:t>
      </w:r>
      <w:r>
        <w:rPr>
          <w:rFonts w:hint="eastAsia"/>
          <w:sz w:val="21"/>
          <w:szCs w:val="21"/>
        </w:rPr>
        <w:t>；哈尔滨电工仪表研究所有限公司作为</w:t>
      </w:r>
      <w:r>
        <w:rPr>
          <w:sz w:val="21"/>
          <w:szCs w:val="21"/>
        </w:rPr>
        <w:t>工作组组长</w:t>
      </w:r>
      <w:r>
        <w:rPr>
          <w:rFonts w:hint="eastAsia"/>
          <w:sz w:val="21"/>
          <w:szCs w:val="21"/>
        </w:rPr>
        <w:t>主要负责组织、协调等相关工作；河南许继仪表有限公司、北京市腾河智慧能源科技有限公司、宁波飞羚电气有限公司、国网思极位置服务有限公司、国网冀北电力有限公司</w:t>
      </w:r>
      <w:r>
        <w:rPr>
          <w:rFonts w:hint="eastAsia"/>
          <w:color w:val="000000"/>
          <w:sz w:val="21"/>
          <w:szCs w:val="21"/>
        </w:rPr>
        <w:t>等</w:t>
      </w:r>
      <w:r>
        <w:rPr>
          <w:rFonts w:hint="eastAsia"/>
          <w:sz w:val="21"/>
          <w:szCs w:val="21"/>
        </w:rPr>
        <w:t>成员单位在标准制定过程中提出了很多修改意见</w:t>
      </w:r>
      <w:r>
        <w:rPr>
          <w:sz w:val="21"/>
          <w:szCs w:val="21"/>
        </w:rPr>
        <w:t>。</w:t>
      </w:r>
    </w:p>
    <w:p w14:paraId="656E8184">
      <w:pPr>
        <w:spacing w:line="360" w:lineRule="auto"/>
        <w:ind w:firstLine="420" w:firstLineChars="200"/>
        <w:rPr>
          <w:sz w:val="21"/>
          <w:szCs w:val="21"/>
        </w:rPr>
      </w:pPr>
      <w:r>
        <w:rPr>
          <w:rFonts w:hint="eastAsia" w:ascii="Times New Roman" w:hAnsi="Times New Roman"/>
          <w:sz w:val="21"/>
          <w:szCs w:val="21"/>
        </w:rPr>
        <w:t>本文件</w:t>
      </w:r>
      <w:r>
        <w:rPr>
          <w:rFonts w:ascii="Times New Roman" w:hAnsi="Times New Roman"/>
          <w:sz w:val="21"/>
          <w:szCs w:val="21"/>
        </w:rPr>
        <w:t>主要起草人：</w:t>
      </w:r>
      <w:r>
        <w:rPr>
          <w:rFonts w:hint="eastAsia" w:ascii="Times New Roman" w:hAnsi="Times New Roman"/>
          <w:sz w:val="21"/>
          <w:szCs w:val="21"/>
        </w:rPr>
        <w:t>祝恩国、张双沫、任毅、郑国权、张志颖、舒光和、王佳立、王霏、燕凯</w:t>
      </w:r>
      <w:r>
        <w:rPr>
          <w:rFonts w:hint="eastAsia"/>
          <w:sz w:val="21"/>
          <w:szCs w:val="21"/>
        </w:rPr>
        <w:t>等</w:t>
      </w:r>
      <w:r>
        <w:rPr>
          <w:sz w:val="21"/>
          <w:szCs w:val="21"/>
        </w:rPr>
        <w:t>。</w:t>
      </w:r>
    </w:p>
    <w:p w14:paraId="39E94547">
      <w:pPr>
        <w:spacing w:line="360" w:lineRule="auto"/>
        <w:ind w:firstLine="420" w:firstLineChars="200"/>
        <w:rPr>
          <w:rFonts w:ascii="Times New Roman" w:hAnsi="Times New Roman"/>
          <w:sz w:val="21"/>
          <w:szCs w:val="21"/>
        </w:rPr>
      </w:pPr>
      <w:r>
        <w:rPr>
          <w:rFonts w:hint="eastAsia" w:ascii="Times New Roman" w:hAnsi="Times New Roman"/>
          <w:sz w:val="21"/>
          <w:szCs w:val="21"/>
        </w:rPr>
        <w:t>祝恩国、张双沫、任毅、郑国权为本文件的主笔人，负责标准的编写，刘献成为本文件起草工作组的组长，肖子阳、何珊等为本文件起草工作组的组员，负责标准的编写进程和组织协调工作；张志颖、舒光和、王佳立、王霏、燕凯等工作组成员为本文件的编写和修改工作给与大量帮助。</w:t>
      </w:r>
    </w:p>
    <w:p w14:paraId="71CC3378">
      <w:pPr>
        <w:pStyle w:val="4"/>
        <w:numPr>
          <w:ilvl w:val="0"/>
          <w:numId w:val="0"/>
        </w:numPr>
        <w:rPr>
          <w:rFonts w:ascii="黑体" w:hAnsi="黑体" w:cs="宋体"/>
        </w:rPr>
      </w:pPr>
      <w:r>
        <w:rPr>
          <w:rFonts w:hint="eastAsia" w:ascii="黑体" w:hAnsi="黑体" w:cs="宋体"/>
        </w:rPr>
        <w:t>二、  标准编制原则和主要技术内容确定的依据</w:t>
      </w:r>
    </w:p>
    <w:p w14:paraId="380848CD">
      <w:pPr>
        <w:pStyle w:val="4"/>
        <w:numPr>
          <w:ilvl w:val="0"/>
          <w:numId w:val="0"/>
        </w:numPr>
        <w:rPr>
          <w:rFonts w:ascii="黑体" w:hAnsi="黑体" w:cs="宋体"/>
        </w:rPr>
      </w:pPr>
      <w:r>
        <w:rPr>
          <w:rFonts w:hint="eastAsia" w:ascii="黑体" w:hAnsi="黑体" w:cs="宋体"/>
        </w:rPr>
        <w:t>1．主要阐述标准制定或修订过程遵循的基本原则</w:t>
      </w:r>
    </w:p>
    <w:p w14:paraId="5AF0C2BE">
      <w:pPr>
        <w:spacing w:line="360" w:lineRule="auto"/>
        <w:ind w:firstLine="525" w:firstLineChars="250"/>
        <w:rPr>
          <w:sz w:val="21"/>
          <w:szCs w:val="21"/>
        </w:rPr>
      </w:pPr>
      <w:r>
        <w:rPr>
          <w:rFonts w:hint="eastAsia"/>
          <w:sz w:val="21"/>
          <w:szCs w:val="21"/>
        </w:rPr>
        <w:t>本文件按</w:t>
      </w:r>
      <w:r>
        <w:rPr>
          <w:sz w:val="21"/>
          <w:szCs w:val="21"/>
        </w:rPr>
        <w:t>GB/T 1.1-</w:t>
      </w:r>
      <w:r>
        <w:rPr>
          <w:rFonts w:hint="eastAsia"/>
          <w:sz w:val="21"/>
          <w:szCs w:val="21"/>
        </w:rPr>
        <w:t>2020《标准化工作导则 第1部分：标准化文件的结构和起草规则编写》的要求编写。除参考</w:t>
      </w:r>
      <w:r>
        <w:rPr>
          <w:sz w:val="21"/>
          <w:szCs w:val="21"/>
        </w:rPr>
        <w:t xml:space="preserve">GB/T </w:t>
      </w:r>
      <w:r>
        <w:rPr>
          <w:rFonts w:hint="eastAsia"/>
          <w:sz w:val="21"/>
          <w:szCs w:val="21"/>
        </w:rPr>
        <w:t>39399-2020、BD 420011-2015、</w:t>
      </w:r>
      <w:r>
        <w:rPr>
          <w:sz w:val="21"/>
          <w:szCs w:val="21"/>
        </w:rPr>
        <w:t>DL/T</w:t>
      </w:r>
      <w:r>
        <w:rPr>
          <w:rFonts w:hint="eastAsia"/>
          <w:sz w:val="21"/>
          <w:szCs w:val="21"/>
        </w:rPr>
        <w:t>698.45的相关内容外，主要在外形结构、接口要求、材料及工艺要求、标识等方面提出了规范要求。</w:t>
      </w:r>
    </w:p>
    <w:p w14:paraId="0229BA29">
      <w:pPr>
        <w:pStyle w:val="4"/>
        <w:numPr>
          <w:ilvl w:val="0"/>
          <w:numId w:val="0"/>
        </w:numPr>
        <w:rPr>
          <w:rFonts w:ascii="黑体" w:hAnsi="黑体" w:cs="宋体"/>
        </w:rPr>
      </w:pPr>
      <w:r>
        <w:rPr>
          <w:rFonts w:hint="eastAsia" w:ascii="黑体" w:hAnsi="黑体" w:cs="宋体"/>
        </w:rPr>
        <w:t>2．标准主要内容中范围、外形结构、接口要求、材料及工艺要求、标识</w:t>
      </w:r>
    </w:p>
    <w:p w14:paraId="140CD8F1">
      <w:pPr>
        <w:pStyle w:val="21"/>
        <w:spacing w:line="360" w:lineRule="auto"/>
        <w:rPr>
          <w:rFonts w:hAnsi="宋体" w:cs="宋体"/>
          <w:szCs w:val="21"/>
        </w:rPr>
      </w:pPr>
      <w:r>
        <w:rPr>
          <w:rFonts w:hint="eastAsia" w:hAnsi="宋体" w:cs="宋体"/>
          <w:szCs w:val="21"/>
        </w:rPr>
        <w:t>本文件规定了采集终端远程通信单元（以下简称“通信单元”）</w:t>
      </w:r>
      <w:r>
        <w:rPr>
          <w:rFonts w:hAnsi="宋体" w:cs="宋体"/>
          <w:szCs w:val="21"/>
        </w:rPr>
        <w:t>的</w:t>
      </w:r>
      <w:r>
        <w:rPr>
          <w:rFonts w:hint="eastAsia" w:hAnsi="宋体" w:cs="宋体"/>
          <w:szCs w:val="21"/>
        </w:rPr>
        <w:t>外形结构、接口要求、材料及工艺要求、标识。适用于采集终端远程通信单元的制造、检验、使用和验收</w:t>
      </w:r>
    </w:p>
    <w:p w14:paraId="4B4833DE">
      <w:pPr>
        <w:spacing w:line="360" w:lineRule="auto"/>
        <w:ind w:firstLine="525" w:firstLineChars="250"/>
        <w:rPr>
          <w:sz w:val="21"/>
          <w:szCs w:val="21"/>
        </w:rPr>
      </w:pPr>
      <w:r>
        <w:rPr>
          <w:rFonts w:hint="eastAsia"/>
          <w:sz w:val="21"/>
          <w:szCs w:val="21"/>
        </w:rPr>
        <w:t>通信单元型式结构的外形及安装尺寸主要包括各种采集终端设备适配的通信单元的型式结构尺寸结构定义。</w:t>
      </w:r>
    </w:p>
    <w:p w14:paraId="5E43BF38">
      <w:pPr>
        <w:spacing w:line="360" w:lineRule="auto"/>
        <w:ind w:firstLine="525" w:firstLineChars="250"/>
        <w:rPr>
          <w:sz w:val="21"/>
          <w:szCs w:val="21"/>
        </w:rPr>
      </w:pPr>
      <w:r>
        <w:rPr>
          <w:rFonts w:hint="eastAsia"/>
          <w:sz w:val="21"/>
          <w:szCs w:val="21"/>
        </w:rPr>
        <w:t>通信单元接口要求主要定义了集中器Ⅰ型、专变终端I型、集中器Ⅱ型、专变终端III型、专变终端(模组化)、台区智能融合终端的通信单元与本体设备的接口要求；</w:t>
      </w:r>
    </w:p>
    <w:p w14:paraId="689110DB">
      <w:pPr>
        <w:spacing w:line="360" w:lineRule="auto"/>
        <w:ind w:firstLine="525" w:firstLineChars="250"/>
        <w:rPr>
          <w:sz w:val="21"/>
          <w:szCs w:val="21"/>
        </w:rPr>
      </w:pPr>
      <w:r>
        <w:rPr>
          <w:rFonts w:hint="eastAsia"/>
          <w:sz w:val="21"/>
          <w:szCs w:val="21"/>
        </w:rPr>
        <w:t>通信单元的线路板及元器件的材料与工艺、壳体材料、铭牌材料等都做了相关的相关要求。</w:t>
      </w:r>
    </w:p>
    <w:p w14:paraId="712A55DA">
      <w:pPr>
        <w:spacing w:line="360" w:lineRule="auto"/>
        <w:ind w:firstLine="525" w:firstLineChars="250"/>
        <w:rPr>
          <w:sz w:val="21"/>
          <w:szCs w:val="21"/>
        </w:rPr>
      </w:pPr>
      <w:r>
        <w:rPr>
          <w:rFonts w:hint="eastAsia"/>
          <w:sz w:val="21"/>
          <w:szCs w:val="21"/>
        </w:rPr>
        <w:t>通信单元的产品标识与包装标识做了明确的相关要求。</w:t>
      </w:r>
    </w:p>
    <w:p w14:paraId="09B90D24">
      <w:pPr>
        <w:pStyle w:val="4"/>
        <w:numPr>
          <w:ilvl w:val="0"/>
          <w:numId w:val="0"/>
        </w:numPr>
        <w:rPr>
          <w:rFonts w:ascii="黑体" w:hAnsi="黑体" w:cs="宋体"/>
        </w:rPr>
      </w:pPr>
      <w:r>
        <w:rPr>
          <w:rFonts w:hint="eastAsia" w:ascii="黑体" w:hAnsi="黑体" w:cs="宋体"/>
        </w:rPr>
        <w:t>3、 主要试验（或验证）情况</w:t>
      </w:r>
    </w:p>
    <w:p w14:paraId="33031D84">
      <w:pPr>
        <w:spacing w:line="360" w:lineRule="auto"/>
        <w:ind w:firstLine="525" w:firstLineChars="250"/>
        <w:rPr>
          <w:sz w:val="21"/>
          <w:szCs w:val="21"/>
        </w:rPr>
      </w:pPr>
      <w:r>
        <w:rPr>
          <w:rFonts w:hint="eastAsia"/>
          <w:sz w:val="21"/>
          <w:szCs w:val="21"/>
        </w:rPr>
        <w:t>本文件不涉及试验验证工作。</w:t>
      </w:r>
    </w:p>
    <w:p w14:paraId="7E70A563">
      <w:pPr>
        <w:pStyle w:val="4"/>
        <w:numPr>
          <w:ilvl w:val="0"/>
          <w:numId w:val="0"/>
        </w:numPr>
        <w:rPr>
          <w:rFonts w:ascii="宋体" w:hAnsi="宋体" w:cs="宋体"/>
        </w:rPr>
      </w:pPr>
      <w:r>
        <w:rPr>
          <w:rFonts w:hint="eastAsia" w:ascii="宋体" w:hAnsi="宋体" w:cs="宋体"/>
        </w:rPr>
        <w:t>四、标准涉及专利情况</w:t>
      </w:r>
    </w:p>
    <w:p w14:paraId="501B9E1B">
      <w:pPr>
        <w:spacing w:line="360" w:lineRule="auto"/>
        <w:ind w:firstLine="420" w:firstLineChars="200"/>
        <w:rPr>
          <w:rFonts w:ascii="Times New Roman" w:hAnsi="Times New Roman"/>
          <w:sz w:val="21"/>
          <w:szCs w:val="21"/>
        </w:rPr>
      </w:pPr>
      <w:r>
        <w:rPr>
          <w:rFonts w:hint="eastAsia" w:ascii="Times New Roman" w:hAnsi="Times New Roman"/>
          <w:sz w:val="21"/>
          <w:szCs w:val="21"/>
        </w:rPr>
        <w:t>本文件不涉及任何专利问题。</w:t>
      </w:r>
    </w:p>
    <w:p w14:paraId="61A78365">
      <w:pPr>
        <w:pStyle w:val="4"/>
        <w:numPr>
          <w:ilvl w:val="0"/>
          <w:numId w:val="0"/>
        </w:numPr>
        <w:rPr>
          <w:rFonts w:ascii="宋体" w:hAnsi="宋体" w:cs="宋体"/>
        </w:rPr>
      </w:pPr>
      <w:r>
        <w:rPr>
          <w:rFonts w:hint="eastAsia" w:ascii="宋体" w:hAnsi="宋体" w:cs="宋体"/>
        </w:rPr>
        <w:t>五、预期达到的社会效益、对产业发展的作用</w:t>
      </w:r>
    </w:p>
    <w:p w14:paraId="2B03008C">
      <w:pPr>
        <w:spacing w:line="360" w:lineRule="auto"/>
        <w:ind w:firstLine="420" w:firstLineChars="200"/>
        <w:rPr>
          <w:sz w:val="21"/>
          <w:szCs w:val="21"/>
        </w:rPr>
      </w:pPr>
      <w:r>
        <w:rPr>
          <w:rFonts w:hint="eastAsia"/>
          <w:sz w:val="21"/>
          <w:szCs w:val="21"/>
        </w:rPr>
        <w:t>目前在电力营销领域，集中器I型、集中器II型、</w:t>
      </w:r>
      <w:r>
        <w:rPr>
          <w:sz w:val="21"/>
          <w:szCs w:val="21"/>
        </w:rPr>
        <w:t>专变采集终端Ⅰ型</w:t>
      </w:r>
      <w:r>
        <w:rPr>
          <w:rFonts w:hint="eastAsia"/>
          <w:sz w:val="21"/>
          <w:szCs w:val="21"/>
        </w:rPr>
        <w:t>、</w:t>
      </w:r>
      <w:r>
        <w:rPr>
          <w:sz w:val="21"/>
          <w:szCs w:val="21"/>
        </w:rPr>
        <w:t>专变采集终端</w:t>
      </w:r>
      <w:r>
        <w:rPr>
          <w:rFonts w:hint="eastAsia"/>
          <w:sz w:val="21"/>
          <w:szCs w:val="21"/>
        </w:rPr>
        <w:t>III</w:t>
      </w:r>
      <w:r>
        <w:rPr>
          <w:sz w:val="21"/>
          <w:szCs w:val="21"/>
        </w:rPr>
        <w:t>型</w:t>
      </w:r>
      <w:r>
        <w:rPr>
          <w:rFonts w:hint="eastAsia"/>
          <w:sz w:val="21"/>
          <w:szCs w:val="21"/>
        </w:rPr>
        <w:t>、专变终端（模组化）、台区智能融合终端等采集终端在现场地理位置信息无法准确获取，对于终端的统一管理带来不便。为进一步加强对电力营销采集终端的统一管理，支撑营销计量工作开展和应急检修等工作，在现有电力营销采集终端上，新增北斗定位能力打造新型采集终端远程通信单元，实时获取采集终端的地理位置信息，全面提升电力营销客户服务能力和营销精益化水平。</w:t>
      </w:r>
    </w:p>
    <w:p w14:paraId="2A8C905A">
      <w:pPr>
        <w:spacing w:line="360" w:lineRule="auto"/>
        <w:ind w:firstLine="420" w:firstLineChars="200"/>
        <w:rPr>
          <w:sz w:val="21"/>
          <w:szCs w:val="21"/>
        </w:rPr>
      </w:pPr>
      <w:r>
        <w:rPr>
          <w:rFonts w:hint="eastAsia"/>
          <w:sz w:val="21"/>
          <w:szCs w:val="21"/>
        </w:rPr>
        <w:t>通过制定本标准，弥补了电力营销领域采集终端远程通信单元无定位功能、通信接口协议、型式结构标准的空白。提高了采集终端远程</w:t>
      </w:r>
      <w:r>
        <w:rPr>
          <w:sz w:val="21"/>
          <w:szCs w:val="21"/>
        </w:rPr>
        <w:t>通信单元</w:t>
      </w:r>
      <w:r>
        <w:rPr>
          <w:rFonts w:hint="eastAsia"/>
          <w:sz w:val="21"/>
          <w:szCs w:val="21"/>
        </w:rPr>
        <w:t>定位精度标准要求，明确规范了数据传输链路，提升采集终端远程</w:t>
      </w:r>
      <w:r>
        <w:rPr>
          <w:sz w:val="21"/>
          <w:szCs w:val="21"/>
        </w:rPr>
        <w:t>通信单元</w:t>
      </w:r>
      <w:r>
        <w:rPr>
          <w:rFonts w:hint="eastAsia"/>
          <w:sz w:val="21"/>
          <w:szCs w:val="21"/>
        </w:rPr>
        <w:t>的规范化、标准化水平，提升电力营销专业时空数据采集精度与可靠性，满足电力营销设备地理信息采集需要及能源互联网数智化建设要求，推动了电力营销设备地理信息获取工作健康有序发展。</w:t>
      </w:r>
    </w:p>
    <w:p w14:paraId="5441A269">
      <w:pPr>
        <w:pStyle w:val="4"/>
        <w:numPr>
          <w:ilvl w:val="0"/>
          <w:numId w:val="0"/>
        </w:numPr>
        <w:rPr>
          <w:rFonts w:ascii="宋体" w:hAnsi="宋体" w:cs="宋体"/>
        </w:rPr>
      </w:pPr>
      <w:r>
        <w:rPr>
          <w:rFonts w:hint="eastAsia" w:ascii="宋体" w:hAnsi="宋体" w:cs="宋体"/>
        </w:rPr>
        <w:t>六、与国际、国外同类标准水平的对比情况</w:t>
      </w:r>
    </w:p>
    <w:p w14:paraId="65F04B0C">
      <w:pPr>
        <w:spacing w:line="360" w:lineRule="auto"/>
        <w:ind w:firstLine="420" w:firstLineChars="200"/>
        <w:rPr>
          <w:sz w:val="21"/>
          <w:szCs w:val="21"/>
        </w:rPr>
      </w:pPr>
      <w:r>
        <w:rPr>
          <w:sz w:val="21"/>
          <w:szCs w:val="21"/>
        </w:rPr>
        <w:t>与现有标准、制定中的标准没有矛盾。</w:t>
      </w:r>
    </w:p>
    <w:p w14:paraId="0E25551A">
      <w:pPr>
        <w:pStyle w:val="4"/>
        <w:numPr>
          <w:ilvl w:val="0"/>
          <w:numId w:val="0"/>
        </w:numPr>
        <w:rPr>
          <w:rFonts w:ascii="宋体" w:hAnsi="宋体" w:cs="宋体"/>
        </w:rPr>
      </w:pPr>
      <w:r>
        <w:rPr>
          <w:rFonts w:hint="eastAsia" w:ascii="宋体" w:hAnsi="宋体" w:cs="宋体"/>
        </w:rPr>
        <w:t>七、在标准体系中的位置，与现行相关法律、法规、规章及相关标准，特别是强制性标准的协调性</w:t>
      </w:r>
    </w:p>
    <w:p w14:paraId="48E0696E">
      <w:pPr>
        <w:spacing w:line="360" w:lineRule="auto"/>
        <w:ind w:firstLine="420" w:firstLineChars="200"/>
        <w:rPr>
          <w:b/>
          <w:bCs/>
          <w:sz w:val="21"/>
          <w:szCs w:val="21"/>
          <w:lang w:val="zh-CN"/>
        </w:rPr>
      </w:pPr>
      <w:r>
        <w:rPr>
          <w:sz w:val="21"/>
          <w:szCs w:val="21"/>
          <w:lang w:val="zh-CN"/>
        </w:rPr>
        <w:t>无。</w:t>
      </w:r>
    </w:p>
    <w:p w14:paraId="0E7E8462">
      <w:pPr>
        <w:pStyle w:val="4"/>
        <w:numPr>
          <w:ilvl w:val="0"/>
          <w:numId w:val="0"/>
        </w:numPr>
        <w:rPr>
          <w:rFonts w:ascii="宋体" w:hAnsi="宋体" w:cs="宋体"/>
        </w:rPr>
      </w:pPr>
      <w:r>
        <w:rPr>
          <w:rFonts w:hint="eastAsia" w:ascii="宋体" w:hAnsi="宋体" w:cs="宋体"/>
        </w:rPr>
        <w:t>八、标准性质的重大分歧意见的处理经过和依据</w:t>
      </w:r>
    </w:p>
    <w:p w14:paraId="78D1116E">
      <w:pPr>
        <w:spacing w:line="360" w:lineRule="auto"/>
        <w:ind w:firstLine="420" w:firstLineChars="200"/>
        <w:rPr>
          <w:rFonts w:ascii="Times New Roman" w:hAnsi="Times New Roman"/>
          <w:sz w:val="21"/>
          <w:szCs w:val="21"/>
          <w:lang w:val="zh-CN"/>
        </w:rPr>
      </w:pPr>
      <w:r>
        <w:rPr>
          <w:rFonts w:hint="eastAsia" w:ascii="Times New Roman" w:hAnsi="Times New Roman"/>
          <w:sz w:val="21"/>
          <w:szCs w:val="21"/>
          <w:lang w:val="zh-CN"/>
        </w:rPr>
        <w:t>无。</w:t>
      </w:r>
    </w:p>
    <w:p w14:paraId="3C313E5F">
      <w:pPr>
        <w:pStyle w:val="4"/>
        <w:numPr>
          <w:ilvl w:val="0"/>
          <w:numId w:val="0"/>
        </w:numPr>
        <w:rPr>
          <w:rFonts w:ascii="宋体" w:hAnsi="宋体" w:cs="宋体"/>
        </w:rPr>
      </w:pPr>
      <w:r>
        <w:rPr>
          <w:rFonts w:hint="eastAsia" w:ascii="宋体" w:hAnsi="宋体" w:cs="宋体"/>
        </w:rPr>
        <w:t>九、标准性质的建议说明</w:t>
      </w:r>
    </w:p>
    <w:p w14:paraId="53BB255F">
      <w:pPr>
        <w:spacing w:line="360" w:lineRule="auto"/>
        <w:ind w:firstLine="420" w:firstLineChars="200"/>
        <w:rPr>
          <w:sz w:val="21"/>
          <w:szCs w:val="21"/>
        </w:rPr>
      </w:pPr>
      <w:r>
        <w:rPr>
          <w:sz w:val="21"/>
          <w:szCs w:val="21"/>
        </w:rPr>
        <w:t>本标准</w:t>
      </w:r>
      <w:r>
        <w:rPr>
          <w:rFonts w:hint="eastAsia"/>
          <w:sz w:val="21"/>
          <w:szCs w:val="21"/>
        </w:rPr>
        <w:t>为首次制定，</w:t>
      </w:r>
      <w:r>
        <w:rPr>
          <w:sz w:val="21"/>
          <w:szCs w:val="21"/>
        </w:rPr>
        <w:t>为推荐性</w:t>
      </w:r>
      <w:r>
        <w:rPr>
          <w:rFonts w:hint="eastAsia"/>
          <w:sz w:val="21"/>
          <w:szCs w:val="21"/>
        </w:rPr>
        <w:t>团体</w:t>
      </w:r>
      <w:r>
        <w:rPr>
          <w:sz w:val="21"/>
          <w:szCs w:val="21"/>
        </w:rPr>
        <w:t>标准。</w:t>
      </w:r>
    </w:p>
    <w:p w14:paraId="12D9E193">
      <w:pPr>
        <w:pStyle w:val="4"/>
        <w:numPr>
          <w:ilvl w:val="0"/>
          <w:numId w:val="0"/>
        </w:numPr>
        <w:rPr>
          <w:rFonts w:ascii="宋体" w:hAnsi="宋体" w:cs="宋体"/>
        </w:rPr>
      </w:pPr>
      <w:r>
        <w:rPr>
          <w:rFonts w:hint="eastAsia" w:ascii="宋体" w:hAnsi="宋体" w:cs="宋体"/>
        </w:rPr>
        <w:t>十、贯彻标准的要求和措施建议</w:t>
      </w:r>
    </w:p>
    <w:p w14:paraId="323215B1">
      <w:pPr>
        <w:widowControl w:val="0"/>
        <w:numPr>
          <w:ilvl w:val="0"/>
          <w:numId w:val="3"/>
        </w:numPr>
        <w:spacing w:line="360" w:lineRule="auto"/>
        <w:jc w:val="both"/>
        <w:rPr>
          <w:sz w:val="21"/>
          <w:szCs w:val="21"/>
        </w:rPr>
      </w:pPr>
      <w:r>
        <w:rPr>
          <w:rFonts w:hint="eastAsia"/>
          <w:sz w:val="21"/>
          <w:szCs w:val="21"/>
        </w:rPr>
        <w:t>组织措施</w:t>
      </w:r>
    </w:p>
    <w:p w14:paraId="0EC74BA6">
      <w:pPr>
        <w:spacing w:line="360" w:lineRule="auto"/>
        <w:ind w:firstLine="420"/>
        <w:rPr>
          <w:sz w:val="21"/>
          <w:szCs w:val="21"/>
        </w:rPr>
      </w:pPr>
      <w:r>
        <w:rPr>
          <w:rFonts w:hint="eastAsia"/>
          <w:sz w:val="21"/>
          <w:szCs w:val="21"/>
        </w:rPr>
        <w:t>利用信息平台对标准进行推广和宣贯，同时展示试点效果案例；联合有实力的远程通信单元生产厂家及采集终端生产厂家，建设试验试点，便于客户实地调研。</w:t>
      </w:r>
    </w:p>
    <w:p w14:paraId="742CB0AA">
      <w:pPr>
        <w:widowControl w:val="0"/>
        <w:numPr>
          <w:ilvl w:val="0"/>
          <w:numId w:val="3"/>
        </w:numPr>
        <w:spacing w:line="360" w:lineRule="auto"/>
        <w:jc w:val="both"/>
        <w:rPr>
          <w:sz w:val="21"/>
          <w:szCs w:val="21"/>
        </w:rPr>
      </w:pPr>
      <w:r>
        <w:rPr>
          <w:rFonts w:hint="eastAsia"/>
          <w:sz w:val="21"/>
          <w:szCs w:val="21"/>
        </w:rPr>
        <w:t>实施日期</w:t>
      </w:r>
    </w:p>
    <w:p w14:paraId="718820A8">
      <w:pPr>
        <w:spacing w:line="360" w:lineRule="auto"/>
        <w:ind w:firstLine="420"/>
        <w:rPr>
          <w:sz w:val="21"/>
          <w:szCs w:val="21"/>
        </w:rPr>
      </w:pPr>
      <w:r>
        <w:rPr>
          <w:rFonts w:hint="eastAsia"/>
          <w:sz w:val="21"/>
          <w:szCs w:val="21"/>
        </w:rPr>
        <w:t>自标准发布后，及时推广实施。</w:t>
      </w:r>
    </w:p>
    <w:p w14:paraId="09EE2E07">
      <w:pPr>
        <w:pStyle w:val="4"/>
        <w:numPr>
          <w:ilvl w:val="0"/>
          <w:numId w:val="0"/>
        </w:numPr>
        <w:rPr>
          <w:rFonts w:ascii="宋体" w:hAnsi="宋体" w:cs="宋体"/>
        </w:rPr>
      </w:pPr>
      <w:r>
        <w:rPr>
          <w:rFonts w:hint="eastAsia" w:ascii="宋体" w:hAnsi="宋体" w:cs="宋体"/>
        </w:rPr>
        <w:t>十一、废止现行相关标准的建议</w:t>
      </w:r>
    </w:p>
    <w:p w14:paraId="2CC9DB4E">
      <w:pPr>
        <w:spacing w:line="360" w:lineRule="auto"/>
        <w:ind w:firstLine="420"/>
        <w:rPr>
          <w:sz w:val="21"/>
          <w:szCs w:val="21"/>
        </w:rPr>
      </w:pPr>
      <w:r>
        <w:rPr>
          <w:rFonts w:hint="eastAsia"/>
          <w:sz w:val="21"/>
          <w:szCs w:val="21"/>
        </w:rPr>
        <w:t>无。</w:t>
      </w:r>
    </w:p>
    <w:p w14:paraId="5207DFF1">
      <w:pPr>
        <w:pStyle w:val="4"/>
        <w:numPr>
          <w:ilvl w:val="0"/>
          <w:numId w:val="0"/>
        </w:numPr>
        <w:rPr>
          <w:rFonts w:ascii="宋体" w:hAnsi="宋体" w:cs="宋体"/>
          <w:lang w:val="zh-CN"/>
        </w:rPr>
      </w:pPr>
      <w:r>
        <w:rPr>
          <w:rFonts w:hint="eastAsia" w:ascii="宋体" w:hAnsi="宋体" w:cs="宋体"/>
        </w:rPr>
        <w:t>十二、</w:t>
      </w:r>
      <w:r>
        <w:rPr>
          <w:rFonts w:hint="eastAsia" w:ascii="宋体" w:hAnsi="宋体" w:cs="宋体"/>
          <w:lang w:val="zh-CN"/>
        </w:rPr>
        <w:t>其他予以说明的事项</w:t>
      </w:r>
    </w:p>
    <w:p w14:paraId="11BCF2F3">
      <w:pPr>
        <w:spacing w:line="360" w:lineRule="auto"/>
        <w:ind w:firstLine="420"/>
        <w:rPr>
          <w:sz w:val="21"/>
          <w:szCs w:val="21"/>
        </w:rPr>
      </w:pPr>
      <w:r>
        <w:rPr>
          <w:rFonts w:hint="eastAsia"/>
          <w:sz w:val="21"/>
          <w:szCs w:val="21"/>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85294561"/>
      <w:docPartObj>
        <w:docPartGallery w:val="AutoText"/>
      </w:docPartObj>
    </w:sdtPr>
    <w:sdtContent>
      <w:p w14:paraId="4C32C71F">
        <w:pPr>
          <w:pStyle w:val="8"/>
          <w:jc w:val="center"/>
        </w:pPr>
        <w:r>
          <w:fldChar w:fldCharType="begin"/>
        </w:r>
        <w:r>
          <w:instrText xml:space="preserve">PAGE   \* MERGEFORMAT</w:instrText>
        </w:r>
        <w:r>
          <w:fldChar w:fldCharType="separate"/>
        </w:r>
        <w:r>
          <w:rPr>
            <w:lang w:val="zh-CN"/>
          </w:rPr>
          <w:t>3</w:t>
        </w:r>
        <w:r>
          <w:fldChar w:fldCharType="end"/>
        </w:r>
      </w:p>
    </w:sdtContent>
  </w:sdt>
  <w:p w14:paraId="70BF06E0">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567"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710" w:firstLine="0"/>
      </w:pPr>
      <w:rPr>
        <w:rFonts w:hint="eastAsia" w:ascii="黑体" w:hAnsi="Times New Roman" w:eastAsia="黑体"/>
        <w:b w:val="0"/>
        <w:i w:val="0"/>
        <w:sz w:val="21"/>
      </w:rPr>
    </w:lvl>
    <w:lvl w:ilvl="3" w:tentative="0">
      <w:start w:val="1"/>
      <w:numFmt w:val="decimal"/>
      <w:pStyle w:val="30"/>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45B4535E"/>
    <w:multiLevelType w:val="multilevel"/>
    <w:tmpl w:val="45B4535E"/>
    <w:lvl w:ilvl="0" w:tentative="0">
      <w:start w:val="1"/>
      <w:numFmt w:val="decimal"/>
      <w:suff w:val="space"/>
      <w:lvlText w:val="%1."/>
      <w:lvlJc w:val="left"/>
      <w:pPr>
        <w:ind w:left="425" w:hanging="425"/>
      </w:pPr>
      <w:rPr>
        <w:rFonts w:hint="eastAsia" w:ascii="黑体" w:hAnsi="黑体" w:eastAsia="黑体"/>
      </w:rPr>
    </w:lvl>
    <w:lvl w:ilvl="1" w:tentative="0">
      <w:start w:val="1"/>
      <w:numFmt w:val="decimal"/>
      <w:pStyle w:val="4"/>
      <w:suff w:val="space"/>
      <w:lvlText w:val="%1.%2."/>
      <w:lvlJc w:val="left"/>
      <w:pPr>
        <w:ind w:left="567" w:hanging="567"/>
      </w:pPr>
      <w:rPr>
        <w:rFonts w:hint="eastAsia"/>
      </w:rPr>
    </w:lvl>
    <w:lvl w:ilvl="2" w:tentative="0">
      <w:start w:val="1"/>
      <w:numFmt w:val="decimal"/>
      <w:pStyle w:val="5"/>
      <w:suff w:val="space"/>
      <w:lvlText w:val="%1.%2.%3."/>
      <w:lvlJc w:val="left"/>
      <w:pPr>
        <w:ind w:left="1702"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
    <w:nsid w:val="62617711"/>
    <w:multiLevelType w:val="multilevel"/>
    <w:tmpl w:val="62617711"/>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B0B"/>
    <w:rsid w:val="00011D64"/>
    <w:rsid w:val="00036461"/>
    <w:rsid w:val="0004358F"/>
    <w:rsid w:val="0009700C"/>
    <w:rsid w:val="000D2173"/>
    <w:rsid w:val="00117B0B"/>
    <w:rsid w:val="00136449"/>
    <w:rsid w:val="00143033"/>
    <w:rsid w:val="0017734B"/>
    <w:rsid w:val="001E177E"/>
    <w:rsid w:val="001E68E0"/>
    <w:rsid w:val="002A34BB"/>
    <w:rsid w:val="00311D95"/>
    <w:rsid w:val="00311F02"/>
    <w:rsid w:val="00327426"/>
    <w:rsid w:val="003848C5"/>
    <w:rsid w:val="003A4DDD"/>
    <w:rsid w:val="003A7DA5"/>
    <w:rsid w:val="00403492"/>
    <w:rsid w:val="00417C3A"/>
    <w:rsid w:val="004259DE"/>
    <w:rsid w:val="004327DD"/>
    <w:rsid w:val="00441A88"/>
    <w:rsid w:val="00443F73"/>
    <w:rsid w:val="00483059"/>
    <w:rsid w:val="004E2E4A"/>
    <w:rsid w:val="005152C9"/>
    <w:rsid w:val="00523830"/>
    <w:rsid w:val="0053147E"/>
    <w:rsid w:val="005319B1"/>
    <w:rsid w:val="00540C53"/>
    <w:rsid w:val="00543D38"/>
    <w:rsid w:val="0056235B"/>
    <w:rsid w:val="005E1153"/>
    <w:rsid w:val="00614312"/>
    <w:rsid w:val="00637267"/>
    <w:rsid w:val="00660FB3"/>
    <w:rsid w:val="0068218C"/>
    <w:rsid w:val="006A4436"/>
    <w:rsid w:val="006B5817"/>
    <w:rsid w:val="006C1BE3"/>
    <w:rsid w:val="0073023B"/>
    <w:rsid w:val="00765E48"/>
    <w:rsid w:val="007A3604"/>
    <w:rsid w:val="007E7BDE"/>
    <w:rsid w:val="00812CD9"/>
    <w:rsid w:val="00814D42"/>
    <w:rsid w:val="00855141"/>
    <w:rsid w:val="00860098"/>
    <w:rsid w:val="008A65D6"/>
    <w:rsid w:val="008B08DF"/>
    <w:rsid w:val="008B799B"/>
    <w:rsid w:val="008C1D22"/>
    <w:rsid w:val="008E16B6"/>
    <w:rsid w:val="0093376C"/>
    <w:rsid w:val="009C60CA"/>
    <w:rsid w:val="009F1AE4"/>
    <w:rsid w:val="00A02133"/>
    <w:rsid w:val="00A252E8"/>
    <w:rsid w:val="00A73700"/>
    <w:rsid w:val="00A82F7E"/>
    <w:rsid w:val="00AA53F0"/>
    <w:rsid w:val="00AB1765"/>
    <w:rsid w:val="00AB58B1"/>
    <w:rsid w:val="00AF34DC"/>
    <w:rsid w:val="00B17504"/>
    <w:rsid w:val="00B4647D"/>
    <w:rsid w:val="00B47E21"/>
    <w:rsid w:val="00B9059A"/>
    <w:rsid w:val="00C413F3"/>
    <w:rsid w:val="00C54E96"/>
    <w:rsid w:val="00C822B4"/>
    <w:rsid w:val="00C86E06"/>
    <w:rsid w:val="00CE0564"/>
    <w:rsid w:val="00CE2165"/>
    <w:rsid w:val="00CE7492"/>
    <w:rsid w:val="00D43324"/>
    <w:rsid w:val="00D962E2"/>
    <w:rsid w:val="00DE436D"/>
    <w:rsid w:val="00E40226"/>
    <w:rsid w:val="00E64BB2"/>
    <w:rsid w:val="00EA0B7D"/>
    <w:rsid w:val="00EC654E"/>
    <w:rsid w:val="00F04EC6"/>
    <w:rsid w:val="00F652CF"/>
    <w:rsid w:val="00F84E5C"/>
    <w:rsid w:val="00FF5E9F"/>
    <w:rsid w:val="00FF6EE7"/>
    <w:rsid w:val="1F9945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kern w:val="0"/>
      <w:sz w:val="24"/>
      <w:szCs w:val="24"/>
      <w:lang w:val="en-US" w:eastAsia="zh-CN" w:bidi="ar-SA"/>
    </w:rPr>
  </w:style>
  <w:style w:type="paragraph" w:styleId="3">
    <w:name w:val="heading 1"/>
    <w:basedOn w:val="1"/>
    <w:next w:val="1"/>
    <w:link w:val="17"/>
    <w:qFormat/>
    <w:uiPriority w:val="0"/>
    <w:pPr>
      <w:keepNext/>
      <w:keepLines/>
      <w:widowControl w:val="0"/>
      <w:spacing w:before="312" w:after="312"/>
      <w:jc w:val="both"/>
      <w:outlineLvl w:val="0"/>
    </w:pPr>
    <w:rPr>
      <w:rFonts w:ascii="黑体" w:hAnsi="黑体" w:eastAsia="黑体" w:cs="Times New Roman"/>
      <w:kern w:val="44"/>
      <w:sz w:val="21"/>
      <w:szCs w:val="21"/>
    </w:rPr>
  </w:style>
  <w:style w:type="paragraph" w:styleId="4">
    <w:name w:val="heading 2"/>
    <w:basedOn w:val="1"/>
    <w:next w:val="1"/>
    <w:link w:val="18"/>
    <w:unhideWhenUsed/>
    <w:qFormat/>
    <w:uiPriority w:val="0"/>
    <w:pPr>
      <w:keepNext/>
      <w:keepLines/>
      <w:widowControl w:val="0"/>
      <w:numPr>
        <w:ilvl w:val="1"/>
        <w:numId w:val="1"/>
      </w:numPr>
      <w:spacing w:before="156" w:after="156"/>
      <w:jc w:val="both"/>
      <w:outlineLvl w:val="1"/>
    </w:pPr>
    <w:rPr>
      <w:rFonts w:ascii="Times New Roman" w:hAnsi="Times New Roman" w:eastAsia="黑体" w:cs="Times New Roman"/>
      <w:kern w:val="2"/>
      <w:sz w:val="21"/>
      <w:szCs w:val="21"/>
    </w:rPr>
  </w:style>
  <w:style w:type="paragraph" w:styleId="5">
    <w:name w:val="heading 3"/>
    <w:basedOn w:val="4"/>
    <w:next w:val="1"/>
    <w:link w:val="19"/>
    <w:unhideWhenUsed/>
    <w:qFormat/>
    <w:uiPriority w:val="0"/>
    <w:pPr>
      <w:numPr>
        <w:ilvl w:val="2"/>
      </w:numPr>
      <w:outlineLvl w:val="2"/>
    </w:p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0"/>
    <w:unhideWhenUsed/>
    <w:qFormat/>
    <w:uiPriority w:val="0"/>
    <w:pPr>
      <w:spacing w:after="120"/>
    </w:pPr>
  </w:style>
  <w:style w:type="paragraph" w:styleId="6">
    <w:name w:val="annotation text"/>
    <w:basedOn w:val="1"/>
    <w:link w:val="33"/>
    <w:semiHidden/>
    <w:unhideWhenUsed/>
    <w:uiPriority w:val="99"/>
  </w:style>
  <w:style w:type="paragraph" w:styleId="7">
    <w:name w:val="Balloon Text"/>
    <w:basedOn w:val="1"/>
    <w:link w:val="35"/>
    <w:semiHidden/>
    <w:unhideWhenUsed/>
    <w:qFormat/>
    <w:uiPriority w:val="99"/>
    <w:rPr>
      <w:sz w:val="18"/>
      <w:szCs w:val="18"/>
    </w:rPr>
  </w:style>
  <w:style w:type="paragraph" w:styleId="8">
    <w:name w:val="footer"/>
    <w:basedOn w:val="1"/>
    <w:link w:val="16"/>
    <w:unhideWhenUsed/>
    <w:uiPriority w:val="99"/>
    <w:pPr>
      <w:tabs>
        <w:tab w:val="center" w:pos="4153"/>
        <w:tab w:val="right" w:pos="8306"/>
      </w:tabs>
      <w:snapToGrid w:val="0"/>
    </w:pPr>
    <w:rPr>
      <w:sz w:val="18"/>
      <w:szCs w:val="18"/>
    </w:rPr>
  </w:style>
  <w:style w:type="paragraph" w:styleId="9">
    <w:name w:val="header"/>
    <w:basedOn w:val="1"/>
    <w:link w:val="15"/>
    <w:unhideWhenUsed/>
    <w:qFormat/>
    <w:uiPriority w:val="99"/>
    <w:pPr>
      <w:tabs>
        <w:tab w:val="center" w:pos="4153"/>
        <w:tab w:val="right" w:pos="8306"/>
      </w:tabs>
      <w:snapToGrid w:val="0"/>
      <w:jc w:val="center"/>
    </w:pPr>
    <w:rPr>
      <w:sz w:val="18"/>
      <w:szCs w:val="18"/>
    </w:rPr>
  </w:style>
  <w:style w:type="paragraph" w:styleId="10">
    <w:name w:val="annotation subject"/>
    <w:basedOn w:val="6"/>
    <w:next w:val="6"/>
    <w:link w:val="34"/>
    <w:semiHidden/>
    <w:unhideWhenUsed/>
    <w:uiPriority w:val="99"/>
    <w:rPr>
      <w:b/>
      <w:bCs/>
    </w:rPr>
  </w:style>
  <w:style w:type="table" w:styleId="12">
    <w:name w:val="Table Grid"/>
    <w:basedOn w:val="11"/>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annotation reference"/>
    <w:basedOn w:val="13"/>
    <w:semiHidden/>
    <w:unhideWhenUsed/>
    <w:qFormat/>
    <w:uiPriority w:val="99"/>
    <w:rPr>
      <w:sz w:val="21"/>
      <w:szCs w:val="21"/>
    </w:rPr>
  </w:style>
  <w:style w:type="character" w:customStyle="1" w:styleId="15">
    <w:name w:val="页眉 Char"/>
    <w:basedOn w:val="13"/>
    <w:link w:val="9"/>
    <w:uiPriority w:val="99"/>
    <w:rPr>
      <w:sz w:val="18"/>
      <w:szCs w:val="18"/>
    </w:rPr>
  </w:style>
  <w:style w:type="character" w:customStyle="1" w:styleId="16">
    <w:name w:val="页脚 Char"/>
    <w:basedOn w:val="13"/>
    <w:link w:val="8"/>
    <w:uiPriority w:val="99"/>
    <w:rPr>
      <w:sz w:val="18"/>
      <w:szCs w:val="18"/>
    </w:rPr>
  </w:style>
  <w:style w:type="character" w:customStyle="1" w:styleId="17">
    <w:name w:val="标题 1 Char"/>
    <w:basedOn w:val="13"/>
    <w:link w:val="3"/>
    <w:qFormat/>
    <w:uiPriority w:val="0"/>
    <w:rPr>
      <w:rFonts w:ascii="黑体" w:hAnsi="黑体" w:eastAsia="黑体" w:cs="Times New Roman"/>
      <w:kern w:val="44"/>
      <w:szCs w:val="21"/>
    </w:rPr>
  </w:style>
  <w:style w:type="character" w:customStyle="1" w:styleId="18">
    <w:name w:val="标题 2 Char"/>
    <w:basedOn w:val="13"/>
    <w:link w:val="4"/>
    <w:qFormat/>
    <w:uiPriority w:val="0"/>
    <w:rPr>
      <w:rFonts w:ascii="Times New Roman" w:hAnsi="Times New Roman" w:eastAsia="黑体" w:cs="Times New Roman"/>
      <w:szCs w:val="21"/>
    </w:rPr>
  </w:style>
  <w:style w:type="character" w:customStyle="1" w:styleId="19">
    <w:name w:val="标题 3 Char"/>
    <w:basedOn w:val="13"/>
    <w:link w:val="5"/>
    <w:uiPriority w:val="0"/>
    <w:rPr>
      <w:rFonts w:ascii="Times New Roman" w:hAnsi="Times New Roman" w:eastAsia="黑体" w:cs="Times New Roman"/>
      <w:szCs w:val="21"/>
    </w:rPr>
  </w:style>
  <w:style w:type="character" w:customStyle="1" w:styleId="20">
    <w:name w:val="正文文本 Char"/>
    <w:basedOn w:val="13"/>
    <w:link w:val="2"/>
    <w:qFormat/>
    <w:uiPriority w:val="0"/>
    <w:rPr>
      <w:rFonts w:ascii="宋体" w:hAnsi="宋体" w:eastAsia="宋体" w:cs="宋体"/>
      <w:kern w:val="0"/>
      <w:sz w:val="24"/>
      <w:szCs w:val="24"/>
    </w:rPr>
  </w:style>
  <w:style w:type="paragraph" w:customStyle="1" w:styleId="21">
    <w:name w:val="段"/>
    <w:link w:val="2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22">
    <w:name w:val="段 Char"/>
    <w:basedOn w:val="13"/>
    <w:link w:val="21"/>
    <w:qFormat/>
    <w:uiPriority w:val="0"/>
    <w:rPr>
      <w:rFonts w:ascii="宋体" w:hAnsi="Times New Roman" w:eastAsia="宋体" w:cs="Times New Roman"/>
      <w:kern w:val="0"/>
      <w:szCs w:val="20"/>
    </w:rPr>
  </w:style>
  <w:style w:type="paragraph" w:customStyle="1" w:styleId="23">
    <w:name w:val="目次、标准名称标题"/>
    <w:basedOn w:val="1"/>
    <w:next w:val="21"/>
    <w:qFormat/>
    <w:uiPriority w:val="99"/>
    <w:pPr>
      <w:keepNext/>
      <w:pageBreakBefore/>
      <w:shd w:val="clear" w:color="FFFFFF" w:fill="FFFFFF"/>
      <w:spacing w:before="640" w:after="560" w:line="460" w:lineRule="exact"/>
      <w:jc w:val="center"/>
      <w:outlineLvl w:val="0"/>
    </w:pPr>
    <w:rPr>
      <w:rFonts w:ascii="黑体" w:hAnsi="Times New Roman" w:eastAsia="黑体" w:cs="Times New Roman"/>
      <w:sz w:val="32"/>
      <w:szCs w:val="20"/>
    </w:rPr>
  </w:style>
  <w:style w:type="paragraph" w:customStyle="1" w:styleId="24">
    <w:name w:val="mxt-正文格式"/>
    <w:basedOn w:val="1"/>
    <w:link w:val="25"/>
    <w:qFormat/>
    <w:uiPriority w:val="0"/>
    <w:pPr>
      <w:widowControl w:val="0"/>
      <w:spacing w:line="360" w:lineRule="auto"/>
      <w:ind w:firstLine="480" w:firstLineChars="200"/>
      <w:jc w:val="both"/>
    </w:pPr>
    <w:rPr>
      <w:rFonts w:ascii="Times New Roman" w:hAnsi="Times New Roman" w:eastAsiaTheme="minorEastAsia"/>
      <w:szCs w:val="20"/>
    </w:rPr>
  </w:style>
  <w:style w:type="character" w:customStyle="1" w:styleId="25">
    <w:name w:val="mxt-正文格式 Char"/>
    <w:basedOn w:val="13"/>
    <w:link w:val="24"/>
    <w:qFormat/>
    <w:uiPriority w:val="0"/>
    <w:rPr>
      <w:rFonts w:ascii="Times New Roman" w:hAnsi="Times New Roman" w:cs="宋体"/>
      <w:kern w:val="0"/>
      <w:sz w:val="24"/>
      <w:szCs w:val="20"/>
    </w:rPr>
  </w:style>
  <w:style w:type="paragraph" w:customStyle="1" w:styleId="26">
    <w:name w:val="基准标题"/>
    <w:basedOn w:val="2"/>
    <w:next w:val="2"/>
    <w:autoRedefine/>
    <w:qFormat/>
    <w:uiPriority w:val="0"/>
    <w:pPr>
      <w:widowControl w:val="0"/>
      <w:spacing w:after="0" w:line="360" w:lineRule="auto"/>
      <w:jc w:val="center"/>
    </w:pPr>
    <w:rPr>
      <w:rFonts w:ascii="Calibri" w:hAnsi="Calibri" w:cs="Times New Roman"/>
      <w:kern w:val="2"/>
    </w:rPr>
  </w:style>
  <w:style w:type="paragraph" w:customStyle="1" w:styleId="27">
    <w:name w:val="一级条标题"/>
    <w:next w:val="1"/>
    <w:link w:val="32"/>
    <w:qFormat/>
    <w:uiPriority w:val="0"/>
    <w:pPr>
      <w:spacing w:beforeLines="50" w:afterLines="50"/>
      <w:outlineLvl w:val="2"/>
    </w:pPr>
    <w:rPr>
      <w:rFonts w:ascii="黑体" w:hAnsi="Times New Roman" w:eastAsia="黑体" w:cs="Times New Roman"/>
      <w:kern w:val="0"/>
      <w:sz w:val="21"/>
      <w:szCs w:val="21"/>
      <w:lang w:val="en-US" w:eastAsia="zh-CN" w:bidi="ar-SA"/>
    </w:rPr>
  </w:style>
  <w:style w:type="paragraph" w:customStyle="1" w:styleId="28">
    <w:name w:val="章标题"/>
    <w:next w:val="1"/>
    <w:qFormat/>
    <w:uiPriority w:val="0"/>
    <w:pPr>
      <w:spacing w:beforeLines="100" w:afterLines="100"/>
      <w:jc w:val="both"/>
      <w:outlineLvl w:val="1"/>
    </w:pPr>
    <w:rPr>
      <w:rFonts w:ascii="黑体" w:hAnsi="Times New Roman" w:eastAsia="黑体" w:cs="Times New Roman"/>
      <w:kern w:val="0"/>
      <w:sz w:val="21"/>
      <w:szCs w:val="20"/>
      <w:lang w:val="en-US" w:eastAsia="zh-CN" w:bidi="ar-SA"/>
    </w:rPr>
  </w:style>
  <w:style w:type="paragraph" w:customStyle="1" w:styleId="29">
    <w:name w:val="二级条标题"/>
    <w:basedOn w:val="27"/>
    <w:next w:val="1"/>
    <w:link w:val="31"/>
    <w:qFormat/>
    <w:uiPriority w:val="0"/>
    <w:pPr>
      <w:spacing w:before="50" w:after="50"/>
      <w:outlineLvl w:val="3"/>
    </w:pPr>
  </w:style>
  <w:style w:type="paragraph" w:customStyle="1" w:styleId="30">
    <w:name w:val="附录二级无"/>
    <w:basedOn w:val="1"/>
    <w:qFormat/>
    <w:uiPriority w:val="0"/>
    <w:pPr>
      <w:numPr>
        <w:ilvl w:val="3"/>
        <w:numId w:val="2"/>
      </w:numPr>
      <w:wordWrap w:val="0"/>
      <w:overflowPunct w:val="0"/>
      <w:autoSpaceDE w:val="0"/>
      <w:autoSpaceDN w:val="0"/>
      <w:jc w:val="both"/>
      <w:textAlignment w:val="baseline"/>
      <w:outlineLvl w:val="3"/>
    </w:pPr>
    <w:rPr>
      <w:rFonts w:hAnsi="Times New Roman" w:cs="Times New Roman"/>
      <w:kern w:val="21"/>
      <w:sz w:val="21"/>
      <w:szCs w:val="21"/>
    </w:rPr>
  </w:style>
  <w:style w:type="character" w:customStyle="1" w:styleId="31">
    <w:name w:val="二级条标题 Char"/>
    <w:link w:val="29"/>
    <w:qFormat/>
    <w:uiPriority w:val="0"/>
    <w:rPr>
      <w:rFonts w:ascii="黑体" w:hAnsi="Times New Roman" w:eastAsia="黑体" w:cs="Times New Roman"/>
      <w:kern w:val="0"/>
      <w:szCs w:val="21"/>
    </w:rPr>
  </w:style>
  <w:style w:type="character" w:customStyle="1" w:styleId="32">
    <w:name w:val="一级条标题 Char"/>
    <w:link w:val="27"/>
    <w:qFormat/>
    <w:uiPriority w:val="0"/>
    <w:rPr>
      <w:rFonts w:ascii="黑体" w:hAnsi="Times New Roman" w:eastAsia="黑体" w:cs="Times New Roman"/>
      <w:kern w:val="0"/>
      <w:szCs w:val="21"/>
    </w:rPr>
  </w:style>
  <w:style w:type="character" w:customStyle="1" w:styleId="33">
    <w:name w:val="批注文字 Char"/>
    <w:basedOn w:val="13"/>
    <w:link w:val="6"/>
    <w:semiHidden/>
    <w:qFormat/>
    <w:uiPriority w:val="99"/>
    <w:rPr>
      <w:rFonts w:ascii="宋体" w:hAnsi="宋体" w:eastAsia="宋体" w:cs="宋体"/>
      <w:kern w:val="0"/>
      <w:sz w:val="24"/>
      <w:szCs w:val="24"/>
    </w:rPr>
  </w:style>
  <w:style w:type="character" w:customStyle="1" w:styleId="34">
    <w:name w:val="批注主题 Char"/>
    <w:basedOn w:val="33"/>
    <w:link w:val="10"/>
    <w:semiHidden/>
    <w:qFormat/>
    <w:uiPriority w:val="99"/>
    <w:rPr>
      <w:rFonts w:ascii="宋体" w:hAnsi="宋体" w:eastAsia="宋体" w:cs="宋体"/>
      <w:b/>
      <w:bCs/>
      <w:kern w:val="0"/>
      <w:sz w:val="24"/>
      <w:szCs w:val="24"/>
    </w:rPr>
  </w:style>
  <w:style w:type="character" w:customStyle="1" w:styleId="35">
    <w:name w:val="批注框文本 Char"/>
    <w:basedOn w:val="13"/>
    <w:link w:val="7"/>
    <w:semiHidden/>
    <w:qFormat/>
    <w:uiPriority w:val="99"/>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E2A16-5964-4282-BF79-4753E7C4BB09}">
  <ds:schemaRefs/>
</ds:datastoreItem>
</file>

<file path=docProps/app.xml><?xml version="1.0" encoding="utf-8"?>
<Properties xmlns="http://schemas.openxmlformats.org/officeDocument/2006/extended-properties" xmlns:vt="http://schemas.openxmlformats.org/officeDocument/2006/docPropsVTypes">
  <Template>Normal</Template>
  <Pages>5</Pages>
  <Words>2456</Words>
  <Characters>2577</Characters>
  <Lines>18</Lines>
  <Paragraphs>5</Paragraphs>
  <TotalTime>0</TotalTime>
  <ScaleCrop>false</ScaleCrop>
  <LinksUpToDate>false</LinksUpToDate>
  <CharactersWithSpaces>2588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2024-03-11T08:50:00Z</dcterms:created>
  <dc:creator>霏 王</dc:creator>
  <cp:lastModifiedBy>大萝卜</cp:lastModifiedBy>
  <dcterms:modified xsi:type="dcterms:W3CDTF">2025-04-01T04:53:41Z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eyJoZGlkIjoiODE2ZmIwNmJmZTI5ZWNhNTI3M2U2MzliNWE3ZmM3MWEiLCJ1c2VySWQiOiIxMDI2NjMzMDU4In0=</vt:lpwstr>
  </property>
  <property fmtid="{D5CDD505-2E9C-101B-9397-08002B2CF9AE}" pid="3" name="KSOProductBuildVer">
    <vt:lpwstr>2052-12.1.0.20305</vt:lpwstr>
  </property>
  <property fmtid="{D5CDD505-2E9C-101B-9397-08002B2CF9AE}" pid="4" name="ICV">
    <vt:lpwstr>6EA3C51F2FF44E7A9A6B50C08C3DE5F3_13</vt:lpwstr>
  </property>
</Properties>
</file>