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准《基于特征电流的台区拓扑关系识别设备技术规范》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0099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0YmRhZWNlN2ZkMDlkMzQ4OTMzNjFjMWM0ODVhYz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3EFA17F4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autoRedefine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autoRedefine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128</Words>
  <Characters>137</Characters>
  <Lines>1</Lines>
  <Paragraphs>1</Paragraphs>
  <TotalTime>0</TotalTime>
  <ScaleCrop>false</ScaleCrop>
  <LinksUpToDate>false</LinksUpToDate>
  <CharactersWithSpaces>223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pc</cp:lastModifiedBy>
  <cp:lastPrinted>2018-11-19T05:39:00Z</cp:lastPrinted>
  <dcterms:modified xsi:type="dcterms:W3CDTF">2000-12-31T16:43:50Z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379A1525EDF648FF99F962814D868F69_12</vt:lpwstr>
  </property>
</Properties>
</file>