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F0F8B">
      <w:pPr>
        <w:jc w:val="center"/>
        <w:rPr>
          <w:rFonts w:hint="eastAsia" w:ascii="黑体" w:hAnsi="黑体" w:eastAsia="黑体"/>
          <w:sz w:val="52"/>
          <w:szCs w:val="52"/>
        </w:rPr>
      </w:pPr>
      <w:r>
        <w:rPr>
          <w:rFonts w:hint="eastAsia" w:ascii="黑体" w:hAnsi="黑体" w:eastAsia="黑体"/>
          <w:sz w:val="52"/>
          <w:szCs w:val="52"/>
        </w:rPr>
        <w:t>中国仪器仪表行业协会团体标准</w:t>
      </w:r>
    </w:p>
    <w:p w14:paraId="0212B8FB">
      <w:pPr>
        <w:rPr>
          <w:rFonts w:ascii="Times New Roman" w:hAnsi="Times New Roman" w:eastAsia="黑体"/>
          <w:sz w:val="52"/>
          <w:szCs w:val="52"/>
        </w:rPr>
      </w:pPr>
    </w:p>
    <w:p w14:paraId="00954BD3">
      <w:pPr>
        <w:jc w:val="center"/>
        <w:rPr>
          <w:rFonts w:hint="eastAsia" w:ascii="黑体" w:hAnsi="黑体" w:eastAsia="黑体"/>
          <w:b/>
          <w:sz w:val="44"/>
          <w:szCs w:val="44"/>
        </w:rPr>
      </w:pPr>
      <w:r>
        <w:rPr>
          <w:rFonts w:hint="eastAsia" w:ascii="黑体" w:hAnsi="黑体" w:eastAsia="黑体"/>
          <w:sz w:val="44"/>
          <w:szCs w:val="44"/>
        </w:rPr>
        <w:t>《智能电能计量物资领用回收装置技术规范》</w:t>
      </w:r>
    </w:p>
    <w:p w14:paraId="2555FC98">
      <w:pPr>
        <w:rPr>
          <w:rFonts w:ascii="Times New Roman" w:hAnsi="Times New Roman"/>
          <w:sz w:val="32"/>
          <w:szCs w:val="32"/>
        </w:rPr>
      </w:pPr>
    </w:p>
    <w:p w14:paraId="56DBC754">
      <w:pPr>
        <w:rPr>
          <w:rFonts w:ascii="Times New Roman" w:hAnsi="Times New Roman"/>
          <w:sz w:val="32"/>
          <w:szCs w:val="32"/>
        </w:rPr>
      </w:pPr>
    </w:p>
    <w:p w14:paraId="725E5055">
      <w:pPr>
        <w:rPr>
          <w:rFonts w:ascii="Times New Roman" w:hAnsi="Times New Roman"/>
          <w:sz w:val="32"/>
          <w:szCs w:val="32"/>
        </w:rPr>
      </w:pPr>
    </w:p>
    <w:p w14:paraId="6E4E3ADC">
      <w:pPr>
        <w:jc w:val="center"/>
        <w:rPr>
          <w:rFonts w:hint="eastAsia" w:ascii="黑体" w:hAnsi="黑体" w:eastAsia="黑体"/>
          <w:b/>
          <w:sz w:val="44"/>
          <w:szCs w:val="44"/>
        </w:rPr>
      </w:pPr>
      <w:r>
        <w:rPr>
          <w:rFonts w:hint="eastAsia" w:ascii="黑体" w:hAnsi="黑体" w:eastAsia="黑体"/>
          <w:sz w:val="44"/>
          <w:szCs w:val="44"/>
        </w:rPr>
        <w:t>编制说明</w:t>
      </w:r>
    </w:p>
    <w:p w14:paraId="06900FA2">
      <w:pPr>
        <w:jc w:val="center"/>
        <w:rPr>
          <w:rFonts w:ascii="Times New Roman" w:hAnsi="Times New Roman"/>
          <w:sz w:val="32"/>
          <w:szCs w:val="32"/>
        </w:rPr>
      </w:pPr>
      <w:r>
        <w:rPr>
          <w:rFonts w:hint="eastAsia" w:ascii="Times New Roman" w:hAnsi="Times New Roman"/>
          <w:sz w:val="32"/>
          <w:szCs w:val="32"/>
        </w:rPr>
        <w:t>（</w:t>
      </w:r>
      <w:r>
        <w:rPr>
          <w:rFonts w:hint="eastAsia" w:ascii="Times New Roman" w:hAnsi="Times New Roman"/>
          <w:b/>
          <w:bCs/>
          <w:sz w:val="32"/>
          <w:szCs w:val="32"/>
        </w:rPr>
        <w:t>征求意见稿</w:t>
      </w:r>
      <w:r>
        <w:rPr>
          <w:rFonts w:hint="eastAsia" w:ascii="Times New Roman" w:hAnsi="Times New Roman"/>
          <w:sz w:val="32"/>
          <w:szCs w:val="32"/>
        </w:rPr>
        <w:t>）</w:t>
      </w:r>
    </w:p>
    <w:p w14:paraId="6E65D71D">
      <w:pPr>
        <w:rPr>
          <w:rFonts w:ascii="Times New Roman" w:hAnsi="Times New Roman"/>
          <w:sz w:val="28"/>
          <w:szCs w:val="28"/>
        </w:rPr>
      </w:pPr>
      <w:r>
        <w:rPr>
          <w:rFonts w:hint="eastAsia" w:ascii="Times New Roman" w:hAnsi="Times New Roman"/>
          <w:sz w:val="28"/>
          <w:szCs w:val="28"/>
        </w:rPr>
        <w:t xml:space="preserve">                          </w:t>
      </w:r>
    </w:p>
    <w:p w14:paraId="000034D0">
      <w:pPr>
        <w:rPr>
          <w:rFonts w:ascii="Times New Roman" w:hAnsi="Times New Roman"/>
          <w:sz w:val="28"/>
          <w:szCs w:val="28"/>
        </w:rPr>
      </w:pPr>
    </w:p>
    <w:p w14:paraId="14E4E505">
      <w:pPr>
        <w:rPr>
          <w:rFonts w:ascii="Times New Roman" w:hAnsi="Times New Roman"/>
          <w:sz w:val="28"/>
          <w:szCs w:val="28"/>
        </w:rPr>
      </w:pPr>
    </w:p>
    <w:p w14:paraId="50BF441C">
      <w:pPr>
        <w:rPr>
          <w:rFonts w:ascii="Times New Roman" w:hAnsi="Times New Roman"/>
          <w:sz w:val="28"/>
          <w:szCs w:val="28"/>
        </w:rPr>
      </w:pPr>
    </w:p>
    <w:p w14:paraId="43129A21">
      <w:pPr>
        <w:rPr>
          <w:rFonts w:ascii="Times New Roman" w:hAnsi="Times New Roman"/>
          <w:sz w:val="28"/>
          <w:szCs w:val="28"/>
        </w:rPr>
      </w:pPr>
    </w:p>
    <w:p w14:paraId="5029188C">
      <w:pPr>
        <w:jc w:val="center"/>
        <w:rPr>
          <w:rFonts w:ascii="Times New Roman" w:hAnsi="Times New Roman"/>
          <w:sz w:val="28"/>
          <w:szCs w:val="28"/>
        </w:rPr>
      </w:pPr>
      <w:r>
        <w:rPr>
          <w:rFonts w:hint="eastAsia" w:ascii="Times New Roman" w:hAnsi="Times New Roman"/>
          <w:sz w:val="28"/>
          <w:szCs w:val="28"/>
        </w:rPr>
        <w:t>202508</w:t>
      </w:r>
    </w:p>
    <w:p w14:paraId="08943DA8">
      <w:pPr>
        <w:pStyle w:val="21"/>
        <w:ind w:firstLine="0" w:firstLineChars="0"/>
        <w:jc w:val="center"/>
        <w:rPr>
          <w:rFonts w:hint="eastAsia" w:ascii="黑体" w:hAnsi="黑体" w:eastAsia="黑体" w:cs="黑体"/>
          <w:sz w:val="28"/>
          <w:szCs w:val="28"/>
        </w:rPr>
      </w:pPr>
    </w:p>
    <w:p w14:paraId="31B0EF91">
      <w:pPr>
        <w:pStyle w:val="21"/>
        <w:ind w:firstLine="1400" w:firstLineChars="500"/>
        <w:jc w:val="left"/>
        <w:rPr>
          <w:rFonts w:hint="eastAsia" w:ascii="黑体" w:hAnsi="黑体" w:eastAsia="黑体" w:cs="黑体"/>
          <w:sz w:val="28"/>
          <w:szCs w:val="28"/>
        </w:rPr>
      </w:pPr>
    </w:p>
    <w:p w14:paraId="67516446">
      <w:pPr>
        <w:pStyle w:val="21"/>
        <w:ind w:firstLine="1400" w:firstLineChars="500"/>
        <w:jc w:val="left"/>
        <w:rPr>
          <w:rFonts w:hint="eastAsia" w:ascii="黑体" w:hAnsi="黑体" w:eastAsia="黑体" w:cs="黑体"/>
          <w:sz w:val="28"/>
          <w:szCs w:val="28"/>
        </w:rPr>
      </w:pPr>
    </w:p>
    <w:p w14:paraId="6398C8D8">
      <w:pPr>
        <w:pStyle w:val="21"/>
        <w:ind w:firstLine="1400" w:firstLineChars="500"/>
        <w:jc w:val="left"/>
        <w:rPr>
          <w:rFonts w:hint="eastAsia" w:ascii="黑体" w:hAnsi="黑体" w:eastAsia="黑体" w:cs="黑体"/>
          <w:sz w:val="28"/>
          <w:szCs w:val="28"/>
        </w:rPr>
      </w:pPr>
    </w:p>
    <w:p w14:paraId="591318EB">
      <w:pPr>
        <w:pStyle w:val="23"/>
        <w:spacing w:before="360" w:after="360"/>
        <w:rPr>
          <w:rFonts w:hint="eastAsia" w:hAnsi="黑体" w:cs="黑体"/>
          <w:shd w:val="clear" w:color="auto" w:fill="FFFFFF"/>
        </w:rPr>
        <w:sectPr>
          <w:pgSz w:w="11906" w:h="16838"/>
          <w:pgMar w:top="1440" w:right="1800" w:bottom="1440" w:left="1800" w:header="851" w:footer="992" w:gutter="0"/>
          <w:cols w:space="720" w:num="1"/>
          <w:docGrid w:type="lines" w:linePitch="312" w:charSpace="0"/>
        </w:sectPr>
      </w:pPr>
    </w:p>
    <w:p w14:paraId="0BF2941B">
      <w:pPr>
        <w:pStyle w:val="3"/>
        <w:spacing w:line="400" w:lineRule="exac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一、</w:t>
      </w:r>
      <w:r>
        <w:rPr>
          <w:rFonts w:cs="黑体" w:asciiTheme="majorEastAsia" w:hAnsiTheme="majorEastAsia" w:eastAsiaTheme="majorEastAsia"/>
          <w:sz w:val="28"/>
          <w:szCs w:val="28"/>
        </w:rPr>
        <w:t xml:space="preserve"> </w:t>
      </w:r>
      <w:r>
        <w:rPr>
          <w:rFonts w:hint="eastAsia" w:cs="黑体" w:asciiTheme="majorEastAsia" w:hAnsiTheme="majorEastAsia" w:eastAsiaTheme="majorEastAsia"/>
          <w:sz w:val="28"/>
          <w:szCs w:val="28"/>
        </w:rPr>
        <w:t>工作简况</w:t>
      </w:r>
    </w:p>
    <w:p w14:paraId="5769340E">
      <w:pPr>
        <w:pStyle w:val="3"/>
        <w:spacing w:line="400" w:lineRule="exact"/>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 xml:space="preserve"> </w:t>
      </w:r>
      <w:r>
        <w:rPr>
          <w:rFonts w:ascii="宋体" w:hAnsi="宋体" w:cs="宋体"/>
          <w:sz w:val="28"/>
          <w:szCs w:val="28"/>
        </w:rPr>
        <w:t xml:space="preserve"> </w:t>
      </w:r>
      <w:r>
        <w:rPr>
          <w:rFonts w:hint="eastAsia" w:ascii="宋体" w:hAnsi="宋体" w:cs="宋体"/>
          <w:sz w:val="28"/>
          <w:szCs w:val="28"/>
        </w:rPr>
        <w:t>任务来源</w:t>
      </w:r>
    </w:p>
    <w:p w14:paraId="2E80A466">
      <w:pPr>
        <w:spacing w:line="400" w:lineRule="exact"/>
        <w:ind w:firstLine="480"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本团体标准根据中国仪器仪表行业协会《关于&lt;35kV及以下电压等级油浸式变压器容量评估导则&gt;等25项团体标准立项的批复》（中仪协﹝2024﹞3号）文件立项，项目编号为：</w:t>
      </w:r>
      <w:r>
        <w:rPr>
          <w:rFonts w:asciiTheme="majorEastAsia" w:hAnsiTheme="majorEastAsia" w:eastAsiaTheme="majorEastAsia" w:cstheme="majorEastAsia"/>
          <w:sz w:val="24"/>
          <w:szCs w:val="24"/>
        </w:rPr>
        <w:t>T/CIMA 015</w:t>
      </w:r>
      <w:r>
        <w:rPr>
          <w:rFonts w:hint="eastAsia" w:asciiTheme="majorEastAsia" w:hAnsiTheme="majorEastAsia" w:eastAsiaTheme="majorEastAsia" w:cstheme="majorEastAsia"/>
          <w:sz w:val="24"/>
          <w:szCs w:val="24"/>
        </w:rPr>
        <w:t>4，由中国仪器仪表行业协会电工仪器仪表分会提出，中国仪器仪表行业协会归口。制定计划起止时间为202</w:t>
      </w:r>
      <w:r>
        <w:rPr>
          <w:rFonts w:asciiTheme="majorEastAsia" w:hAnsiTheme="majorEastAsia" w:eastAsiaTheme="majorEastAsia" w:cstheme="majorEastAsia"/>
          <w:sz w:val="24"/>
          <w:szCs w:val="24"/>
        </w:rPr>
        <w:t>4</w:t>
      </w:r>
      <w:r>
        <w:rPr>
          <w:rFonts w:hint="eastAsia" w:asciiTheme="majorEastAsia" w:hAnsiTheme="majorEastAsia" w:eastAsiaTheme="majorEastAsia" w:cstheme="majorEastAsia"/>
          <w:sz w:val="24"/>
          <w:szCs w:val="24"/>
        </w:rPr>
        <w:t>年2月至202</w:t>
      </w:r>
      <w:r>
        <w:rPr>
          <w:rFonts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rPr>
        <w:t>年9月。</w:t>
      </w:r>
    </w:p>
    <w:p w14:paraId="08A3904C">
      <w:pPr>
        <w:pStyle w:val="3"/>
        <w:spacing w:line="4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主要工作过程</w:t>
      </w:r>
    </w:p>
    <w:p w14:paraId="46980C98">
      <w:pPr>
        <w:spacing w:line="400" w:lineRule="exact"/>
        <w:ind w:firstLine="482" w:firstLineChars="20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202</w:t>
      </w:r>
      <w:r>
        <w:rPr>
          <w:rFonts w:asciiTheme="majorEastAsia" w:hAnsiTheme="majorEastAsia" w:eastAsiaTheme="majorEastAsia" w:cstheme="majorEastAsia"/>
          <w:b/>
          <w:sz w:val="24"/>
          <w:szCs w:val="24"/>
        </w:rPr>
        <w:t>4</w:t>
      </w:r>
      <w:r>
        <w:rPr>
          <w:rFonts w:hint="eastAsia" w:asciiTheme="majorEastAsia" w:hAnsiTheme="majorEastAsia" w:eastAsiaTheme="majorEastAsia" w:cstheme="majorEastAsia"/>
          <w:b/>
          <w:sz w:val="24"/>
          <w:szCs w:val="24"/>
        </w:rPr>
        <w:t>年</w:t>
      </w:r>
      <w:r>
        <w:rPr>
          <w:rFonts w:asciiTheme="majorEastAsia" w:hAnsiTheme="majorEastAsia" w:eastAsiaTheme="majorEastAsia" w:cstheme="majorEastAsia"/>
          <w:b/>
          <w:sz w:val="24"/>
          <w:szCs w:val="24"/>
        </w:rPr>
        <w:t>1</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bCs/>
          <w:sz w:val="24"/>
          <w:szCs w:val="24"/>
        </w:rPr>
        <w:t>中国仪器仪表行业协会电工仪器仪表分会申请立项</w:t>
      </w:r>
      <w:r>
        <w:rPr>
          <w:rFonts w:hint="eastAsia" w:asciiTheme="majorEastAsia" w:hAnsiTheme="majorEastAsia" w:eastAsiaTheme="majorEastAsia" w:cstheme="majorEastAsia"/>
          <w:b/>
          <w:sz w:val="24"/>
          <w:szCs w:val="24"/>
        </w:rPr>
        <w:t>，并形成标准草案稿。</w:t>
      </w:r>
    </w:p>
    <w:p w14:paraId="2D97BA0D">
      <w:pPr>
        <w:spacing w:line="400" w:lineRule="exact"/>
        <w:ind w:firstLine="48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202</w:t>
      </w:r>
      <w:r>
        <w:rPr>
          <w:rFonts w:asciiTheme="majorEastAsia" w:hAnsiTheme="majorEastAsia" w:eastAsiaTheme="majorEastAsia" w:cstheme="majorEastAsia"/>
          <w:b/>
          <w:sz w:val="24"/>
          <w:szCs w:val="24"/>
        </w:rPr>
        <w:t>4</w:t>
      </w:r>
      <w:r>
        <w:rPr>
          <w:rFonts w:hint="eastAsia" w:asciiTheme="majorEastAsia" w:hAnsiTheme="majorEastAsia" w:eastAsiaTheme="majorEastAsia" w:cstheme="majorEastAsia"/>
          <w:b/>
          <w:sz w:val="24"/>
          <w:szCs w:val="24"/>
        </w:rPr>
        <w:t>年</w:t>
      </w:r>
      <w:r>
        <w:rPr>
          <w:rFonts w:asciiTheme="majorEastAsia" w:hAnsiTheme="majorEastAsia" w:eastAsiaTheme="majorEastAsia" w:cstheme="majorEastAsia"/>
          <w:b/>
          <w:sz w:val="24"/>
          <w:szCs w:val="24"/>
        </w:rPr>
        <w:t>2</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sz w:val="24"/>
          <w:szCs w:val="24"/>
        </w:rPr>
        <w:t>中国仪器仪表行业协会下达了立项的批复，由郑州优碧科技有限公司牵头，组织</w:t>
      </w:r>
      <w:r>
        <w:rPr>
          <w:rFonts w:hint="eastAsia" w:asciiTheme="majorEastAsia" w:hAnsiTheme="majorEastAsia" w:eastAsiaTheme="majorEastAsia" w:cstheme="majorEastAsia"/>
          <w:b/>
          <w:sz w:val="24"/>
          <w:szCs w:val="24"/>
        </w:rPr>
        <w:t>成立标准起草工作组</w:t>
      </w:r>
      <w:r>
        <w:rPr>
          <w:rFonts w:hint="eastAsia" w:asciiTheme="majorEastAsia" w:hAnsiTheme="majorEastAsia" w:eastAsiaTheme="majorEastAsia" w:cstheme="majorEastAsia"/>
          <w:sz w:val="24"/>
          <w:szCs w:val="24"/>
        </w:rPr>
        <w:t>。</w:t>
      </w:r>
    </w:p>
    <w:p w14:paraId="6663C171">
      <w:pPr>
        <w:spacing w:line="400" w:lineRule="exact"/>
        <w:ind w:firstLine="48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202</w:t>
      </w:r>
      <w:r>
        <w:rPr>
          <w:rFonts w:asciiTheme="majorEastAsia" w:hAnsiTheme="majorEastAsia" w:eastAsiaTheme="majorEastAsia" w:cstheme="majorEastAsia"/>
          <w:b/>
          <w:sz w:val="24"/>
          <w:szCs w:val="24"/>
        </w:rPr>
        <w:t>4</w:t>
      </w:r>
      <w:r>
        <w:rPr>
          <w:rFonts w:hint="eastAsia" w:asciiTheme="majorEastAsia" w:hAnsiTheme="majorEastAsia" w:eastAsiaTheme="majorEastAsia" w:cstheme="majorEastAsia"/>
          <w:b/>
          <w:sz w:val="24"/>
          <w:szCs w:val="24"/>
        </w:rPr>
        <w:t>年</w:t>
      </w:r>
      <w:r>
        <w:rPr>
          <w:rFonts w:asciiTheme="majorEastAsia" w:hAnsiTheme="majorEastAsia" w:eastAsiaTheme="majorEastAsia" w:cstheme="majorEastAsia"/>
          <w:b/>
          <w:sz w:val="24"/>
          <w:szCs w:val="24"/>
        </w:rPr>
        <w:t>3</w:t>
      </w:r>
      <w:r>
        <w:rPr>
          <w:rFonts w:hint="eastAsia" w:asciiTheme="majorEastAsia" w:hAnsiTheme="majorEastAsia" w:eastAsiaTheme="majorEastAsia" w:cstheme="majorEastAsia"/>
          <w:b/>
          <w:sz w:val="24"/>
          <w:szCs w:val="24"/>
        </w:rPr>
        <w:t>-</w:t>
      </w:r>
      <w:r>
        <w:rPr>
          <w:rFonts w:asciiTheme="majorEastAsia" w:hAnsiTheme="majorEastAsia" w:eastAsiaTheme="majorEastAsia" w:cstheme="majorEastAsia"/>
          <w:b/>
          <w:sz w:val="24"/>
          <w:szCs w:val="24"/>
        </w:rPr>
        <w:t>4</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sz w:val="24"/>
          <w:szCs w:val="24"/>
        </w:rPr>
        <w:t>启动团体标准制定工作。起草组严格按照《国家标准管理办法》、GB/T 1.1—2020《标准化工作导则 第1部分：标准化文件的结构和起草规则》等文件的要求进行标准制定并形成了</w:t>
      </w:r>
      <w:r>
        <w:rPr>
          <w:rFonts w:hint="eastAsia" w:asciiTheme="majorEastAsia" w:hAnsiTheme="majorEastAsia" w:eastAsiaTheme="majorEastAsia" w:cstheme="majorEastAsia"/>
          <w:b/>
          <w:sz w:val="24"/>
          <w:szCs w:val="24"/>
        </w:rPr>
        <w:t>工作组讨论稿</w:t>
      </w:r>
      <w:r>
        <w:rPr>
          <w:rFonts w:hint="eastAsia" w:asciiTheme="majorEastAsia" w:hAnsiTheme="majorEastAsia" w:eastAsiaTheme="majorEastAsia" w:cstheme="majorEastAsia"/>
          <w:sz w:val="24"/>
          <w:szCs w:val="24"/>
        </w:rPr>
        <w:t>。</w:t>
      </w:r>
    </w:p>
    <w:p w14:paraId="0E019F5E">
      <w:pPr>
        <w:spacing w:line="400" w:lineRule="exact"/>
        <w:ind w:firstLine="472" w:firstLineChars="196"/>
        <w:rPr>
          <w:rFonts w:hint="eastAsia" w:asciiTheme="majorEastAsia" w:hAnsiTheme="majorEastAsia" w:eastAsiaTheme="majorEastAsia" w:cstheme="majorEastAsia"/>
          <w:sz w:val="24"/>
          <w:szCs w:val="24"/>
        </w:rPr>
      </w:pPr>
      <w:bookmarkStart w:id="0" w:name="_Hlk17657671"/>
      <w:r>
        <w:rPr>
          <w:rFonts w:hint="eastAsia" w:asciiTheme="majorEastAsia" w:hAnsiTheme="majorEastAsia" w:eastAsiaTheme="majorEastAsia" w:cstheme="majorEastAsia"/>
          <w:b/>
          <w:sz w:val="24"/>
          <w:szCs w:val="24"/>
        </w:rPr>
        <w:t>202</w:t>
      </w:r>
      <w:r>
        <w:rPr>
          <w:rFonts w:asciiTheme="majorEastAsia" w:hAnsiTheme="majorEastAsia" w:eastAsiaTheme="majorEastAsia" w:cstheme="majorEastAsia"/>
          <w:b/>
          <w:sz w:val="24"/>
          <w:szCs w:val="24"/>
        </w:rPr>
        <w:t>4</w:t>
      </w:r>
      <w:r>
        <w:rPr>
          <w:rFonts w:hint="eastAsia" w:asciiTheme="majorEastAsia" w:hAnsiTheme="majorEastAsia" w:eastAsiaTheme="majorEastAsia" w:cstheme="majorEastAsia"/>
          <w:b/>
          <w:sz w:val="24"/>
          <w:szCs w:val="24"/>
        </w:rPr>
        <w:t>年4月</w:t>
      </w:r>
      <w:bookmarkEnd w:id="0"/>
      <w:r>
        <w:rPr>
          <w:rFonts w:hint="eastAsia" w:asciiTheme="majorEastAsia" w:hAnsiTheme="majorEastAsia" w:eastAsiaTheme="majorEastAsia" w:cstheme="majorEastAsia"/>
          <w:sz w:val="24"/>
          <w:szCs w:val="24"/>
        </w:rPr>
        <w:t>：工作组讨论稿在标准编制工作组内部第一次征求意见，共回收意见</w:t>
      </w:r>
      <w:r>
        <w:rPr>
          <w:rFonts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rPr>
        <w:t>条，主笔单位按照回收意见对工作组讨论稿进行了修改完善。</w:t>
      </w:r>
    </w:p>
    <w:p w14:paraId="3C5438AA">
      <w:pPr>
        <w:spacing w:line="400" w:lineRule="exact"/>
        <w:ind w:firstLine="472" w:firstLineChars="19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202</w:t>
      </w:r>
      <w:r>
        <w:rPr>
          <w:rFonts w:asciiTheme="majorEastAsia" w:hAnsiTheme="majorEastAsia" w:eastAsiaTheme="majorEastAsia" w:cstheme="majorEastAsia"/>
          <w:b/>
          <w:sz w:val="24"/>
          <w:szCs w:val="24"/>
        </w:rPr>
        <w:t>4</w:t>
      </w:r>
      <w:r>
        <w:rPr>
          <w:rFonts w:hint="eastAsia" w:asciiTheme="majorEastAsia" w:hAnsiTheme="majorEastAsia" w:eastAsiaTheme="majorEastAsia" w:cstheme="majorEastAsia"/>
          <w:b/>
          <w:sz w:val="24"/>
          <w:szCs w:val="24"/>
        </w:rPr>
        <w:t>年7月：</w:t>
      </w:r>
      <w:r>
        <w:rPr>
          <w:rFonts w:hint="eastAsia" w:asciiTheme="majorEastAsia" w:hAnsiTheme="majorEastAsia" w:eastAsiaTheme="majorEastAsia" w:cstheme="majorEastAsia"/>
          <w:sz w:val="24"/>
          <w:szCs w:val="24"/>
        </w:rPr>
        <w:t>在扬州召开</w:t>
      </w:r>
      <w:r>
        <w:rPr>
          <w:rFonts w:hint="eastAsia" w:asciiTheme="majorEastAsia" w:hAnsiTheme="majorEastAsia" w:eastAsiaTheme="majorEastAsia" w:cstheme="majorEastAsia"/>
          <w:b/>
          <w:bCs/>
          <w:sz w:val="24"/>
          <w:szCs w:val="24"/>
        </w:rPr>
        <w:t>起草第一次工作组会议</w:t>
      </w:r>
      <w:r>
        <w:rPr>
          <w:rFonts w:hint="eastAsia" w:asciiTheme="majorEastAsia" w:hAnsiTheme="majorEastAsia" w:eastAsiaTheme="majorEastAsia" w:cstheme="majorEastAsia"/>
          <w:sz w:val="24"/>
          <w:szCs w:val="24"/>
        </w:rPr>
        <w:t>，工作组对工作组讨论稿的标准化对象、结构进行了认真、细致的逐条讨论，并对主要技术内容达成了一致意见，分配标准符合性验证工作，并对试验项目进行分工，形成会议纪要。</w:t>
      </w:r>
    </w:p>
    <w:p w14:paraId="52740118">
      <w:pPr>
        <w:spacing w:line="400" w:lineRule="exact"/>
        <w:ind w:firstLine="472" w:firstLineChars="196"/>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202</w:t>
      </w:r>
      <w:r>
        <w:rPr>
          <w:rFonts w:asciiTheme="majorEastAsia" w:hAnsiTheme="majorEastAsia" w:eastAsiaTheme="majorEastAsia" w:cstheme="majorEastAsia"/>
          <w:b/>
          <w:bCs/>
          <w:color w:val="000000" w:themeColor="text1"/>
          <w:sz w:val="24"/>
          <w:szCs w:val="24"/>
          <w14:textFill>
            <w14:solidFill>
              <w14:schemeClr w14:val="tx1"/>
            </w14:solidFill>
          </w14:textFill>
        </w:rPr>
        <w:t>4</w:t>
      </w:r>
      <w:r>
        <w:rPr>
          <w:rFonts w:hint="eastAsia" w:asciiTheme="majorEastAsia" w:hAnsiTheme="majorEastAsia" w:eastAsiaTheme="majorEastAsia" w:cstheme="majorEastAsia"/>
          <w:b/>
          <w:bCs/>
          <w:color w:val="000000" w:themeColor="text1"/>
          <w:sz w:val="24"/>
          <w:szCs w:val="24"/>
          <w14:textFill>
            <w14:solidFill>
              <w14:schemeClr w14:val="tx1"/>
            </w14:solidFill>
          </w14:textFill>
        </w:rPr>
        <w:t>年8-2025年4月：工作组讨论稿</w:t>
      </w:r>
      <w:r>
        <w:rPr>
          <w:rFonts w:hint="eastAsia" w:asciiTheme="majorEastAsia" w:hAnsiTheme="majorEastAsia" w:eastAsiaTheme="majorEastAsia" w:cstheme="majorEastAsia"/>
          <w:color w:val="000000" w:themeColor="text1"/>
          <w:sz w:val="24"/>
          <w:szCs w:val="24"/>
          <w14:textFill>
            <w14:solidFill>
              <w14:schemeClr w14:val="tx1"/>
            </w14:solidFill>
          </w14:textFill>
        </w:rPr>
        <w:t>在标准编制工作组内部第二次征求意见，共回收意见</w:t>
      </w:r>
      <w:r>
        <w:rPr>
          <w:rFonts w:asciiTheme="majorEastAsia" w:hAnsiTheme="majorEastAsia" w:eastAsiaTheme="majorEastAsia" w:cstheme="majorEastAsia"/>
          <w:color w:val="000000" w:themeColor="text1"/>
          <w:sz w:val="24"/>
          <w:szCs w:val="24"/>
          <w14:textFill>
            <w14:solidFill>
              <w14:schemeClr w14:val="tx1"/>
            </w14:solidFill>
          </w14:textFill>
        </w:rPr>
        <w:t>4</w:t>
      </w:r>
      <w:r>
        <w:rPr>
          <w:rFonts w:hint="eastAsia" w:asciiTheme="majorEastAsia" w:hAnsiTheme="majorEastAsia" w:eastAsiaTheme="majorEastAsia" w:cstheme="majorEastAsia"/>
          <w:color w:val="000000" w:themeColor="text1"/>
          <w:sz w:val="24"/>
          <w:szCs w:val="24"/>
          <w14:textFill>
            <w14:solidFill>
              <w14:schemeClr w14:val="tx1"/>
            </w14:solidFill>
          </w14:textFill>
        </w:rPr>
        <w:t>条，主笔单位按照回收意见对工作组讨论稿进行了修改完善。</w:t>
      </w:r>
    </w:p>
    <w:p w14:paraId="3759227D">
      <w:pPr>
        <w:spacing w:line="400" w:lineRule="exact"/>
        <w:ind w:firstLine="472" w:firstLineChars="196"/>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2025年5月：</w:t>
      </w:r>
      <w:r>
        <w:rPr>
          <w:rFonts w:hint="eastAsia" w:asciiTheme="majorEastAsia" w:hAnsiTheme="majorEastAsia" w:eastAsiaTheme="majorEastAsia" w:cstheme="majorEastAsia"/>
          <w:color w:val="000000" w:themeColor="text1"/>
          <w:sz w:val="24"/>
          <w:szCs w:val="24"/>
          <w14:textFill>
            <w14:solidFill>
              <w14:schemeClr w14:val="tx1"/>
            </w14:solidFill>
          </w14:textFill>
        </w:rPr>
        <w:t>在广西召开</w:t>
      </w:r>
      <w:r>
        <w:rPr>
          <w:rFonts w:hint="eastAsia" w:asciiTheme="majorEastAsia" w:hAnsiTheme="majorEastAsia" w:eastAsiaTheme="majorEastAsia" w:cstheme="majorEastAsia"/>
          <w:b/>
          <w:bCs/>
          <w:color w:val="000000" w:themeColor="text1"/>
          <w:sz w:val="24"/>
          <w:szCs w:val="24"/>
          <w14:textFill>
            <w14:solidFill>
              <w14:schemeClr w14:val="tx1"/>
            </w14:solidFill>
          </w14:textFill>
        </w:rPr>
        <w:t>起草工作组第二次会议</w:t>
      </w:r>
      <w:r>
        <w:rPr>
          <w:rFonts w:hint="eastAsia" w:asciiTheme="majorEastAsia" w:hAnsiTheme="majorEastAsia" w:eastAsiaTheme="majorEastAsia" w:cstheme="majorEastAsia"/>
          <w:color w:val="000000" w:themeColor="text1"/>
          <w:sz w:val="24"/>
          <w:szCs w:val="24"/>
          <w14:textFill>
            <w14:solidFill>
              <w14:schemeClr w14:val="tx1"/>
            </w14:solidFill>
          </w14:textFill>
        </w:rPr>
        <w:t>，对标准工作组讨论稿以及所征求的意见内容进行了仔细讨论，形成会议纪要。</w:t>
      </w:r>
    </w:p>
    <w:p w14:paraId="0EE9B9B7">
      <w:pPr>
        <w:spacing w:line="400" w:lineRule="exact"/>
        <w:ind w:firstLine="472" w:firstLineChars="196"/>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2025年7月</w:t>
      </w:r>
      <w:r>
        <w:rPr>
          <w:rFonts w:hint="eastAsia" w:asciiTheme="majorEastAsia" w:hAnsiTheme="majorEastAsia" w:eastAsiaTheme="majorEastAsia" w:cstheme="majorEastAsia"/>
          <w:color w:val="000000" w:themeColor="text1"/>
          <w:sz w:val="24"/>
          <w:szCs w:val="24"/>
          <w14:textFill>
            <w14:solidFill>
              <w14:schemeClr w14:val="tx1"/>
            </w14:solidFill>
          </w14:textFill>
        </w:rPr>
        <w:t>，形成征求意见稿。</w:t>
      </w:r>
    </w:p>
    <w:p w14:paraId="63A189BC">
      <w:pPr>
        <w:pStyle w:val="3"/>
        <w:spacing w:line="400" w:lineRule="exact"/>
        <w:rPr>
          <w:rFonts w:hint="eastAsia" w:ascii="宋体" w:hAnsi="宋体" w:cs="宋体"/>
          <w:sz w:val="24"/>
          <w:szCs w:val="24"/>
        </w:rPr>
      </w:pPr>
      <w:r>
        <w:rPr>
          <w:rFonts w:hint="eastAsia" w:ascii="宋体" w:hAnsi="宋体" w:cs="宋体"/>
          <w:sz w:val="24"/>
          <w:szCs w:val="24"/>
        </w:rPr>
        <w:t>3  主要参加单位和工作组成员及其所做的工作</w:t>
      </w:r>
    </w:p>
    <w:p w14:paraId="740D3907">
      <w:pPr>
        <w:spacing w:line="400" w:lineRule="exact"/>
        <w:ind w:firstLine="480" w:firstLineChars="200"/>
        <w:rPr>
          <w:rFonts w:hint="eastAsia" w:hAnsi="宋体" w:cs="宋体"/>
          <w:sz w:val="24"/>
          <w:szCs w:val="24"/>
        </w:rPr>
      </w:pPr>
      <w:r>
        <w:rPr>
          <w:rFonts w:hint="eastAsia" w:ascii="Times New Roman" w:hAnsi="Times New Roman"/>
          <w:sz w:val="24"/>
          <w:szCs w:val="24"/>
        </w:rPr>
        <w:t>标准</w:t>
      </w:r>
      <w:r>
        <w:rPr>
          <w:rFonts w:ascii="Times New Roman" w:hAnsi="Times New Roman"/>
          <w:sz w:val="24"/>
          <w:szCs w:val="24"/>
        </w:rPr>
        <w:t>牵头起草单位是</w:t>
      </w:r>
      <w:r>
        <w:rPr>
          <w:rFonts w:hint="eastAsia" w:ascii="宋体" w:hAnsi="宋体" w:cs="宋体"/>
          <w:sz w:val="24"/>
          <w:szCs w:val="24"/>
        </w:rPr>
        <w:t>广西电网有限责任公司计量中心，</w:t>
      </w:r>
      <w:r>
        <w:rPr>
          <w:rFonts w:ascii="Times New Roman" w:hAnsi="Times New Roman"/>
          <w:sz w:val="24"/>
          <w:szCs w:val="24"/>
        </w:rPr>
        <w:t>主要起草单位</w:t>
      </w:r>
      <w:r>
        <w:rPr>
          <w:rFonts w:hint="eastAsia" w:ascii="Times New Roman" w:hAnsi="Times New Roman"/>
          <w:sz w:val="24"/>
          <w:szCs w:val="24"/>
        </w:rPr>
        <w:t>有</w:t>
      </w:r>
      <w:r>
        <w:rPr>
          <w:rFonts w:hint="eastAsia" w:hAnsi="宋体" w:cs="宋体"/>
          <w:sz w:val="24"/>
          <w:szCs w:val="24"/>
        </w:rPr>
        <w:t>哈尔滨电工仪表研究所有限公司、国电南瑞南京控制系统有限公司、北京合众伟奇科技股份有限公司等。</w:t>
      </w:r>
    </w:p>
    <w:p w14:paraId="7EB3D703">
      <w:pPr>
        <w:spacing w:line="400" w:lineRule="exact"/>
        <w:ind w:firstLine="480" w:firstLineChars="200"/>
        <w:rPr>
          <w:rFonts w:ascii="Times New Roman"/>
          <w:sz w:val="24"/>
          <w:szCs w:val="24"/>
        </w:rPr>
      </w:pPr>
      <w:r>
        <w:rPr>
          <w:rFonts w:hint="eastAsia" w:ascii="宋体" w:hAnsi="宋体" w:cs="宋体"/>
          <w:sz w:val="24"/>
          <w:szCs w:val="24"/>
        </w:rPr>
        <w:t>广西电网有限责任公司计量中心</w:t>
      </w:r>
      <w:r>
        <w:rPr>
          <w:rFonts w:ascii="Times New Roman"/>
          <w:sz w:val="24"/>
          <w:szCs w:val="24"/>
        </w:rPr>
        <w:t>作为执笔单位负责了本标准的工作组讨论稿和征求意见稿的起草、修改工作。</w:t>
      </w:r>
    </w:p>
    <w:p w14:paraId="025BBFF6">
      <w:pPr>
        <w:pStyle w:val="21"/>
        <w:spacing w:line="400" w:lineRule="exact"/>
        <w:ind w:firstLine="480"/>
        <w:rPr>
          <w:rFonts w:ascii="Times New Roman"/>
          <w:sz w:val="24"/>
          <w:szCs w:val="24"/>
        </w:rPr>
      </w:pPr>
      <w:r>
        <w:rPr>
          <w:rFonts w:ascii="Times New Roman"/>
          <w:sz w:val="24"/>
          <w:szCs w:val="24"/>
        </w:rPr>
        <w:t>本标准主要起草人：</w:t>
      </w:r>
      <w:r>
        <w:rPr>
          <w:rFonts w:hint="eastAsia" w:ascii="Calibri" w:hAnsi="宋体" w:cs="宋体"/>
          <w:kern w:val="2"/>
          <w:sz w:val="24"/>
          <w:szCs w:val="24"/>
        </w:rPr>
        <w:t>李金瑾、李桐、何道远、代园丽</w:t>
      </w:r>
      <w:r>
        <w:rPr>
          <w:rFonts w:hint="eastAsia" w:hAnsi="宋体" w:cs="宋体"/>
          <w:sz w:val="24"/>
          <w:szCs w:val="24"/>
        </w:rPr>
        <w:t>、何珊</w:t>
      </w:r>
      <w:r>
        <w:rPr>
          <w:rFonts w:hint="eastAsia" w:ascii="Calibri" w:hAnsi="宋体" w:cs="宋体"/>
          <w:kern w:val="2"/>
          <w:sz w:val="24"/>
          <w:szCs w:val="24"/>
        </w:rPr>
        <w:t>等。</w:t>
      </w:r>
    </w:p>
    <w:p w14:paraId="6B3CCADC">
      <w:pPr>
        <w:spacing w:line="400" w:lineRule="exact"/>
        <w:ind w:firstLine="480" w:firstLineChars="200"/>
        <w:rPr>
          <w:rFonts w:ascii="Times New Roman" w:hAnsi="Times New Roman"/>
          <w:kern w:val="0"/>
          <w:sz w:val="24"/>
          <w:szCs w:val="24"/>
        </w:rPr>
      </w:pPr>
      <w:r>
        <w:rPr>
          <w:rFonts w:hint="eastAsia" w:hAnsi="宋体" w:cs="宋体"/>
          <w:sz w:val="24"/>
          <w:szCs w:val="24"/>
        </w:rPr>
        <w:t>李金瑾、李桐</w:t>
      </w:r>
      <w:r>
        <w:rPr>
          <w:rFonts w:hint="eastAsia" w:ascii="Times New Roman" w:hAnsi="Times New Roman"/>
          <w:kern w:val="0"/>
          <w:sz w:val="24"/>
          <w:szCs w:val="24"/>
        </w:rPr>
        <w:t>为本标准的主笔人，负责标准的编写，</w:t>
      </w:r>
      <w:r>
        <w:rPr>
          <w:rFonts w:hint="eastAsia" w:hAnsi="宋体" w:cs="宋体"/>
          <w:sz w:val="24"/>
          <w:szCs w:val="24"/>
        </w:rPr>
        <w:t>李金瑾</w:t>
      </w:r>
      <w:r>
        <w:rPr>
          <w:rFonts w:hint="eastAsia" w:ascii="Times New Roman" w:hAnsi="Times New Roman"/>
          <w:kern w:val="0"/>
          <w:sz w:val="24"/>
          <w:szCs w:val="24"/>
        </w:rPr>
        <w:t>为本标准起草工作组的组长，</w:t>
      </w:r>
      <w:r>
        <w:rPr>
          <w:rFonts w:hint="eastAsia" w:hAnsi="宋体" w:cs="宋体"/>
          <w:sz w:val="24"/>
          <w:szCs w:val="24"/>
        </w:rPr>
        <w:t>何道远、代园丽、何珊</w:t>
      </w:r>
      <w:r>
        <w:rPr>
          <w:rFonts w:hint="eastAsia" w:ascii="Times New Roman" w:hAnsi="Times New Roman"/>
          <w:kern w:val="0"/>
          <w:sz w:val="24"/>
          <w:szCs w:val="24"/>
        </w:rPr>
        <w:t>等为本标准起草工作组的组员，负责标准的编写进程和组织协调工作。</w:t>
      </w:r>
    </w:p>
    <w:p w14:paraId="2024CA79">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二</w:t>
      </w:r>
      <w:r>
        <w:rPr>
          <w:rFonts w:hint="eastAsia" w:asciiTheme="majorEastAsia" w:hAnsiTheme="majorEastAsia" w:eastAsiaTheme="majorEastAsia"/>
          <w:sz w:val="28"/>
          <w:szCs w:val="28"/>
        </w:rPr>
        <w:t>、</w:t>
      </w:r>
      <w:r>
        <w:rPr>
          <w:rFonts w:hint="eastAsia" w:cs="黑体" w:asciiTheme="majorEastAsia" w:hAnsiTheme="majorEastAsia" w:eastAsiaTheme="majorEastAsia"/>
          <w:sz w:val="28"/>
          <w:szCs w:val="28"/>
        </w:rPr>
        <w:t xml:space="preserve">  标准编制原则和主要技术内容确定的依据</w:t>
      </w:r>
    </w:p>
    <w:p w14:paraId="7F6D4888">
      <w:pPr>
        <w:pStyle w:val="4"/>
        <w:spacing w:line="400" w:lineRule="exact"/>
        <w:rPr>
          <w:rFonts w:hint="eastAsia" w:ascii="宋体" w:hAnsi="宋体" w:eastAsia="宋体" w:cs="宋体"/>
          <w:sz w:val="24"/>
          <w:szCs w:val="24"/>
        </w:rPr>
      </w:pPr>
      <w:r>
        <w:rPr>
          <w:rFonts w:hint="eastAsia" w:ascii="宋体" w:hAnsi="宋体" w:eastAsia="宋体" w:cs="宋体"/>
          <w:sz w:val="24"/>
          <w:szCs w:val="24"/>
        </w:rPr>
        <w:t>1  主要阐述标准制定或修订过程遵循的基本原则</w:t>
      </w:r>
    </w:p>
    <w:p w14:paraId="4D3FEAC9">
      <w:pPr>
        <w:spacing w:line="400" w:lineRule="exact"/>
        <w:ind w:firstLine="600" w:firstLineChars="250"/>
        <w:rPr>
          <w:rFonts w:hint="eastAsia" w:ascii="宋体" w:hAnsi="宋体" w:cs="宋体"/>
          <w:sz w:val="24"/>
          <w:szCs w:val="24"/>
        </w:rPr>
      </w:pPr>
      <w:r>
        <w:rPr>
          <w:rFonts w:hint="eastAsia" w:ascii="宋体" w:hAnsi="宋体" w:cs="宋体"/>
          <w:sz w:val="24"/>
          <w:szCs w:val="24"/>
        </w:rPr>
        <w:t>本标准从实际应用出发，充分考虑了现有相关国家标准和行业标准。编制遵循“统一性、协调性、适用性、一致性、规范性”的原则，注重标准的可操作性，本标准按照GB/T 1.1—2020《标准化工作导则  第1部分：标准化文件的结构和起草规则》的规定进行编写和表述。</w:t>
      </w:r>
    </w:p>
    <w:p w14:paraId="2F47C09F">
      <w:pPr>
        <w:pStyle w:val="4"/>
        <w:spacing w:line="400" w:lineRule="exact"/>
        <w:rPr>
          <w:rFonts w:hint="eastAsia" w:ascii="宋体" w:hAnsi="宋体" w:eastAsia="宋体" w:cs="宋体"/>
          <w:sz w:val="24"/>
          <w:szCs w:val="24"/>
        </w:rPr>
      </w:pPr>
      <w:r>
        <w:rPr>
          <w:rFonts w:hint="eastAsia" w:ascii="宋体" w:hAnsi="宋体" w:eastAsia="宋体" w:cs="宋体"/>
          <w:sz w:val="24"/>
          <w:szCs w:val="24"/>
        </w:rPr>
        <w:t>2  标准主要内容中范围、技术要求、试验方法、检验规则依据</w:t>
      </w:r>
    </w:p>
    <w:p w14:paraId="2936AF48">
      <w:pPr>
        <w:pStyle w:val="21"/>
        <w:spacing w:line="360" w:lineRule="auto"/>
        <w:ind w:firstLine="480"/>
        <w:rPr>
          <w:rFonts w:hint="eastAsia" w:hAnsi="宋体" w:cs="宋体"/>
          <w:sz w:val="24"/>
          <w:szCs w:val="24"/>
        </w:rPr>
      </w:pPr>
      <w:r>
        <w:rPr>
          <w:rFonts w:hint="eastAsia" w:hAnsi="宋体" w:cs="宋体"/>
          <w:sz w:val="24"/>
          <w:szCs w:val="24"/>
        </w:rPr>
        <w:t>本文件目前</w:t>
      </w:r>
      <w:r>
        <w:rPr>
          <w:rFonts w:hint="eastAsia"/>
          <w:sz w:val="24"/>
          <w:szCs w:val="24"/>
        </w:rPr>
        <w:t>国内外没有《智能电能计量物资领用回收装置》相关行业标准。</w:t>
      </w:r>
      <w:r>
        <w:rPr>
          <w:rFonts w:hint="eastAsia" w:hAnsi="宋体" w:cs="宋体"/>
          <w:sz w:val="24"/>
          <w:szCs w:val="24"/>
        </w:rPr>
        <w:t>在智能计量物资领用回收装置的环境适应性、结构、机械、电气、电磁兼容性、功能和试验方法的技术要求等方面提出了技术规定。相关参数、指标的设定是依据了应用场景的物理环境条件、电气环境条件，以及相关国家、行业标准制定的，其中</w:t>
      </w:r>
      <w:r>
        <w:rPr>
          <w:rFonts w:hint="eastAsia" w:hAnsi="宋体" w:cs="宋体"/>
          <w:b/>
          <w:bCs/>
          <w:sz w:val="24"/>
          <w:szCs w:val="24"/>
        </w:rPr>
        <w:t>机械要求引用</w:t>
      </w:r>
      <w:r>
        <w:rPr>
          <w:rFonts w:hint="eastAsia" w:hAnsi="宋体" w:cs="宋体"/>
          <w:sz w:val="24"/>
          <w:szCs w:val="24"/>
        </w:rPr>
        <w:t>了</w:t>
      </w:r>
      <w:r>
        <w:rPr>
          <w:rFonts w:hAnsi="宋体" w:cs="宋体"/>
          <w:sz w:val="24"/>
          <w:szCs w:val="24"/>
        </w:rPr>
        <w:t>GB/T 4208-2017</w:t>
      </w:r>
      <w:r>
        <w:rPr>
          <w:rFonts w:hint="eastAsia" w:hAnsi="宋体" w:cs="宋体"/>
          <w:sz w:val="24"/>
          <w:szCs w:val="24"/>
        </w:rPr>
        <w:t>《外壳防护等级(IP代码)》中的相关要求，</w:t>
      </w:r>
      <w:r>
        <w:rPr>
          <w:rFonts w:hint="eastAsia" w:hAnsi="宋体" w:cs="宋体"/>
          <w:b/>
          <w:bCs/>
          <w:sz w:val="24"/>
          <w:szCs w:val="24"/>
        </w:rPr>
        <w:t>电磁兼容性</w:t>
      </w:r>
      <w:r>
        <w:rPr>
          <w:rFonts w:hint="eastAsia" w:hAnsi="宋体" w:cs="宋体"/>
          <w:sz w:val="24"/>
          <w:szCs w:val="24"/>
        </w:rPr>
        <w:t>引用了GB/T 17626.2- 2018《电磁兼容 试验和测量技术 静电放电抗扰度试验》、GB/T 17626.3- 2023《电磁兼容 试验和测量技术 第3部分：射频电磁场辐射抗扰度试验》、</w:t>
      </w:r>
      <w:r>
        <w:rPr>
          <w:rFonts w:hAnsi="宋体" w:cs="宋体"/>
          <w:sz w:val="24"/>
          <w:szCs w:val="24"/>
        </w:rPr>
        <w:t>GB/T 17626.8-2006</w:t>
      </w:r>
      <w:r>
        <w:rPr>
          <w:rFonts w:hint="eastAsia" w:hAnsi="宋体" w:cs="宋体"/>
          <w:sz w:val="24"/>
          <w:szCs w:val="24"/>
        </w:rPr>
        <w:t>《电磁兼容 试验和测量技术 工频磁场抗扰度试验》、</w:t>
      </w:r>
      <w:r>
        <w:rPr>
          <w:rFonts w:hAnsi="宋体" w:cs="宋体"/>
          <w:sz w:val="24"/>
          <w:szCs w:val="24"/>
        </w:rPr>
        <w:t>GB/T 17626.10-2017</w:t>
      </w:r>
      <w:r>
        <w:rPr>
          <w:rFonts w:hint="eastAsia" w:hAnsi="宋体" w:cs="宋体"/>
          <w:sz w:val="24"/>
          <w:szCs w:val="24"/>
        </w:rPr>
        <w:t>《电磁兼容 试验和测量技术 阻尼振荡磁场抗扰度试验》，</w:t>
      </w:r>
      <w:r>
        <w:rPr>
          <w:rFonts w:hint="eastAsia" w:hAnsi="宋体" w:cs="宋体"/>
          <w:b/>
          <w:bCs/>
          <w:sz w:val="24"/>
          <w:szCs w:val="24"/>
        </w:rPr>
        <w:t>试验方法</w:t>
      </w:r>
      <w:r>
        <w:rPr>
          <w:rFonts w:hint="eastAsia" w:hAnsi="宋体" w:cs="宋体"/>
          <w:sz w:val="24"/>
          <w:szCs w:val="24"/>
        </w:rPr>
        <w:t>引用了GB/T 2423.1-2008 电工电子产品环境试验 第2部分：试验方法 试验A：低温、GB/T 2423.2-2008 电工电子产品环境试验 第2部分：试验方法 试验B：高温、GB/T 2423.3-2016 电工电子产品环境试验 第2部分：试验方法 试验Cab：恒定湿热试验、GB/T 2423.5-2019 电工电子产品环境试验 第2部分∶试验方法 试验 Ea和导则∶冲击、GB/T 2423.8-1995 电工电子产品环境试验 第2部分∶试验方法 试验Ed∶自由跌落、GB/T 2423.22-2012 电工电子产品环境试验 第2部分∶试验方法 试验N∶温度变化中的相关要求。</w:t>
      </w:r>
    </w:p>
    <w:p w14:paraId="3B85B2D9">
      <w:pPr>
        <w:pStyle w:val="3"/>
        <w:spacing w:line="400" w:lineRule="exact"/>
        <w:rPr>
          <w:rFonts w:hint="eastAsia" w:cs="黑体" w:asciiTheme="majorEastAsia" w:hAnsiTheme="majorEastAsia" w:eastAsiaTheme="majorEastAsia"/>
          <w:sz w:val="28"/>
          <w:szCs w:val="28"/>
          <w:highlight w:val="yellow"/>
        </w:rPr>
      </w:pPr>
      <w:r>
        <w:rPr>
          <w:rFonts w:hint="eastAsia" w:cs="黑体" w:asciiTheme="majorEastAsia" w:hAnsiTheme="majorEastAsia" w:eastAsiaTheme="majorEastAsia"/>
          <w:sz w:val="28"/>
          <w:szCs w:val="28"/>
        </w:rPr>
        <w:t>三、主要试验（或验收）情况</w:t>
      </w:r>
    </w:p>
    <w:p w14:paraId="4247F908">
      <w:pPr>
        <w:pStyle w:val="5"/>
        <w:spacing w:before="137" w:after="137" w:line="400" w:lineRule="exact"/>
        <w:rPr>
          <w:rFonts w:hint="eastAsia" w:ascii="宋体" w:hAnsi="宋体" w:eastAsia="宋体" w:cs="宋体"/>
          <w:color w:val="2C2C36"/>
          <w:sz w:val="24"/>
          <w:szCs w:val="24"/>
        </w:rPr>
      </w:pPr>
      <w:r>
        <w:rPr>
          <w:rFonts w:hint="eastAsia" w:ascii="宋体" w:hAnsi="宋体" w:eastAsia="宋体" w:cs="宋体"/>
          <w:color w:val="2C2C36"/>
          <w:sz w:val="24"/>
          <w:szCs w:val="24"/>
        </w:rPr>
        <w:t>1.</w:t>
      </w:r>
      <w:r>
        <w:rPr>
          <w:rStyle w:val="49"/>
          <w:rFonts w:hint="eastAsia" w:ascii="宋体" w:hAnsi="宋体" w:eastAsia="宋体" w:cs="宋体"/>
          <w:color w:val="2C2C36"/>
          <w:sz w:val="24"/>
          <w:szCs w:val="24"/>
        </w:rPr>
        <w:t> </w:t>
      </w:r>
      <w:r>
        <w:rPr>
          <w:rStyle w:val="17"/>
          <w:rFonts w:hint="eastAsia" w:ascii="宋体" w:hAnsi="宋体" w:eastAsia="宋体" w:cs="宋体"/>
          <w:b/>
          <w:bCs/>
          <w:color w:val="2C2C36"/>
          <w:sz w:val="24"/>
          <w:szCs w:val="24"/>
        </w:rPr>
        <w:t>试验概述</w:t>
      </w:r>
    </w:p>
    <w:p w14:paraId="2E3256E3">
      <w:pPr>
        <w:pStyle w:val="14"/>
        <w:spacing w:before="120" w:beforeAutospacing="0" w:after="120" w:afterAutospacing="0" w:line="400" w:lineRule="exact"/>
        <w:ind w:firstLine="480" w:firstLineChars="200"/>
        <w:rPr>
          <w:rFonts w:hint="eastAsia"/>
          <w:kern w:val="2"/>
        </w:rPr>
      </w:pPr>
      <w:r>
        <w:rPr>
          <w:rFonts w:hint="eastAsia"/>
          <w:kern w:val="2"/>
        </w:rPr>
        <w:t>在《智能电能计量物资领用回收装置技术规范》起草过程中，我们对标准中规定的主要技术指标进行了全面的验证试验，以确保标准的准确性和可行性。试验覆盖了电能计量物资领用回收装置的关键性能参数，包括但不限于环境试验、一般性检查、机械性能试验、电气性能检验以及电磁兼容性等。</w:t>
      </w:r>
    </w:p>
    <w:p w14:paraId="2E1B59F4">
      <w:pPr>
        <w:pStyle w:val="5"/>
        <w:spacing w:before="137" w:after="137" w:line="400" w:lineRule="exact"/>
        <w:rPr>
          <w:rFonts w:hint="eastAsia" w:ascii="宋体" w:hAnsi="宋体" w:eastAsia="宋体" w:cs="宋体"/>
          <w:color w:val="2C2C36"/>
          <w:sz w:val="24"/>
          <w:szCs w:val="24"/>
        </w:rPr>
      </w:pPr>
      <w:r>
        <w:rPr>
          <w:rFonts w:hint="eastAsia" w:ascii="宋体" w:hAnsi="宋体" w:eastAsia="宋体" w:cs="宋体"/>
          <w:color w:val="2C2C36"/>
          <w:sz w:val="24"/>
          <w:szCs w:val="24"/>
        </w:rPr>
        <w:t>2.</w:t>
      </w:r>
      <w:r>
        <w:rPr>
          <w:rStyle w:val="49"/>
          <w:rFonts w:hint="eastAsia" w:ascii="宋体" w:hAnsi="宋体" w:eastAsia="宋体" w:cs="宋体"/>
          <w:color w:val="2C2C36"/>
          <w:sz w:val="24"/>
          <w:szCs w:val="24"/>
        </w:rPr>
        <w:t> </w:t>
      </w:r>
      <w:r>
        <w:rPr>
          <w:rStyle w:val="17"/>
          <w:rFonts w:hint="eastAsia" w:ascii="宋体" w:hAnsi="宋体" w:eastAsia="宋体" w:cs="宋体"/>
          <w:b/>
          <w:bCs/>
          <w:color w:val="2C2C36"/>
          <w:sz w:val="24"/>
          <w:szCs w:val="24"/>
        </w:rPr>
        <w:t>试验机构与合作企业</w:t>
      </w:r>
    </w:p>
    <w:p w14:paraId="7CB1D15D">
      <w:pPr>
        <w:pStyle w:val="14"/>
        <w:spacing w:before="120" w:beforeAutospacing="0" w:after="120" w:afterAutospacing="0" w:line="400" w:lineRule="exact"/>
        <w:ind w:firstLine="480" w:firstLineChars="200"/>
        <w:rPr>
          <w:rFonts w:hint="eastAsia"/>
          <w:color w:val="2C2C36"/>
        </w:rPr>
      </w:pPr>
      <w:r>
        <w:rPr>
          <w:rFonts w:hint="eastAsia"/>
          <w:color w:val="2C2C36"/>
        </w:rPr>
        <w:t>试验工作由北京合众伟奇科技股份有限公司、云南卓沛科技有限公司等企业共同配合开展，这些企业具备先进的测试设备和丰富的试验经验，能够提供权威的试验数据支持。</w:t>
      </w:r>
    </w:p>
    <w:p w14:paraId="6F751A30">
      <w:pPr>
        <w:pStyle w:val="5"/>
        <w:spacing w:before="137" w:after="137" w:line="400" w:lineRule="exact"/>
        <w:rPr>
          <w:rFonts w:hint="eastAsia" w:ascii="宋体" w:hAnsi="宋体" w:eastAsia="宋体" w:cs="宋体"/>
          <w:color w:val="2C2C36"/>
          <w:sz w:val="24"/>
          <w:szCs w:val="24"/>
        </w:rPr>
      </w:pPr>
      <w:r>
        <w:rPr>
          <w:rFonts w:hint="eastAsia" w:ascii="宋体" w:hAnsi="宋体" w:eastAsia="宋体" w:cs="宋体"/>
          <w:color w:val="2C2C36"/>
          <w:sz w:val="24"/>
          <w:szCs w:val="24"/>
        </w:rPr>
        <w:t>3.</w:t>
      </w:r>
      <w:r>
        <w:rPr>
          <w:rStyle w:val="49"/>
          <w:rFonts w:hint="eastAsia" w:ascii="宋体" w:hAnsi="宋体" w:eastAsia="宋体" w:cs="宋体"/>
          <w:color w:val="2C2C36"/>
          <w:sz w:val="24"/>
          <w:szCs w:val="24"/>
        </w:rPr>
        <w:t> </w:t>
      </w:r>
      <w:r>
        <w:rPr>
          <w:rStyle w:val="17"/>
          <w:rFonts w:hint="eastAsia" w:ascii="宋体" w:hAnsi="宋体" w:eastAsia="宋体" w:cs="宋体"/>
          <w:b/>
          <w:bCs/>
          <w:color w:val="2C2C36"/>
          <w:sz w:val="24"/>
          <w:szCs w:val="24"/>
        </w:rPr>
        <w:t>具体试验项目</w:t>
      </w:r>
    </w:p>
    <w:p w14:paraId="17A6EEC3">
      <w:pPr>
        <w:widowControl/>
        <w:spacing w:before="100" w:beforeAutospacing="1" w:after="100" w:afterAutospacing="1" w:line="400" w:lineRule="exact"/>
        <w:jc w:val="left"/>
        <w:rPr>
          <w:rFonts w:hint="eastAsia" w:ascii="宋体" w:hAnsi="宋体" w:cs="宋体"/>
          <w:sz w:val="24"/>
          <w:szCs w:val="24"/>
        </w:rPr>
      </w:pPr>
      <w:r>
        <w:rPr>
          <w:rStyle w:val="17"/>
          <w:rFonts w:hint="eastAsia" w:ascii="宋体" w:hAnsi="宋体" w:cs="宋体"/>
          <w:color w:val="2C2C36"/>
          <w:sz w:val="24"/>
          <w:szCs w:val="24"/>
        </w:rPr>
        <w:t>3.1环境适应性试验</w:t>
      </w:r>
      <w:r>
        <w:rPr>
          <w:rFonts w:hint="eastAsia" w:ascii="宋体" w:hAnsi="宋体" w:cs="宋体"/>
          <w:color w:val="2C2C36"/>
          <w:sz w:val="24"/>
          <w:szCs w:val="24"/>
        </w:rPr>
        <w:t>：</w:t>
      </w:r>
      <w:r>
        <w:rPr>
          <w:rFonts w:hint="eastAsia" w:ascii="宋体" w:hAnsi="宋体" w:cs="宋体"/>
          <w:sz w:val="24"/>
          <w:szCs w:val="24"/>
        </w:rPr>
        <w:t>依据</w:t>
      </w:r>
      <w:r>
        <w:rPr>
          <w:rFonts w:ascii="宋体" w:hAnsi="宋体" w:cs="宋体"/>
          <w:sz w:val="24"/>
          <w:szCs w:val="24"/>
        </w:rPr>
        <w:t>GB/T 2423</w:t>
      </w:r>
      <w:r>
        <w:rPr>
          <w:rFonts w:hint="eastAsia" w:ascii="宋体" w:hAnsi="宋体" w:cs="宋体"/>
          <w:sz w:val="24"/>
          <w:szCs w:val="24"/>
        </w:rPr>
        <w:t>系列标准，模拟不同环境条件，测试智能电能计量物资领用回收装置在各种气候和条件下的性能稳定性。</w:t>
      </w:r>
    </w:p>
    <w:p w14:paraId="268B8ED5">
      <w:pPr>
        <w:widowControl/>
        <w:spacing w:before="100" w:beforeAutospacing="1" w:after="100" w:afterAutospacing="1" w:line="400" w:lineRule="exact"/>
        <w:jc w:val="left"/>
        <w:rPr>
          <w:rFonts w:hint="eastAsia" w:ascii="宋体" w:hAnsi="宋体" w:cs="宋体"/>
          <w:sz w:val="24"/>
          <w:szCs w:val="24"/>
        </w:rPr>
      </w:pPr>
      <w:r>
        <w:rPr>
          <w:rStyle w:val="17"/>
          <w:rFonts w:hint="eastAsia" w:ascii="宋体" w:hAnsi="宋体" w:cs="宋体"/>
          <w:color w:val="2C2C36"/>
          <w:sz w:val="24"/>
          <w:szCs w:val="24"/>
        </w:rPr>
        <w:t>3.2外观与结构试验</w:t>
      </w:r>
      <w:r>
        <w:rPr>
          <w:rFonts w:hint="eastAsia" w:ascii="宋体" w:hAnsi="宋体" w:cs="宋体"/>
          <w:color w:val="2C2C36"/>
          <w:sz w:val="24"/>
          <w:szCs w:val="24"/>
        </w:rPr>
        <w:t>：</w:t>
      </w:r>
      <w:r>
        <w:rPr>
          <w:rFonts w:hint="eastAsia" w:ascii="宋体" w:hAnsi="宋体" w:cs="宋体"/>
          <w:sz w:val="24"/>
          <w:szCs w:val="24"/>
        </w:rPr>
        <w:t>验证智能电能计量物资领用回收装置的外观和结构是否符合设计要求。</w:t>
      </w:r>
    </w:p>
    <w:p w14:paraId="6EA44A21">
      <w:pPr>
        <w:widowControl/>
        <w:spacing w:before="100" w:beforeAutospacing="1" w:after="100" w:afterAutospacing="1" w:line="400" w:lineRule="exact"/>
        <w:jc w:val="left"/>
        <w:rPr>
          <w:rFonts w:hint="eastAsia" w:ascii="宋体" w:hAnsi="宋体" w:cs="宋体"/>
          <w:sz w:val="24"/>
          <w:szCs w:val="24"/>
        </w:rPr>
      </w:pPr>
      <w:r>
        <w:rPr>
          <w:rStyle w:val="17"/>
          <w:rFonts w:ascii="宋体" w:hAnsi="宋体" w:cs="宋体"/>
          <w:color w:val="2C2C36"/>
          <w:sz w:val="24"/>
          <w:szCs w:val="24"/>
        </w:rPr>
        <w:t>3.</w:t>
      </w:r>
      <w:r>
        <w:rPr>
          <w:rStyle w:val="17"/>
          <w:rFonts w:hint="eastAsia" w:ascii="宋体" w:hAnsi="宋体" w:cs="宋体"/>
          <w:color w:val="2C2C36"/>
          <w:sz w:val="24"/>
          <w:szCs w:val="24"/>
        </w:rPr>
        <w:t>3机械要求试验</w:t>
      </w:r>
      <w:r>
        <w:rPr>
          <w:rFonts w:hint="eastAsia" w:ascii="宋体" w:hAnsi="宋体" w:cs="宋体"/>
          <w:color w:val="2C2C36"/>
          <w:sz w:val="24"/>
          <w:szCs w:val="24"/>
        </w:rPr>
        <w:t>：</w:t>
      </w:r>
      <w:r>
        <w:rPr>
          <w:rFonts w:hint="eastAsia" w:ascii="宋体" w:hAnsi="宋体" w:cs="宋体"/>
          <w:sz w:val="24"/>
          <w:szCs w:val="24"/>
        </w:rPr>
        <w:t>根据</w:t>
      </w:r>
      <w:r>
        <w:rPr>
          <w:rFonts w:ascii="宋体" w:hAnsi="宋体" w:cs="宋体"/>
          <w:sz w:val="24"/>
          <w:szCs w:val="24"/>
        </w:rPr>
        <w:t>GB/T 4208-2017</w:t>
      </w:r>
      <w:r>
        <w:rPr>
          <w:rFonts w:hint="eastAsia" w:ascii="宋体" w:hAnsi="宋体" w:cs="宋体"/>
          <w:sz w:val="24"/>
          <w:szCs w:val="24"/>
        </w:rPr>
        <w:t>标准，评估智能电能计量物资领用回收装置的防护性能，测试防护等级，确保其在运输和安装过程中的结构完整性。</w:t>
      </w:r>
    </w:p>
    <w:p w14:paraId="7F3C01C6">
      <w:pPr>
        <w:widowControl/>
        <w:spacing w:before="100" w:beforeAutospacing="1" w:after="100" w:afterAutospacing="1" w:line="400" w:lineRule="exact"/>
        <w:jc w:val="left"/>
        <w:rPr>
          <w:rFonts w:hint="eastAsia" w:ascii="宋体" w:hAnsi="宋体" w:cs="宋体"/>
          <w:color w:val="2C2C36"/>
          <w:sz w:val="24"/>
          <w:szCs w:val="24"/>
        </w:rPr>
      </w:pPr>
      <w:r>
        <w:rPr>
          <w:rStyle w:val="17"/>
          <w:rFonts w:hint="eastAsia" w:ascii="宋体" w:hAnsi="宋体" w:cs="宋体"/>
          <w:color w:val="2C2C36"/>
          <w:sz w:val="24"/>
          <w:szCs w:val="24"/>
        </w:rPr>
        <w:t>3.4电气要求试验</w:t>
      </w:r>
      <w:r>
        <w:rPr>
          <w:rFonts w:hint="eastAsia" w:ascii="宋体" w:hAnsi="宋体" w:cs="宋体"/>
          <w:color w:val="2C2C36"/>
          <w:sz w:val="24"/>
          <w:szCs w:val="24"/>
        </w:rPr>
        <w:t>：验证</w:t>
      </w:r>
      <w:r>
        <w:rPr>
          <w:rFonts w:hint="eastAsia" w:ascii="宋体" w:hAnsi="宋体" w:cs="宋体"/>
          <w:sz w:val="24"/>
          <w:szCs w:val="24"/>
        </w:rPr>
        <w:t>智能电能计量物资领用回收装置</w:t>
      </w:r>
      <w:r>
        <w:rPr>
          <w:rFonts w:hint="eastAsia" w:ascii="宋体" w:hAnsi="宋体" w:cs="宋体"/>
          <w:color w:val="2C2C36"/>
          <w:sz w:val="24"/>
          <w:szCs w:val="24"/>
        </w:rPr>
        <w:t>的各项电气要求是否符合设计要求。</w:t>
      </w:r>
    </w:p>
    <w:p w14:paraId="20D2DA4B">
      <w:pPr>
        <w:widowControl/>
        <w:spacing w:before="100" w:beforeAutospacing="1" w:after="100" w:afterAutospacing="1" w:line="400" w:lineRule="exact"/>
        <w:jc w:val="left"/>
        <w:rPr>
          <w:rFonts w:hint="eastAsia" w:ascii="宋体" w:hAnsi="宋体" w:cs="宋体"/>
          <w:color w:val="2C2C36"/>
          <w:sz w:val="24"/>
          <w:szCs w:val="24"/>
        </w:rPr>
      </w:pPr>
      <w:r>
        <w:rPr>
          <w:rStyle w:val="17"/>
          <w:rFonts w:hint="eastAsia" w:ascii="宋体" w:hAnsi="宋体" w:cs="宋体"/>
          <w:color w:val="2C2C36"/>
          <w:sz w:val="24"/>
          <w:szCs w:val="24"/>
        </w:rPr>
        <w:t>3.5电磁兼容性试验</w:t>
      </w:r>
      <w:r>
        <w:rPr>
          <w:rFonts w:hint="eastAsia" w:ascii="宋体" w:hAnsi="宋体" w:cs="宋体"/>
          <w:color w:val="2C2C36"/>
          <w:sz w:val="24"/>
          <w:szCs w:val="24"/>
        </w:rPr>
        <w:t>：按照GB/T 17626系列标准，检查</w:t>
      </w:r>
      <w:r>
        <w:rPr>
          <w:rFonts w:hint="eastAsia" w:ascii="宋体" w:hAnsi="宋体" w:cs="宋体"/>
          <w:sz w:val="24"/>
          <w:szCs w:val="24"/>
        </w:rPr>
        <w:t>智能电能计量物资领用回收装置</w:t>
      </w:r>
      <w:r>
        <w:rPr>
          <w:rFonts w:hint="eastAsia" w:ascii="宋体" w:hAnsi="宋体" w:cs="宋体"/>
          <w:color w:val="2C2C36"/>
          <w:sz w:val="24"/>
          <w:szCs w:val="24"/>
        </w:rPr>
        <w:t>电气安全及设备在电磁环境中工作的抗干扰能力。</w:t>
      </w:r>
    </w:p>
    <w:p w14:paraId="351EED1E">
      <w:pPr>
        <w:pStyle w:val="5"/>
        <w:spacing w:before="137" w:after="137" w:line="400" w:lineRule="exact"/>
        <w:rPr>
          <w:rFonts w:hint="eastAsia" w:ascii="宋体" w:hAnsi="宋体" w:eastAsia="宋体" w:cs="宋体"/>
          <w:color w:val="2C2C36"/>
          <w:sz w:val="24"/>
          <w:szCs w:val="24"/>
        </w:rPr>
      </w:pPr>
      <w:r>
        <w:rPr>
          <w:rFonts w:hint="eastAsia" w:ascii="宋体" w:hAnsi="宋体" w:eastAsia="宋体" w:cs="宋体"/>
          <w:color w:val="2C2C36"/>
          <w:sz w:val="24"/>
          <w:szCs w:val="24"/>
        </w:rPr>
        <w:t>4.</w:t>
      </w:r>
      <w:r>
        <w:rPr>
          <w:rStyle w:val="49"/>
          <w:rFonts w:hint="eastAsia" w:ascii="宋体" w:hAnsi="宋体" w:eastAsia="宋体" w:cs="宋体"/>
          <w:color w:val="2C2C36"/>
          <w:sz w:val="24"/>
          <w:szCs w:val="24"/>
        </w:rPr>
        <w:t> </w:t>
      </w:r>
      <w:r>
        <w:rPr>
          <w:rStyle w:val="17"/>
          <w:rFonts w:hint="eastAsia" w:ascii="宋体" w:hAnsi="宋体" w:eastAsia="宋体" w:cs="宋体"/>
          <w:b/>
          <w:bCs/>
          <w:color w:val="2C2C36"/>
          <w:sz w:val="24"/>
          <w:szCs w:val="24"/>
        </w:rPr>
        <w:t>试验结果与分析</w:t>
      </w:r>
    </w:p>
    <w:tbl>
      <w:tblPr>
        <w:tblStyle w:val="15"/>
        <w:tblW w:w="859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52"/>
        <w:gridCol w:w="3645"/>
      </w:tblGrid>
      <w:tr w14:paraId="7896C2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597" w:type="dxa"/>
            <w:gridSpan w:val="2"/>
            <w:vAlign w:val="center"/>
          </w:tcPr>
          <w:p w14:paraId="2EAB3180">
            <w:pPr>
              <w:jc w:val="center"/>
              <w:rPr>
                <w:bCs/>
                <w:sz w:val="18"/>
                <w:szCs w:val="18"/>
              </w:rPr>
            </w:pPr>
            <w:r>
              <w:rPr>
                <w:rFonts w:hint="eastAsia"/>
                <w:bCs/>
                <w:sz w:val="18"/>
                <w:szCs w:val="18"/>
              </w:rPr>
              <w:t>智能电能计量物资领用回收装置测试数据</w:t>
            </w:r>
          </w:p>
        </w:tc>
      </w:tr>
      <w:tr w14:paraId="40986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52" w:type="dxa"/>
            <w:vAlign w:val="center"/>
          </w:tcPr>
          <w:p w14:paraId="4ABA5C5A">
            <w:pPr>
              <w:jc w:val="left"/>
              <w:rPr>
                <w:rFonts w:hint="eastAsia" w:ascii="宋体" w:hAnsi="宋体"/>
                <w:bCs/>
                <w:sz w:val="18"/>
                <w:szCs w:val="18"/>
              </w:rPr>
            </w:pPr>
            <w:r>
              <w:rPr>
                <w:rFonts w:ascii="宋体" w:hAnsi="宋体"/>
                <w:bCs/>
                <w:sz w:val="18"/>
                <w:szCs w:val="18"/>
              </w:rPr>
              <w:t>被测</w:t>
            </w:r>
            <w:r>
              <w:rPr>
                <w:rFonts w:hint="eastAsia" w:ascii="宋体" w:hAnsi="宋体"/>
                <w:bCs/>
                <w:sz w:val="18"/>
                <w:szCs w:val="18"/>
              </w:rPr>
              <w:t>装置型号</w:t>
            </w:r>
          </w:p>
        </w:tc>
        <w:tc>
          <w:tcPr>
            <w:tcW w:w="3645" w:type="dxa"/>
            <w:vAlign w:val="center"/>
          </w:tcPr>
          <w:p w14:paraId="6A75B472">
            <w:pPr>
              <w:jc w:val="left"/>
              <w:rPr>
                <w:bCs/>
                <w:sz w:val="18"/>
                <w:szCs w:val="18"/>
              </w:rPr>
            </w:pPr>
            <w:r>
              <w:rPr>
                <w:bCs/>
                <w:sz w:val="18"/>
                <w:szCs w:val="18"/>
              </w:rPr>
              <w:t>HZWQ-HJ-2601</w:t>
            </w:r>
          </w:p>
        </w:tc>
      </w:tr>
      <w:tr w14:paraId="7B3F1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4952" w:type="dxa"/>
            <w:vAlign w:val="center"/>
          </w:tcPr>
          <w:p w14:paraId="326AABFF">
            <w:pPr>
              <w:jc w:val="left"/>
              <w:rPr>
                <w:rFonts w:hint="eastAsia" w:ascii="宋体" w:hAnsi="宋体"/>
                <w:bCs/>
                <w:sz w:val="18"/>
                <w:szCs w:val="18"/>
              </w:rPr>
            </w:pPr>
            <w:r>
              <w:rPr>
                <w:rFonts w:ascii="宋体" w:hAnsi="宋体"/>
                <w:bCs/>
                <w:sz w:val="18"/>
                <w:szCs w:val="18"/>
              </w:rPr>
              <w:t>测试条件</w:t>
            </w:r>
          </w:p>
        </w:tc>
        <w:tc>
          <w:tcPr>
            <w:tcW w:w="3645" w:type="dxa"/>
            <w:vAlign w:val="center"/>
          </w:tcPr>
          <w:p w14:paraId="41552A28">
            <w:pPr>
              <w:ind w:left="-105" w:leftChars="-50" w:right="-136" w:rightChars="-65" w:firstLine="221"/>
              <w:jc w:val="left"/>
              <w:rPr>
                <w:bCs/>
                <w:sz w:val="18"/>
                <w:szCs w:val="18"/>
              </w:rPr>
            </w:pPr>
            <w:r>
              <w:rPr>
                <w:rFonts w:hint="eastAsia"/>
                <w:bCs/>
                <w:sz w:val="18"/>
                <w:szCs w:val="18"/>
              </w:rPr>
              <w:t>装置充电完成，正常开机使用</w:t>
            </w:r>
          </w:p>
        </w:tc>
      </w:tr>
      <w:tr w14:paraId="1AFE4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4952" w:type="dxa"/>
            <w:vAlign w:val="center"/>
          </w:tcPr>
          <w:p w14:paraId="58F7D80C">
            <w:pPr>
              <w:jc w:val="center"/>
              <w:rPr>
                <w:rFonts w:ascii="宋体" w:hAnsi="宋体"/>
                <w:bCs/>
                <w:sz w:val="18"/>
                <w:szCs w:val="18"/>
              </w:rPr>
            </w:pPr>
            <w:r>
              <w:rPr>
                <w:rFonts w:hint="eastAsia" w:ascii="宋体" w:hAnsi="宋体"/>
                <w:bCs/>
                <w:sz w:val="18"/>
                <w:szCs w:val="18"/>
              </w:rPr>
              <w:t>测试项</w:t>
            </w:r>
          </w:p>
        </w:tc>
        <w:tc>
          <w:tcPr>
            <w:tcW w:w="3645" w:type="dxa"/>
            <w:vAlign w:val="center"/>
          </w:tcPr>
          <w:p w14:paraId="37282ACA">
            <w:pPr>
              <w:ind w:left="-105" w:leftChars="-50" w:right="-136" w:rightChars="-65" w:firstLine="221"/>
              <w:jc w:val="left"/>
              <w:rPr>
                <w:rFonts w:hint="eastAsia"/>
                <w:bCs/>
                <w:sz w:val="18"/>
                <w:szCs w:val="18"/>
              </w:rPr>
            </w:pPr>
            <w:r>
              <w:rPr>
                <w:rFonts w:hint="eastAsia"/>
                <w:bCs/>
                <w:sz w:val="18"/>
                <w:szCs w:val="18"/>
              </w:rPr>
              <w:t>测试结果</w:t>
            </w:r>
          </w:p>
        </w:tc>
      </w:tr>
      <w:tr w14:paraId="027C8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52" w:type="dxa"/>
            <w:vAlign w:val="center"/>
          </w:tcPr>
          <w:p w14:paraId="3E42876D">
            <w:pPr>
              <w:ind w:right="-145" w:rightChars="-69"/>
              <w:jc w:val="left"/>
              <w:rPr>
                <w:rFonts w:hint="eastAsia"/>
                <w:bCs/>
                <w:sz w:val="18"/>
                <w:szCs w:val="18"/>
              </w:rPr>
            </w:pPr>
            <w:r>
              <w:rPr>
                <w:rFonts w:hint="eastAsia"/>
                <w:color w:val="2C2C36"/>
              </w:rPr>
              <w:t>250N及以下恒定作用力试验</w:t>
            </w:r>
          </w:p>
        </w:tc>
        <w:tc>
          <w:tcPr>
            <w:tcW w:w="3645" w:type="dxa"/>
            <w:vAlign w:val="center"/>
          </w:tcPr>
          <w:p w14:paraId="09F1209B">
            <w:pPr>
              <w:jc w:val="center"/>
              <w:rPr>
                <w:bCs/>
                <w:sz w:val="18"/>
                <w:szCs w:val="18"/>
              </w:rPr>
            </w:pPr>
            <w:r>
              <w:rPr>
                <w:rFonts w:hint="eastAsia"/>
                <w:bCs/>
                <w:sz w:val="18"/>
                <w:szCs w:val="18"/>
              </w:rPr>
              <w:t>试验后无损伤</w:t>
            </w:r>
          </w:p>
        </w:tc>
      </w:tr>
      <w:tr w14:paraId="7242D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52" w:type="dxa"/>
            <w:vAlign w:val="center"/>
          </w:tcPr>
          <w:p w14:paraId="2008E5B4">
            <w:pPr>
              <w:ind w:right="-145" w:rightChars="-69"/>
              <w:jc w:val="left"/>
              <w:rPr>
                <w:rFonts w:hint="eastAsia"/>
                <w:color w:val="2C2C36"/>
              </w:rPr>
            </w:pPr>
            <w:r>
              <w:rPr>
                <w:rFonts w:hint="eastAsia"/>
                <w:color w:val="2C2C36"/>
              </w:rPr>
              <w:t>使用一个直径约50mm、质量500g±25g、光滑实心钢球，从距样品表面1.3m自由落及摆落到样品表面上</w:t>
            </w:r>
          </w:p>
        </w:tc>
        <w:tc>
          <w:tcPr>
            <w:tcW w:w="3645" w:type="dxa"/>
            <w:vAlign w:val="center"/>
          </w:tcPr>
          <w:p w14:paraId="1060F27A">
            <w:pPr>
              <w:jc w:val="center"/>
              <w:rPr>
                <w:rFonts w:hint="eastAsia"/>
                <w:bCs/>
                <w:sz w:val="18"/>
                <w:szCs w:val="18"/>
              </w:rPr>
            </w:pPr>
            <w:r>
              <w:rPr>
                <w:rFonts w:hint="eastAsia"/>
                <w:bCs/>
                <w:sz w:val="18"/>
                <w:szCs w:val="18"/>
              </w:rPr>
              <w:t>试验后无损伤</w:t>
            </w:r>
          </w:p>
        </w:tc>
      </w:tr>
      <w:tr w14:paraId="7A4B1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52" w:type="dxa"/>
            <w:vAlign w:val="center"/>
          </w:tcPr>
          <w:p w14:paraId="5A48541E">
            <w:pPr>
              <w:ind w:right="-145" w:rightChars="-69"/>
              <w:jc w:val="left"/>
              <w:rPr>
                <w:rFonts w:hint="eastAsia"/>
                <w:color w:val="2C2C36"/>
              </w:rPr>
            </w:pPr>
            <w:r>
              <w:rPr>
                <w:rFonts w:hint="eastAsia"/>
                <w:color w:val="2C2C36"/>
              </w:rPr>
              <w:t>将样品从750mm±10mm的位置跌落到水平水泥试验台上</w:t>
            </w:r>
          </w:p>
        </w:tc>
        <w:tc>
          <w:tcPr>
            <w:tcW w:w="3645" w:type="dxa"/>
            <w:vAlign w:val="center"/>
          </w:tcPr>
          <w:p w14:paraId="23CFE9DA">
            <w:pPr>
              <w:jc w:val="center"/>
              <w:rPr>
                <w:rFonts w:hint="eastAsia"/>
                <w:bCs/>
                <w:sz w:val="18"/>
                <w:szCs w:val="18"/>
              </w:rPr>
            </w:pPr>
            <w:r>
              <w:rPr>
                <w:rFonts w:hint="eastAsia"/>
                <w:bCs/>
                <w:sz w:val="18"/>
                <w:szCs w:val="18"/>
              </w:rPr>
              <w:t>试验后无损伤</w:t>
            </w:r>
          </w:p>
        </w:tc>
      </w:tr>
      <w:tr w14:paraId="6FA1BD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52" w:type="dxa"/>
            <w:vAlign w:val="center"/>
          </w:tcPr>
          <w:p w14:paraId="3DF0C0C7">
            <w:pPr>
              <w:ind w:right="-145" w:rightChars="-69"/>
              <w:jc w:val="left"/>
              <w:rPr>
                <w:rFonts w:hint="eastAsia"/>
                <w:color w:val="2C2C36"/>
              </w:rPr>
            </w:pPr>
            <w:r>
              <w:rPr>
                <w:rFonts w:hint="eastAsia"/>
                <w:color w:val="2C2C36"/>
              </w:rPr>
              <w:t>待机状态下，测量电流值</w:t>
            </w:r>
          </w:p>
        </w:tc>
        <w:tc>
          <w:tcPr>
            <w:tcW w:w="3645" w:type="dxa"/>
            <w:vAlign w:val="center"/>
          </w:tcPr>
          <w:p w14:paraId="58207127">
            <w:pPr>
              <w:jc w:val="center"/>
              <w:rPr>
                <w:rFonts w:hint="eastAsia"/>
                <w:bCs/>
                <w:sz w:val="18"/>
                <w:szCs w:val="18"/>
              </w:rPr>
            </w:pPr>
            <w:r>
              <w:rPr>
                <w:rFonts w:hint="eastAsia"/>
                <w:bCs/>
                <w:sz w:val="18"/>
                <w:szCs w:val="18"/>
              </w:rPr>
              <w:t>&lt;10mA</w:t>
            </w:r>
          </w:p>
        </w:tc>
      </w:tr>
      <w:tr w14:paraId="43A1C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52" w:type="dxa"/>
            <w:vAlign w:val="center"/>
          </w:tcPr>
          <w:p w14:paraId="40E7CFF0">
            <w:pPr>
              <w:ind w:right="-145" w:rightChars="-69"/>
              <w:jc w:val="left"/>
              <w:rPr>
                <w:rFonts w:hint="eastAsia"/>
                <w:color w:val="2C2C36"/>
              </w:rPr>
            </w:pPr>
            <w:r>
              <w:rPr>
                <w:rFonts w:hint="eastAsia"/>
                <w:color w:val="2C2C36"/>
              </w:rPr>
              <w:t>正常工作状态下，测量电流值</w:t>
            </w:r>
          </w:p>
        </w:tc>
        <w:tc>
          <w:tcPr>
            <w:tcW w:w="3645" w:type="dxa"/>
            <w:vAlign w:val="center"/>
          </w:tcPr>
          <w:p w14:paraId="1820F69E">
            <w:pPr>
              <w:jc w:val="center"/>
              <w:rPr>
                <w:rFonts w:hint="eastAsia"/>
                <w:bCs/>
                <w:sz w:val="18"/>
                <w:szCs w:val="18"/>
              </w:rPr>
            </w:pPr>
            <w:r>
              <w:rPr>
                <w:rFonts w:hint="eastAsia"/>
                <w:bCs/>
                <w:sz w:val="18"/>
                <w:szCs w:val="18"/>
              </w:rPr>
              <w:t>&lt;400mA</w:t>
            </w:r>
          </w:p>
        </w:tc>
      </w:tr>
      <w:tr w14:paraId="15CB2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52" w:type="dxa"/>
            <w:vAlign w:val="center"/>
          </w:tcPr>
          <w:p w14:paraId="670D3A0D">
            <w:pPr>
              <w:ind w:right="-145" w:rightChars="-69"/>
              <w:jc w:val="left"/>
              <w:rPr>
                <w:rFonts w:hint="eastAsia"/>
                <w:color w:val="2C2C36"/>
              </w:rPr>
            </w:pPr>
            <w:r>
              <w:rPr>
                <w:rFonts w:hint="eastAsia"/>
                <w:color w:val="2C2C36"/>
              </w:rPr>
              <w:t>将25个标签放置在样品内部，间隔10cm，进行试验，测试读取准确率</w:t>
            </w:r>
          </w:p>
        </w:tc>
        <w:tc>
          <w:tcPr>
            <w:tcW w:w="3645" w:type="dxa"/>
            <w:vAlign w:val="center"/>
          </w:tcPr>
          <w:p w14:paraId="0178E3E3">
            <w:pPr>
              <w:jc w:val="center"/>
              <w:rPr>
                <w:rFonts w:hint="eastAsia"/>
                <w:bCs/>
                <w:sz w:val="18"/>
                <w:szCs w:val="18"/>
              </w:rPr>
            </w:pPr>
            <w:r>
              <w:rPr>
                <w:rFonts w:hint="eastAsia"/>
                <w:bCs/>
                <w:sz w:val="18"/>
                <w:szCs w:val="18"/>
              </w:rPr>
              <w:t>100%</w:t>
            </w:r>
          </w:p>
        </w:tc>
      </w:tr>
      <w:tr w14:paraId="666C2F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52" w:type="dxa"/>
            <w:vAlign w:val="center"/>
          </w:tcPr>
          <w:p w14:paraId="12068806">
            <w:pPr>
              <w:ind w:right="-145" w:rightChars="-69"/>
              <w:jc w:val="left"/>
              <w:rPr>
                <w:rFonts w:hint="eastAsia"/>
                <w:color w:val="2C2C36"/>
              </w:rPr>
            </w:pPr>
            <w:r>
              <w:rPr>
                <w:rFonts w:hint="eastAsia"/>
                <w:color w:val="2C2C36"/>
              </w:rPr>
              <w:t>将100个标签随机放置在受试样品外部，进行试验，测试屏蔽效果</w:t>
            </w:r>
          </w:p>
        </w:tc>
        <w:tc>
          <w:tcPr>
            <w:tcW w:w="3645" w:type="dxa"/>
            <w:vAlign w:val="center"/>
          </w:tcPr>
          <w:p w14:paraId="1F9D08ED">
            <w:pPr>
              <w:jc w:val="center"/>
              <w:rPr>
                <w:rFonts w:hint="eastAsia"/>
                <w:bCs/>
                <w:sz w:val="18"/>
                <w:szCs w:val="18"/>
              </w:rPr>
            </w:pPr>
            <w:r>
              <w:rPr>
                <w:rFonts w:hint="eastAsia"/>
                <w:bCs/>
                <w:sz w:val="18"/>
                <w:szCs w:val="18"/>
              </w:rPr>
              <w:t>100次均未读到任何标签</w:t>
            </w:r>
          </w:p>
        </w:tc>
      </w:tr>
      <w:tr w14:paraId="67425B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52" w:type="dxa"/>
            <w:vAlign w:val="center"/>
          </w:tcPr>
          <w:p w14:paraId="1DA09731">
            <w:pPr>
              <w:ind w:right="-145" w:rightChars="-69"/>
              <w:jc w:val="left"/>
              <w:rPr>
                <w:rFonts w:hint="eastAsia"/>
                <w:color w:val="2C2C36"/>
              </w:rPr>
            </w:pPr>
            <w:r>
              <w:rPr>
                <w:rFonts w:hint="eastAsia"/>
                <w:color w:val="2C2C36"/>
              </w:rPr>
              <w:t>将80个标签放置在样品内部，间隔10cm，进行试验，测试读取速率</w:t>
            </w:r>
          </w:p>
        </w:tc>
        <w:tc>
          <w:tcPr>
            <w:tcW w:w="3645" w:type="dxa"/>
            <w:vAlign w:val="center"/>
          </w:tcPr>
          <w:p w14:paraId="34D4EAD9">
            <w:pPr>
              <w:jc w:val="center"/>
              <w:rPr>
                <w:rFonts w:hint="eastAsia"/>
                <w:bCs/>
                <w:sz w:val="18"/>
                <w:szCs w:val="18"/>
              </w:rPr>
            </w:pPr>
            <w:r>
              <w:rPr>
                <w:rFonts w:hint="eastAsia"/>
                <w:bCs/>
                <w:sz w:val="18"/>
                <w:szCs w:val="18"/>
              </w:rPr>
              <w:t>&lt;3s</w:t>
            </w:r>
          </w:p>
        </w:tc>
      </w:tr>
    </w:tbl>
    <w:p w14:paraId="160DAF45">
      <w:pPr>
        <w:pStyle w:val="14"/>
        <w:spacing w:before="120" w:beforeAutospacing="0" w:after="120" w:afterAutospacing="0" w:line="400" w:lineRule="exact"/>
        <w:ind w:firstLine="480" w:firstLineChars="200"/>
        <w:rPr>
          <w:rFonts w:hint="eastAsia"/>
          <w:color w:val="2C2C36"/>
        </w:rPr>
      </w:pPr>
      <w:r>
        <w:rPr>
          <w:rFonts w:hint="eastAsia"/>
          <w:color w:val="2C2C36"/>
        </w:rPr>
        <w:t>所有参与试验的企业均提供了详细的试验报告，证实了</w:t>
      </w:r>
      <w:bookmarkStart w:id="1" w:name="_Hlk206603866"/>
      <w:r>
        <w:rPr>
          <w:rFonts w:hint="eastAsia"/>
          <w:color w:val="2C2C36"/>
        </w:rPr>
        <w:t>智能</w:t>
      </w:r>
      <w:bookmarkEnd w:id="1"/>
      <w:r>
        <w:rPr>
          <w:rFonts w:hint="eastAsia"/>
          <w:color w:val="2C2C36"/>
        </w:rPr>
        <w:t>电能计量物资领用回收装置的各项技术指标符合或超过预期目标。试验结果表明，智能电能计量物资领用回收装置能够在复杂多变的环境中稳定运行，具备良好的环境适应性、机械耐用性、电气安全性和电磁兼容性，同时确保了操作人员的安全。</w:t>
      </w:r>
    </w:p>
    <w:p w14:paraId="0D3E9BD5">
      <w:pPr>
        <w:pStyle w:val="3"/>
        <w:spacing w:line="400" w:lineRule="exact"/>
        <w:rPr>
          <w:rFonts w:hint="eastAsia" w:cs="黑体" w:asciiTheme="majorEastAsia" w:hAnsiTheme="majorEastAsia" w:eastAsiaTheme="majorEastAsia"/>
          <w:b w:val="0"/>
          <w:bCs w:val="0"/>
          <w:color w:val="FF0000"/>
          <w:sz w:val="28"/>
          <w:szCs w:val="28"/>
        </w:rPr>
      </w:pPr>
      <w:bookmarkStart w:id="2" w:name="_GoBack"/>
      <w:bookmarkEnd w:id="2"/>
      <w:r>
        <w:rPr>
          <w:rFonts w:hint="eastAsia" w:cs="黑体" w:asciiTheme="majorEastAsia" w:hAnsiTheme="majorEastAsia" w:eastAsiaTheme="majorEastAsia"/>
          <w:sz w:val="28"/>
          <w:szCs w:val="28"/>
        </w:rPr>
        <w:t>四、 标准涉及专利情况</w:t>
      </w:r>
    </w:p>
    <w:p w14:paraId="3A8C2543">
      <w:pPr>
        <w:spacing w:line="400" w:lineRule="exact"/>
        <w:ind w:firstLine="480" w:firstLineChars="200"/>
        <w:rPr>
          <w:sz w:val="24"/>
          <w:szCs w:val="24"/>
        </w:rPr>
      </w:pPr>
      <w:r>
        <w:rPr>
          <w:rFonts w:hint="eastAsia"/>
          <w:sz w:val="24"/>
          <w:szCs w:val="24"/>
        </w:rPr>
        <w:t>本文件不涉及任何专利问题</w:t>
      </w:r>
      <w:r>
        <w:rPr>
          <w:sz w:val="24"/>
          <w:szCs w:val="24"/>
        </w:rPr>
        <w:t>。</w:t>
      </w:r>
    </w:p>
    <w:p w14:paraId="49CF008C">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五、 预期达到的社会效益、对产业发展的作用</w:t>
      </w:r>
    </w:p>
    <w:p w14:paraId="11E9FF47">
      <w:pPr>
        <w:spacing w:line="360" w:lineRule="auto"/>
        <w:ind w:firstLine="480" w:firstLineChars="200"/>
        <w:rPr>
          <w:sz w:val="24"/>
          <w:szCs w:val="24"/>
        </w:rPr>
      </w:pPr>
      <w:r>
        <w:rPr>
          <w:rFonts w:hint="eastAsia"/>
          <w:sz w:val="24"/>
          <w:szCs w:val="24"/>
        </w:rPr>
        <w:t>智能电能计量物资领用回收装置凭借其优秀的移动式便携式智能管理能力，能够对电能表、互感器、模块等计量物资进行智能存储、盘点、定位和数据上传，弥补了对于出库待装计量物资管理的空白，实现了全方位的在途管控。智能电能计量物资领用回收装置不仅为电力现场作业提供了坚实保障，确保计量资产的闭环管理，降低计量资产库外时间，保障工单办结效率，减少工单未按时办结等问题。从计量资产管理的角度来看，通过智能电能计量物资领用回收装置的应用，能够打造覆盖计量资产配送、仓储、入库、出库、在途、安装等全过程的一体化智能管控体系，完善计量资产管理环节，提升计量资产全寿命周期管理能力。</w:t>
      </w:r>
    </w:p>
    <w:p w14:paraId="0E07C934">
      <w:pPr>
        <w:spacing w:line="360" w:lineRule="auto"/>
        <w:ind w:firstLine="480" w:firstLineChars="200"/>
        <w:rPr>
          <w:sz w:val="24"/>
          <w:szCs w:val="24"/>
        </w:rPr>
      </w:pPr>
      <w:r>
        <w:rPr>
          <w:rFonts w:hint="eastAsia"/>
          <w:sz w:val="24"/>
          <w:szCs w:val="24"/>
        </w:rPr>
        <w:t xml:space="preserve">在产业发展方面，该规范犹如强劲的助推器。在技术创新维度，有利于计量物资精益化管理的加速发展。例如，促使电力企业在提升仓储智能化的同时，推动管理模式向智能化高级阶段迈进，全面覆盖各种业务场景，加快打通计量物资管理的各个环节，实现管理闭环和数据闭环。规范的制定还积极推动计量物资规范化管理进程，通过统一标准引导企业加强出库计量物资的智能化管理，有效拉动上下游产业协同合作，构建起完整且高效的产业链。最终助力我国电力产业在国际竞争中崭露头角，凭借先进的技术和完善的标准优势，成功向智能化高端领域转型升级，显著提升国际影响力和竞争力，实现产业的持续繁荣与昌盛，推动电力产业在全球范围内的高质量发展 。 </w:t>
      </w:r>
    </w:p>
    <w:p w14:paraId="3958DAFA">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 xml:space="preserve">六、与国际、国外同类标准水平的对比情况 </w:t>
      </w:r>
    </w:p>
    <w:p w14:paraId="1736219C">
      <w:pPr>
        <w:spacing w:line="400" w:lineRule="exact"/>
        <w:ind w:firstLine="480" w:firstLineChars="200"/>
        <w:rPr>
          <w:sz w:val="24"/>
          <w:szCs w:val="24"/>
        </w:rPr>
      </w:pPr>
      <w:r>
        <w:rPr>
          <w:rFonts w:hint="eastAsia"/>
          <w:sz w:val="24"/>
          <w:szCs w:val="24"/>
        </w:rPr>
        <w:t xml:space="preserve">目前国内外没有《智能电能计量物资领用回收装置》相关行业标准。通过制定《智能电能计量物资领用回收装置技术规范》，能够统一智能电能计量物资领用回收装置的技术要求、功能要求、试验项目和实验方法，对智能电能计量物资领用回收装置的软硬件进行标准化设计，便于智能电能计量物资领用回收装置的大规模推广应用。适用于智能电能计量物资领用回收装置的设计、制造、采购、检验、验收和使用。 </w:t>
      </w:r>
    </w:p>
    <w:p w14:paraId="4D18082C">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七、在标准体系中的位置，与现行相关法律、法规、规章及相关标准，特别是强制性标准的协调性</w:t>
      </w:r>
    </w:p>
    <w:p w14:paraId="1B92EFBD">
      <w:pPr>
        <w:spacing w:line="400" w:lineRule="exact"/>
        <w:ind w:firstLine="480" w:firstLineChars="200"/>
        <w:rPr>
          <w:rFonts w:ascii="Times New Roman" w:hAnsi="Times New Roman"/>
          <w:sz w:val="24"/>
          <w:szCs w:val="24"/>
        </w:rPr>
      </w:pPr>
      <w:r>
        <w:rPr>
          <w:rFonts w:hint="eastAsia"/>
          <w:sz w:val="24"/>
          <w:szCs w:val="24"/>
        </w:rPr>
        <w:t>与相关技术领域的国家现行法律、法规和政策保持一致。</w:t>
      </w:r>
      <w:r>
        <w:rPr>
          <w:rFonts w:ascii="Times New Roman" w:hAnsi="Times New Roman"/>
          <w:sz w:val="24"/>
          <w:szCs w:val="24"/>
        </w:rPr>
        <w:t>与现有标准、制定中的标准没有矛盾。</w:t>
      </w:r>
    </w:p>
    <w:p w14:paraId="223D2E80">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八、标准性质的重大分歧意见的处理经过和依据</w:t>
      </w:r>
    </w:p>
    <w:p w14:paraId="7E631C4A">
      <w:pPr>
        <w:spacing w:line="400" w:lineRule="exact"/>
        <w:ind w:firstLine="480" w:firstLineChars="200"/>
        <w:rPr>
          <w:rFonts w:ascii="Times New Roman" w:hAnsi="Times New Roman"/>
          <w:sz w:val="24"/>
          <w:szCs w:val="24"/>
          <w:lang w:val="zh-CN"/>
        </w:rPr>
      </w:pPr>
      <w:r>
        <w:rPr>
          <w:rFonts w:ascii="Times New Roman" w:hAnsi="Times New Roman"/>
          <w:sz w:val="24"/>
          <w:szCs w:val="24"/>
          <w:lang w:val="zh-CN"/>
        </w:rPr>
        <w:t>无。</w:t>
      </w:r>
    </w:p>
    <w:p w14:paraId="1686E82E">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九、标准性质的建议说明</w:t>
      </w:r>
    </w:p>
    <w:p w14:paraId="428458A6">
      <w:pPr>
        <w:spacing w:line="400" w:lineRule="exact"/>
        <w:ind w:firstLine="480" w:firstLineChars="200"/>
        <w:rPr>
          <w:rFonts w:ascii="Times New Roman" w:hAnsi="Times New Roman"/>
          <w:sz w:val="24"/>
          <w:szCs w:val="24"/>
        </w:rPr>
      </w:pPr>
      <w:r>
        <w:rPr>
          <w:rFonts w:hint="eastAsia" w:ascii="Times New Roman" w:hAnsi="Times New Roman"/>
          <w:sz w:val="24"/>
          <w:szCs w:val="24"/>
        </w:rPr>
        <w:t>本标准为推荐性标准，旨在为此类设备的</w:t>
      </w:r>
      <w:r>
        <w:rPr>
          <w:rFonts w:ascii="Times New Roman" w:hAnsi="Times New Roman"/>
          <w:sz w:val="24"/>
          <w:szCs w:val="24"/>
        </w:rPr>
        <w:t>设计、制造、检验和验收</w:t>
      </w:r>
      <w:r>
        <w:rPr>
          <w:rFonts w:hint="eastAsia" w:ascii="Times New Roman" w:hAnsi="Times New Roman"/>
          <w:sz w:val="24"/>
          <w:szCs w:val="24"/>
        </w:rPr>
        <w:t>提供规范性依据，但不强制执行。</w:t>
      </w:r>
    </w:p>
    <w:p w14:paraId="2D29BD64">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十、贯彻标准的要求和措施建议（包括组织措施、技术措施、过渡办法、实施日期等）</w:t>
      </w:r>
    </w:p>
    <w:p w14:paraId="1A0972B4">
      <w:pPr>
        <w:spacing w:line="400" w:lineRule="exact"/>
        <w:rPr>
          <w:rFonts w:ascii="Times New Roman" w:hAnsi="Times New Roman"/>
          <w:sz w:val="24"/>
          <w:szCs w:val="24"/>
          <w:lang w:val="zh-CN"/>
        </w:rPr>
      </w:pPr>
      <w:r>
        <w:rPr>
          <w:rFonts w:hint="eastAsia" w:ascii="Times New Roman" w:hAnsi="Times New Roman"/>
          <w:sz w:val="24"/>
          <w:szCs w:val="24"/>
        </w:rPr>
        <w:t xml:space="preserve">    </w:t>
      </w:r>
      <w:r>
        <w:rPr>
          <w:rFonts w:ascii="Times New Roman" w:hAnsi="Times New Roman"/>
          <w:sz w:val="24"/>
          <w:szCs w:val="24"/>
          <w:lang w:val="zh-CN"/>
        </w:rPr>
        <w:t>无。</w:t>
      </w:r>
    </w:p>
    <w:p w14:paraId="0797CBCC">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十一、废止现行相关标准的建议</w:t>
      </w:r>
    </w:p>
    <w:p w14:paraId="50440448">
      <w:pPr>
        <w:spacing w:line="400" w:lineRule="exact"/>
        <w:rPr>
          <w:rFonts w:hint="eastAsia" w:ascii="黑体" w:hAnsi="黑体" w:eastAsia="黑体" w:cs="黑体"/>
          <w:b/>
          <w:bCs/>
          <w:sz w:val="24"/>
          <w:szCs w:val="24"/>
        </w:rPr>
      </w:pPr>
      <w:r>
        <w:rPr>
          <w:rFonts w:hint="eastAsia" w:ascii="宋体" w:hAnsi="宋体" w:cs="宋体"/>
          <w:szCs w:val="21"/>
        </w:rPr>
        <w:t xml:space="preserve">  </w:t>
      </w:r>
      <w:r>
        <w:rPr>
          <w:rFonts w:hint="eastAsia" w:ascii="宋体" w:hAnsi="宋体" w:cs="宋体"/>
          <w:sz w:val="24"/>
          <w:szCs w:val="24"/>
        </w:rPr>
        <w:t xml:space="preserve">  无。</w:t>
      </w:r>
    </w:p>
    <w:p w14:paraId="746E6445">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十二、其他予以说明的事项</w:t>
      </w:r>
    </w:p>
    <w:p w14:paraId="2C34C574">
      <w:pPr>
        <w:spacing w:line="400" w:lineRule="exact"/>
        <w:rPr>
          <w:rFonts w:hint="eastAsia" w:ascii="宋体" w:hAnsi="宋体" w:cs="宋体"/>
          <w:sz w:val="24"/>
          <w:szCs w:val="24"/>
        </w:rPr>
      </w:pPr>
      <w:r>
        <w:rPr>
          <w:rFonts w:hint="eastAsia" w:ascii="宋体" w:hAnsi="宋体" w:cs="宋体"/>
          <w:szCs w:val="21"/>
        </w:rPr>
        <w:t xml:space="preserve">  </w:t>
      </w:r>
      <w:r>
        <w:rPr>
          <w:rFonts w:hint="eastAsia" w:ascii="宋体" w:hAnsi="宋体" w:cs="宋体"/>
          <w:sz w:val="24"/>
          <w:szCs w:val="24"/>
        </w:rPr>
        <w:t xml:space="preserve">  无。</w:t>
      </w: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BC07F">
    <w:pPr>
      <w:pStyle w:val="10"/>
      <w:jc w:val="center"/>
    </w:pPr>
    <w:r>
      <w:fldChar w:fldCharType="begin"/>
    </w:r>
    <w:r>
      <w:instrText xml:space="preserve">PAGE   \* MERGEFORMAT</w:instrText>
    </w:r>
    <w:r>
      <w:fldChar w:fldCharType="separate"/>
    </w:r>
    <w:r>
      <w:t>5</w:t>
    </w:r>
    <w:r>
      <w:fldChar w:fldCharType="end"/>
    </w:r>
  </w:p>
  <w:p w14:paraId="7F75010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9A74A">
    <w:pPr>
      <w:ind w:lef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3"/>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4"/>
      <w:suff w:val="nothing"/>
      <w:lvlText w:val="%1.%2.%3　"/>
      <w:lvlJc w:val="left"/>
      <w:pPr>
        <w:ind w:left="1419" w:firstLine="0"/>
      </w:pPr>
      <w:rPr>
        <w:rFonts w:hint="eastAsia" w:ascii="黑体" w:hAnsi="Times New Roman" w:eastAsia="黑体"/>
        <w:b w:val="0"/>
        <w:i w:val="0"/>
        <w:sz w:val="21"/>
      </w:rPr>
    </w:lvl>
    <w:lvl w:ilvl="3" w:tentative="0">
      <w:start w:val="1"/>
      <w:numFmt w:val="decimal"/>
      <w:suff w:val="nothing"/>
      <w:lvlText w:val="%1.%2.%3.%4　"/>
      <w:lvlJc w:val="left"/>
      <w:pPr>
        <w:ind w:left="71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4C50F90"/>
    <w:multiLevelType w:val="multilevel"/>
    <w:tmpl w:val="44C50F90"/>
    <w:lvl w:ilvl="0" w:tentative="0">
      <w:start w:val="1"/>
      <w:numFmt w:val="lowerLetter"/>
      <w:pStyle w:val="28"/>
      <w:lvlText w:val="%1)"/>
      <w:lvlJc w:val="left"/>
      <w:pPr>
        <w:tabs>
          <w:tab w:val="left" w:pos="851"/>
        </w:tabs>
        <w:ind w:left="851" w:hanging="426"/>
      </w:pPr>
      <w:rPr>
        <w:rFonts w:hint="eastAsia" w:ascii="宋体" w:hAnsi="Times New Roman" w:eastAsia="宋体"/>
        <w:sz w:val="21"/>
      </w:rPr>
    </w:lvl>
    <w:lvl w:ilvl="1" w:tentative="0">
      <w:start w:val="1"/>
      <w:numFmt w:val="decimal"/>
      <w:pStyle w:val="29"/>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5"/>
      <w:suff w:val="nothing"/>
      <w:lvlText w:val="%1%2　"/>
      <w:lvlJc w:val="left"/>
      <w:pPr>
        <w:ind w:left="0" w:firstLine="0"/>
      </w:pPr>
      <w:rPr>
        <w:rFonts w:hint="eastAsia" w:ascii="黑体" w:eastAsia="黑体"/>
        <w:b w:val="0"/>
        <w:i w:val="0"/>
        <w:sz w:val="21"/>
      </w:rPr>
    </w:lvl>
    <w:lvl w:ilvl="2" w:tentative="0">
      <w:start w:val="1"/>
      <w:numFmt w:val="decimal"/>
      <w:pStyle w:val="4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rPr>
    </w:lvl>
    <w:lvl w:ilvl="3" w:tentative="0">
      <w:start w:val="1"/>
      <w:numFmt w:val="decimal"/>
      <w:pStyle w:val="30"/>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2ZmIwNmJmZTI5ZWNhNTI3M2U2MzliNWE3ZmM3MWEifQ=="/>
  </w:docVars>
  <w:rsids>
    <w:rsidRoot w:val="00C07FD7"/>
    <w:rsid w:val="000125B6"/>
    <w:rsid w:val="00021860"/>
    <w:rsid w:val="00021AD1"/>
    <w:rsid w:val="00023888"/>
    <w:rsid w:val="00024C13"/>
    <w:rsid w:val="00026950"/>
    <w:rsid w:val="00026A6A"/>
    <w:rsid w:val="000327DB"/>
    <w:rsid w:val="00032CEB"/>
    <w:rsid w:val="000342AE"/>
    <w:rsid w:val="00035ABD"/>
    <w:rsid w:val="00035D6A"/>
    <w:rsid w:val="00041DA0"/>
    <w:rsid w:val="0004323C"/>
    <w:rsid w:val="00043280"/>
    <w:rsid w:val="000445C2"/>
    <w:rsid w:val="00044EBD"/>
    <w:rsid w:val="00053DD0"/>
    <w:rsid w:val="00056E08"/>
    <w:rsid w:val="00060C0C"/>
    <w:rsid w:val="000746BA"/>
    <w:rsid w:val="00076F33"/>
    <w:rsid w:val="00091438"/>
    <w:rsid w:val="000929A1"/>
    <w:rsid w:val="00092EC0"/>
    <w:rsid w:val="00097BE9"/>
    <w:rsid w:val="000A0560"/>
    <w:rsid w:val="000A324F"/>
    <w:rsid w:val="000B0CCB"/>
    <w:rsid w:val="000B237C"/>
    <w:rsid w:val="000C3349"/>
    <w:rsid w:val="000C6A2D"/>
    <w:rsid w:val="000D17D0"/>
    <w:rsid w:val="000D4836"/>
    <w:rsid w:val="000D4CE1"/>
    <w:rsid w:val="000D7AD7"/>
    <w:rsid w:val="000E047B"/>
    <w:rsid w:val="000E2158"/>
    <w:rsid w:val="000F6655"/>
    <w:rsid w:val="00114B97"/>
    <w:rsid w:val="0012193A"/>
    <w:rsid w:val="001237E0"/>
    <w:rsid w:val="00131C05"/>
    <w:rsid w:val="001327F4"/>
    <w:rsid w:val="0013476B"/>
    <w:rsid w:val="00140FB8"/>
    <w:rsid w:val="00141B98"/>
    <w:rsid w:val="001446ED"/>
    <w:rsid w:val="00146EDD"/>
    <w:rsid w:val="00160328"/>
    <w:rsid w:val="00161356"/>
    <w:rsid w:val="00165275"/>
    <w:rsid w:val="00176D1E"/>
    <w:rsid w:val="00183189"/>
    <w:rsid w:val="00183CAA"/>
    <w:rsid w:val="00184D4C"/>
    <w:rsid w:val="00192421"/>
    <w:rsid w:val="00192C8B"/>
    <w:rsid w:val="00194207"/>
    <w:rsid w:val="001A424B"/>
    <w:rsid w:val="001A507A"/>
    <w:rsid w:val="001A72FB"/>
    <w:rsid w:val="001B4E14"/>
    <w:rsid w:val="001C06AA"/>
    <w:rsid w:val="001C3ED8"/>
    <w:rsid w:val="001C5231"/>
    <w:rsid w:val="001C55ED"/>
    <w:rsid w:val="001D038D"/>
    <w:rsid w:val="001E6353"/>
    <w:rsid w:val="001F266E"/>
    <w:rsid w:val="001F5976"/>
    <w:rsid w:val="001F7207"/>
    <w:rsid w:val="001F7AB4"/>
    <w:rsid w:val="002004B4"/>
    <w:rsid w:val="002004D0"/>
    <w:rsid w:val="00206A66"/>
    <w:rsid w:val="00210C5F"/>
    <w:rsid w:val="002145BD"/>
    <w:rsid w:val="00220EB9"/>
    <w:rsid w:val="00221BDC"/>
    <w:rsid w:val="00224108"/>
    <w:rsid w:val="00225331"/>
    <w:rsid w:val="00226544"/>
    <w:rsid w:val="00233031"/>
    <w:rsid w:val="00243479"/>
    <w:rsid w:val="00247ADE"/>
    <w:rsid w:val="00247BF2"/>
    <w:rsid w:val="002542CE"/>
    <w:rsid w:val="0026529F"/>
    <w:rsid w:val="00282694"/>
    <w:rsid w:val="00284FBA"/>
    <w:rsid w:val="00285508"/>
    <w:rsid w:val="002864C4"/>
    <w:rsid w:val="00292180"/>
    <w:rsid w:val="00293FB6"/>
    <w:rsid w:val="00294CF4"/>
    <w:rsid w:val="002A3B58"/>
    <w:rsid w:val="002A484B"/>
    <w:rsid w:val="002A6CD7"/>
    <w:rsid w:val="002B4C66"/>
    <w:rsid w:val="002C0031"/>
    <w:rsid w:val="002C06C2"/>
    <w:rsid w:val="002C464D"/>
    <w:rsid w:val="002C4E91"/>
    <w:rsid w:val="002C769C"/>
    <w:rsid w:val="002E1DAF"/>
    <w:rsid w:val="002E2F23"/>
    <w:rsid w:val="002E30C6"/>
    <w:rsid w:val="002F02C5"/>
    <w:rsid w:val="002F3DF7"/>
    <w:rsid w:val="002F4CF5"/>
    <w:rsid w:val="002F7CA0"/>
    <w:rsid w:val="0030109E"/>
    <w:rsid w:val="00307E6D"/>
    <w:rsid w:val="00310AD6"/>
    <w:rsid w:val="00311B24"/>
    <w:rsid w:val="00312657"/>
    <w:rsid w:val="00313D58"/>
    <w:rsid w:val="00316665"/>
    <w:rsid w:val="00316AEB"/>
    <w:rsid w:val="00317C9F"/>
    <w:rsid w:val="0032633E"/>
    <w:rsid w:val="0034542C"/>
    <w:rsid w:val="00345489"/>
    <w:rsid w:val="00351087"/>
    <w:rsid w:val="003604FE"/>
    <w:rsid w:val="00371A8E"/>
    <w:rsid w:val="0037225A"/>
    <w:rsid w:val="003736A6"/>
    <w:rsid w:val="003770AF"/>
    <w:rsid w:val="00380C6C"/>
    <w:rsid w:val="003817FA"/>
    <w:rsid w:val="00381AA0"/>
    <w:rsid w:val="003823C7"/>
    <w:rsid w:val="003A084F"/>
    <w:rsid w:val="003A1A73"/>
    <w:rsid w:val="003A2E44"/>
    <w:rsid w:val="003B0E59"/>
    <w:rsid w:val="003B5A86"/>
    <w:rsid w:val="003C273A"/>
    <w:rsid w:val="003D40C4"/>
    <w:rsid w:val="003D52D5"/>
    <w:rsid w:val="003D587D"/>
    <w:rsid w:val="003D759D"/>
    <w:rsid w:val="003E7257"/>
    <w:rsid w:val="003F529A"/>
    <w:rsid w:val="003F5A3A"/>
    <w:rsid w:val="004001EF"/>
    <w:rsid w:val="00403C78"/>
    <w:rsid w:val="00411CCA"/>
    <w:rsid w:val="0042301F"/>
    <w:rsid w:val="00426380"/>
    <w:rsid w:val="00426D41"/>
    <w:rsid w:val="00433F0D"/>
    <w:rsid w:val="00446D83"/>
    <w:rsid w:val="00450B65"/>
    <w:rsid w:val="00453CFD"/>
    <w:rsid w:val="00454BA9"/>
    <w:rsid w:val="0046366A"/>
    <w:rsid w:val="00472477"/>
    <w:rsid w:val="00473EC6"/>
    <w:rsid w:val="00491AAF"/>
    <w:rsid w:val="00493324"/>
    <w:rsid w:val="00494341"/>
    <w:rsid w:val="00495729"/>
    <w:rsid w:val="004958A9"/>
    <w:rsid w:val="004A56F8"/>
    <w:rsid w:val="004B42FD"/>
    <w:rsid w:val="004B7CD3"/>
    <w:rsid w:val="004D035F"/>
    <w:rsid w:val="004D25D8"/>
    <w:rsid w:val="004D6719"/>
    <w:rsid w:val="004E142A"/>
    <w:rsid w:val="004E5B62"/>
    <w:rsid w:val="004F77A2"/>
    <w:rsid w:val="004F7B35"/>
    <w:rsid w:val="005023D2"/>
    <w:rsid w:val="00504D78"/>
    <w:rsid w:val="00506C65"/>
    <w:rsid w:val="00514919"/>
    <w:rsid w:val="0052574F"/>
    <w:rsid w:val="0053279D"/>
    <w:rsid w:val="005370AB"/>
    <w:rsid w:val="0054263F"/>
    <w:rsid w:val="005453CA"/>
    <w:rsid w:val="00547862"/>
    <w:rsid w:val="005517EF"/>
    <w:rsid w:val="00551D13"/>
    <w:rsid w:val="00552196"/>
    <w:rsid w:val="0055341B"/>
    <w:rsid w:val="00554865"/>
    <w:rsid w:val="00560931"/>
    <w:rsid w:val="00576B8F"/>
    <w:rsid w:val="00580A71"/>
    <w:rsid w:val="00581791"/>
    <w:rsid w:val="00586D07"/>
    <w:rsid w:val="00587F37"/>
    <w:rsid w:val="00596C29"/>
    <w:rsid w:val="005A0A0F"/>
    <w:rsid w:val="005A7101"/>
    <w:rsid w:val="005B04B9"/>
    <w:rsid w:val="005D3277"/>
    <w:rsid w:val="005E1501"/>
    <w:rsid w:val="005E3C02"/>
    <w:rsid w:val="005E5126"/>
    <w:rsid w:val="005F1579"/>
    <w:rsid w:val="005F2E08"/>
    <w:rsid w:val="005F79C2"/>
    <w:rsid w:val="00601078"/>
    <w:rsid w:val="00604FD1"/>
    <w:rsid w:val="00607AF6"/>
    <w:rsid w:val="00612AE7"/>
    <w:rsid w:val="00625C85"/>
    <w:rsid w:val="00626486"/>
    <w:rsid w:val="00634184"/>
    <w:rsid w:val="00642FCC"/>
    <w:rsid w:val="00644264"/>
    <w:rsid w:val="00647254"/>
    <w:rsid w:val="00656F8B"/>
    <w:rsid w:val="00657FF9"/>
    <w:rsid w:val="00667F80"/>
    <w:rsid w:val="00670A94"/>
    <w:rsid w:val="00670EC7"/>
    <w:rsid w:val="0067132A"/>
    <w:rsid w:val="006771EB"/>
    <w:rsid w:val="0068048B"/>
    <w:rsid w:val="00685DCF"/>
    <w:rsid w:val="00686FDF"/>
    <w:rsid w:val="006B265E"/>
    <w:rsid w:val="006B3A9B"/>
    <w:rsid w:val="006C06FD"/>
    <w:rsid w:val="006E04C4"/>
    <w:rsid w:val="006E6D06"/>
    <w:rsid w:val="0070016D"/>
    <w:rsid w:val="007030BB"/>
    <w:rsid w:val="007109C3"/>
    <w:rsid w:val="00713107"/>
    <w:rsid w:val="007201B7"/>
    <w:rsid w:val="00721E6D"/>
    <w:rsid w:val="007320F6"/>
    <w:rsid w:val="00735D69"/>
    <w:rsid w:val="0073722A"/>
    <w:rsid w:val="0074014F"/>
    <w:rsid w:val="00740307"/>
    <w:rsid w:val="00741613"/>
    <w:rsid w:val="007425D3"/>
    <w:rsid w:val="00742878"/>
    <w:rsid w:val="00752B3F"/>
    <w:rsid w:val="007638AD"/>
    <w:rsid w:val="007646B5"/>
    <w:rsid w:val="0077233D"/>
    <w:rsid w:val="007731CB"/>
    <w:rsid w:val="00775364"/>
    <w:rsid w:val="007763BD"/>
    <w:rsid w:val="00781EEC"/>
    <w:rsid w:val="00782CFC"/>
    <w:rsid w:val="00783699"/>
    <w:rsid w:val="00792363"/>
    <w:rsid w:val="007932EA"/>
    <w:rsid w:val="00796501"/>
    <w:rsid w:val="007A0FB8"/>
    <w:rsid w:val="007A282E"/>
    <w:rsid w:val="007A39E9"/>
    <w:rsid w:val="007B25F6"/>
    <w:rsid w:val="007B6B4B"/>
    <w:rsid w:val="007B75E0"/>
    <w:rsid w:val="007C53A8"/>
    <w:rsid w:val="007C6BE0"/>
    <w:rsid w:val="007D3FB3"/>
    <w:rsid w:val="007D4263"/>
    <w:rsid w:val="007D5CA9"/>
    <w:rsid w:val="007D773A"/>
    <w:rsid w:val="007E6051"/>
    <w:rsid w:val="007F37E2"/>
    <w:rsid w:val="007F438C"/>
    <w:rsid w:val="007F5B2B"/>
    <w:rsid w:val="007F5D9E"/>
    <w:rsid w:val="007F5EAD"/>
    <w:rsid w:val="00800EB7"/>
    <w:rsid w:val="00805DEA"/>
    <w:rsid w:val="00807BC7"/>
    <w:rsid w:val="00813009"/>
    <w:rsid w:val="00816923"/>
    <w:rsid w:val="0081723B"/>
    <w:rsid w:val="008261D3"/>
    <w:rsid w:val="00834EAE"/>
    <w:rsid w:val="00840377"/>
    <w:rsid w:val="008422E2"/>
    <w:rsid w:val="0085109D"/>
    <w:rsid w:val="008652F1"/>
    <w:rsid w:val="00876073"/>
    <w:rsid w:val="008A1B7C"/>
    <w:rsid w:val="008A4BB3"/>
    <w:rsid w:val="008B5921"/>
    <w:rsid w:val="008B5D3C"/>
    <w:rsid w:val="008B6F36"/>
    <w:rsid w:val="008C2741"/>
    <w:rsid w:val="008C2E7C"/>
    <w:rsid w:val="008D51C7"/>
    <w:rsid w:val="008E7074"/>
    <w:rsid w:val="008F1A3F"/>
    <w:rsid w:val="00904D19"/>
    <w:rsid w:val="0091049B"/>
    <w:rsid w:val="00911E72"/>
    <w:rsid w:val="009123EA"/>
    <w:rsid w:val="00915B37"/>
    <w:rsid w:val="00916365"/>
    <w:rsid w:val="009303E4"/>
    <w:rsid w:val="0094073D"/>
    <w:rsid w:val="00946D87"/>
    <w:rsid w:val="00950997"/>
    <w:rsid w:val="00951150"/>
    <w:rsid w:val="0096265C"/>
    <w:rsid w:val="009649D1"/>
    <w:rsid w:val="00971FFA"/>
    <w:rsid w:val="009729E2"/>
    <w:rsid w:val="00980CC7"/>
    <w:rsid w:val="0098120E"/>
    <w:rsid w:val="00983CE9"/>
    <w:rsid w:val="009909D4"/>
    <w:rsid w:val="009910D3"/>
    <w:rsid w:val="00993015"/>
    <w:rsid w:val="00997646"/>
    <w:rsid w:val="009C5A85"/>
    <w:rsid w:val="009D2B32"/>
    <w:rsid w:val="009D5316"/>
    <w:rsid w:val="009D539D"/>
    <w:rsid w:val="009D5E09"/>
    <w:rsid w:val="009D659E"/>
    <w:rsid w:val="009E3906"/>
    <w:rsid w:val="009E3D3C"/>
    <w:rsid w:val="009E541C"/>
    <w:rsid w:val="009F2FFA"/>
    <w:rsid w:val="009F4E4B"/>
    <w:rsid w:val="009F538F"/>
    <w:rsid w:val="00A00A02"/>
    <w:rsid w:val="00A03AE0"/>
    <w:rsid w:val="00A10C43"/>
    <w:rsid w:val="00A218BA"/>
    <w:rsid w:val="00A33203"/>
    <w:rsid w:val="00A4359C"/>
    <w:rsid w:val="00A43FDA"/>
    <w:rsid w:val="00A45735"/>
    <w:rsid w:val="00A55416"/>
    <w:rsid w:val="00A577E2"/>
    <w:rsid w:val="00A62621"/>
    <w:rsid w:val="00A6425F"/>
    <w:rsid w:val="00A65029"/>
    <w:rsid w:val="00A73B4E"/>
    <w:rsid w:val="00A76F83"/>
    <w:rsid w:val="00A80185"/>
    <w:rsid w:val="00A83ABF"/>
    <w:rsid w:val="00A854F6"/>
    <w:rsid w:val="00A855B9"/>
    <w:rsid w:val="00A9442A"/>
    <w:rsid w:val="00AA02D0"/>
    <w:rsid w:val="00AA1F60"/>
    <w:rsid w:val="00AA22DB"/>
    <w:rsid w:val="00AB29A6"/>
    <w:rsid w:val="00AC2761"/>
    <w:rsid w:val="00AD128C"/>
    <w:rsid w:val="00AD3B06"/>
    <w:rsid w:val="00AE1FA7"/>
    <w:rsid w:val="00AF29E8"/>
    <w:rsid w:val="00AF2FC0"/>
    <w:rsid w:val="00B03E6A"/>
    <w:rsid w:val="00B0432B"/>
    <w:rsid w:val="00B04431"/>
    <w:rsid w:val="00B05335"/>
    <w:rsid w:val="00B07968"/>
    <w:rsid w:val="00B15090"/>
    <w:rsid w:val="00B223D8"/>
    <w:rsid w:val="00B227F6"/>
    <w:rsid w:val="00B25517"/>
    <w:rsid w:val="00B363A1"/>
    <w:rsid w:val="00B40259"/>
    <w:rsid w:val="00B5376B"/>
    <w:rsid w:val="00B67B85"/>
    <w:rsid w:val="00B710A0"/>
    <w:rsid w:val="00B7279A"/>
    <w:rsid w:val="00B82307"/>
    <w:rsid w:val="00B90740"/>
    <w:rsid w:val="00B94948"/>
    <w:rsid w:val="00BA1248"/>
    <w:rsid w:val="00BB392C"/>
    <w:rsid w:val="00BC2A58"/>
    <w:rsid w:val="00BC463B"/>
    <w:rsid w:val="00BC4820"/>
    <w:rsid w:val="00BD2A6B"/>
    <w:rsid w:val="00BE01BA"/>
    <w:rsid w:val="00BE06D9"/>
    <w:rsid w:val="00BE638C"/>
    <w:rsid w:val="00BE6DB7"/>
    <w:rsid w:val="00BF3D86"/>
    <w:rsid w:val="00BF5FAB"/>
    <w:rsid w:val="00C0109A"/>
    <w:rsid w:val="00C02B99"/>
    <w:rsid w:val="00C0676C"/>
    <w:rsid w:val="00C06773"/>
    <w:rsid w:val="00C07FD7"/>
    <w:rsid w:val="00C10DF5"/>
    <w:rsid w:val="00C1489F"/>
    <w:rsid w:val="00C15BDA"/>
    <w:rsid w:val="00C222DD"/>
    <w:rsid w:val="00C24F5C"/>
    <w:rsid w:val="00C267BF"/>
    <w:rsid w:val="00C27F6A"/>
    <w:rsid w:val="00C303B6"/>
    <w:rsid w:val="00C35947"/>
    <w:rsid w:val="00C35DF7"/>
    <w:rsid w:val="00C43FDE"/>
    <w:rsid w:val="00C5112C"/>
    <w:rsid w:val="00C63018"/>
    <w:rsid w:val="00C63B25"/>
    <w:rsid w:val="00C70BED"/>
    <w:rsid w:val="00C75F50"/>
    <w:rsid w:val="00C76244"/>
    <w:rsid w:val="00C81FB7"/>
    <w:rsid w:val="00C82E2D"/>
    <w:rsid w:val="00C85261"/>
    <w:rsid w:val="00CA6EBE"/>
    <w:rsid w:val="00CB00C4"/>
    <w:rsid w:val="00CB125C"/>
    <w:rsid w:val="00CC70B8"/>
    <w:rsid w:val="00CC7860"/>
    <w:rsid w:val="00CD43CB"/>
    <w:rsid w:val="00CD6C9A"/>
    <w:rsid w:val="00CF074D"/>
    <w:rsid w:val="00CF5406"/>
    <w:rsid w:val="00D108F4"/>
    <w:rsid w:val="00D17521"/>
    <w:rsid w:val="00D200D6"/>
    <w:rsid w:val="00D20E90"/>
    <w:rsid w:val="00D23634"/>
    <w:rsid w:val="00D24E58"/>
    <w:rsid w:val="00D27708"/>
    <w:rsid w:val="00D45ECB"/>
    <w:rsid w:val="00D7033C"/>
    <w:rsid w:val="00D84706"/>
    <w:rsid w:val="00D85F2C"/>
    <w:rsid w:val="00D86FBA"/>
    <w:rsid w:val="00D90933"/>
    <w:rsid w:val="00DA2F01"/>
    <w:rsid w:val="00DB0013"/>
    <w:rsid w:val="00DB3454"/>
    <w:rsid w:val="00DB4AD5"/>
    <w:rsid w:val="00DC3630"/>
    <w:rsid w:val="00DD718B"/>
    <w:rsid w:val="00DD7EBE"/>
    <w:rsid w:val="00DE2825"/>
    <w:rsid w:val="00DF5125"/>
    <w:rsid w:val="00DF6A53"/>
    <w:rsid w:val="00DF6A54"/>
    <w:rsid w:val="00E00C17"/>
    <w:rsid w:val="00E025A9"/>
    <w:rsid w:val="00E03D57"/>
    <w:rsid w:val="00E07DFE"/>
    <w:rsid w:val="00E11A6F"/>
    <w:rsid w:val="00E166E6"/>
    <w:rsid w:val="00E1672C"/>
    <w:rsid w:val="00E42B81"/>
    <w:rsid w:val="00E47E34"/>
    <w:rsid w:val="00E50118"/>
    <w:rsid w:val="00E56F40"/>
    <w:rsid w:val="00E72BD3"/>
    <w:rsid w:val="00E74BFC"/>
    <w:rsid w:val="00E75D8B"/>
    <w:rsid w:val="00E77999"/>
    <w:rsid w:val="00E95999"/>
    <w:rsid w:val="00E97720"/>
    <w:rsid w:val="00EA4114"/>
    <w:rsid w:val="00EA7644"/>
    <w:rsid w:val="00EB1602"/>
    <w:rsid w:val="00EB46D7"/>
    <w:rsid w:val="00EC5B9D"/>
    <w:rsid w:val="00ED545D"/>
    <w:rsid w:val="00EE0B00"/>
    <w:rsid w:val="00EE33A6"/>
    <w:rsid w:val="00EF523C"/>
    <w:rsid w:val="00F113E9"/>
    <w:rsid w:val="00F34E25"/>
    <w:rsid w:val="00F3640C"/>
    <w:rsid w:val="00F3754A"/>
    <w:rsid w:val="00F439A4"/>
    <w:rsid w:val="00F46547"/>
    <w:rsid w:val="00F50275"/>
    <w:rsid w:val="00F5148D"/>
    <w:rsid w:val="00F51C56"/>
    <w:rsid w:val="00F52715"/>
    <w:rsid w:val="00F56F60"/>
    <w:rsid w:val="00F61FAD"/>
    <w:rsid w:val="00F64A7B"/>
    <w:rsid w:val="00F82FB7"/>
    <w:rsid w:val="00F842D4"/>
    <w:rsid w:val="00F9244E"/>
    <w:rsid w:val="00F937EE"/>
    <w:rsid w:val="00F96C35"/>
    <w:rsid w:val="00FA4E39"/>
    <w:rsid w:val="00FB4480"/>
    <w:rsid w:val="00FB7F69"/>
    <w:rsid w:val="00FD0271"/>
    <w:rsid w:val="00FD4FE4"/>
    <w:rsid w:val="00FE1150"/>
    <w:rsid w:val="00FE3DBE"/>
    <w:rsid w:val="00FF1806"/>
    <w:rsid w:val="00FF4757"/>
    <w:rsid w:val="00FF5E2B"/>
    <w:rsid w:val="00FF60E8"/>
    <w:rsid w:val="010529A1"/>
    <w:rsid w:val="015D78C2"/>
    <w:rsid w:val="01F8525A"/>
    <w:rsid w:val="025A548B"/>
    <w:rsid w:val="0267744B"/>
    <w:rsid w:val="032B7CCC"/>
    <w:rsid w:val="03C47A3D"/>
    <w:rsid w:val="03EF27C8"/>
    <w:rsid w:val="03F3608F"/>
    <w:rsid w:val="03F73430"/>
    <w:rsid w:val="044D4541"/>
    <w:rsid w:val="04B406C8"/>
    <w:rsid w:val="051A11D0"/>
    <w:rsid w:val="055B54AE"/>
    <w:rsid w:val="05B71053"/>
    <w:rsid w:val="061D37E4"/>
    <w:rsid w:val="07282BD2"/>
    <w:rsid w:val="073525D0"/>
    <w:rsid w:val="07933427"/>
    <w:rsid w:val="07BE0EAF"/>
    <w:rsid w:val="084D6DC9"/>
    <w:rsid w:val="08591C04"/>
    <w:rsid w:val="08C30585"/>
    <w:rsid w:val="090215F0"/>
    <w:rsid w:val="091229C5"/>
    <w:rsid w:val="093B6561"/>
    <w:rsid w:val="094B1189"/>
    <w:rsid w:val="09FF031A"/>
    <w:rsid w:val="0A95328F"/>
    <w:rsid w:val="0A9E3E3B"/>
    <w:rsid w:val="0AA00011"/>
    <w:rsid w:val="0B090D2C"/>
    <w:rsid w:val="0B9567CA"/>
    <w:rsid w:val="0C7A2535"/>
    <w:rsid w:val="0C7A6ED4"/>
    <w:rsid w:val="0D1C75CD"/>
    <w:rsid w:val="0D5F0B5D"/>
    <w:rsid w:val="0EE86A55"/>
    <w:rsid w:val="10DF406E"/>
    <w:rsid w:val="11926D8D"/>
    <w:rsid w:val="11E90053"/>
    <w:rsid w:val="12BF58FF"/>
    <w:rsid w:val="12F24C1A"/>
    <w:rsid w:val="130509C1"/>
    <w:rsid w:val="13176148"/>
    <w:rsid w:val="13760D4E"/>
    <w:rsid w:val="13767950"/>
    <w:rsid w:val="14147A3B"/>
    <w:rsid w:val="15020CA3"/>
    <w:rsid w:val="155D62E6"/>
    <w:rsid w:val="16035571"/>
    <w:rsid w:val="162639CD"/>
    <w:rsid w:val="16436BBB"/>
    <w:rsid w:val="16BB474E"/>
    <w:rsid w:val="180E1119"/>
    <w:rsid w:val="18393541"/>
    <w:rsid w:val="18A176F2"/>
    <w:rsid w:val="18A500EF"/>
    <w:rsid w:val="18C35161"/>
    <w:rsid w:val="195D7E33"/>
    <w:rsid w:val="198552B3"/>
    <w:rsid w:val="19970503"/>
    <w:rsid w:val="19C27D7F"/>
    <w:rsid w:val="1A55EF0C"/>
    <w:rsid w:val="1B002FFA"/>
    <w:rsid w:val="1B9907D4"/>
    <w:rsid w:val="1BE76BEB"/>
    <w:rsid w:val="1C0C749B"/>
    <w:rsid w:val="1C2A1FFA"/>
    <w:rsid w:val="1CAD7018"/>
    <w:rsid w:val="1D4460EE"/>
    <w:rsid w:val="1D7D286E"/>
    <w:rsid w:val="1D7F2551"/>
    <w:rsid w:val="1DD31238"/>
    <w:rsid w:val="1F417CF9"/>
    <w:rsid w:val="1F6736C2"/>
    <w:rsid w:val="1F783185"/>
    <w:rsid w:val="1FBF7A6F"/>
    <w:rsid w:val="2071095A"/>
    <w:rsid w:val="20840C8E"/>
    <w:rsid w:val="208D6BBB"/>
    <w:rsid w:val="21D7460A"/>
    <w:rsid w:val="2216145C"/>
    <w:rsid w:val="223649D8"/>
    <w:rsid w:val="22A45836"/>
    <w:rsid w:val="22B34C76"/>
    <w:rsid w:val="23027041"/>
    <w:rsid w:val="237A0EA4"/>
    <w:rsid w:val="238C742E"/>
    <w:rsid w:val="23A75EEF"/>
    <w:rsid w:val="24481FE0"/>
    <w:rsid w:val="248764B8"/>
    <w:rsid w:val="24BC14A0"/>
    <w:rsid w:val="259768C4"/>
    <w:rsid w:val="25F36AC0"/>
    <w:rsid w:val="26177B96"/>
    <w:rsid w:val="26A45E4D"/>
    <w:rsid w:val="26D20B6F"/>
    <w:rsid w:val="272711D4"/>
    <w:rsid w:val="27533EE6"/>
    <w:rsid w:val="29417347"/>
    <w:rsid w:val="29A852E1"/>
    <w:rsid w:val="29EB4EC7"/>
    <w:rsid w:val="2A2F41FE"/>
    <w:rsid w:val="2A4D3368"/>
    <w:rsid w:val="2A721FF8"/>
    <w:rsid w:val="2B187193"/>
    <w:rsid w:val="2B2C3011"/>
    <w:rsid w:val="2B59385C"/>
    <w:rsid w:val="2B882FE3"/>
    <w:rsid w:val="2BFE0E57"/>
    <w:rsid w:val="2CBD3F75"/>
    <w:rsid w:val="2CF74318"/>
    <w:rsid w:val="2CFB12C0"/>
    <w:rsid w:val="2E060545"/>
    <w:rsid w:val="2E1F36AF"/>
    <w:rsid w:val="2FFC7C4A"/>
    <w:rsid w:val="30305AEA"/>
    <w:rsid w:val="304B257B"/>
    <w:rsid w:val="307C0364"/>
    <w:rsid w:val="30B0524B"/>
    <w:rsid w:val="30B11B46"/>
    <w:rsid w:val="31EB4AD1"/>
    <w:rsid w:val="324C2EAE"/>
    <w:rsid w:val="32D166F5"/>
    <w:rsid w:val="33152293"/>
    <w:rsid w:val="339F6C4E"/>
    <w:rsid w:val="33DA06F7"/>
    <w:rsid w:val="340F48FC"/>
    <w:rsid w:val="34265515"/>
    <w:rsid w:val="343C1419"/>
    <w:rsid w:val="34AF2C20"/>
    <w:rsid w:val="34C11256"/>
    <w:rsid w:val="35031581"/>
    <w:rsid w:val="351202FF"/>
    <w:rsid w:val="351647A5"/>
    <w:rsid w:val="35BC388F"/>
    <w:rsid w:val="3609360F"/>
    <w:rsid w:val="361B04A0"/>
    <w:rsid w:val="365C6355"/>
    <w:rsid w:val="36646E1F"/>
    <w:rsid w:val="36825C5E"/>
    <w:rsid w:val="36C55F68"/>
    <w:rsid w:val="36E4386D"/>
    <w:rsid w:val="37265173"/>
    <w:rsid w:val="37346B23"/>
    <w:rsid w:val="37D35893"/>
    <w:rsid w:val="383E4EC8"/>
    <w:rsid w:val="385A6D44"/>
    <w:rsid w:val="386A7099"/>
    <w:rsid w:val="389337B6"/>
    <w:rsid w:val="393E24A6"/>
    <w:rsid w:val="39A560B6"/>
    <w:rsid w:val="3AA14BDA"/>
    <w:rsid w:val="3B267C8A"/>
    <w:rsid w:val="3BC86EC9"/>
    <w:rsid w:val="3BE6368D"/>
    <w:rsid w:val="3C523343"/>
    <w:rsid w:val="3C772F67"/>
    <w:rsid w:val="3C890106"/>
    <w:rsid w:val="3D1651F0"/>
    <w:rsid w:val="3D4D254F"/>
    <w:rsid w:val="3D6B1A8C"/>
    <w:rsid w:val="3DED4844"/>
    <w:rsid w:val="3E712FA9"/>
    <w:rsid w:val="3EBE5E7C"/>
    <w:rsid w:val="3F5F3197"/>
    <w:rsid w:val="3FAD462D"/>
    <w:rsid w:val="3FB809BF"/>
    <w:rsid w:val="3FEC7CB4"/>
    <w:rsid w:val="3FFD724D"/>
    <w:rsid w:val="40687AEB"/>
    <w:rsid w:val="40DC4C45"/>
    <w:rsid w:val="40DF6FA1"/>
    <w:rsid w:val="41327A97"/>
    <w:rsid w:val="41922BF1"/>
    <w:rsid w:val="41A20AF6"/>
    <w:rsid w:val="4218487C"/>
    <w:rsid w:val="42486ADC"/>
    <w:rsid w:val="426E4241"/>
    <w:rsid w:val="42F1542D"/>
    <w:rsid w:val="43085A8E"/>
    <w:rsid w:val="43251536"/>
    <w:rsid w:val="43CF576B"/>
    <w:rsid w:val="43D766A6"/>
    <w:rsid w:val="44167D7E"/>
    <w:rsid w:val="445E5402"/>
    <w:rsid w:val="446C1C00"/>
    <w:rsid w:val="44774F25"/>
    <w:rsid w:val="4479634B"/>
    <w:rsid w:val="45841D41"/>
    <w:rsid w:val="458D7872"/>
    <w:rsid w:val="45A80E29"/>
    <w:rsid w:val="46387E1F"/>
    <w:rsid w:val="465E0411"/>
    <w:rsid w:val="46633C2B"/>
    <w:rsid w:val="467F622E"/>
    <w:rsid w:val="46CB1754"/>
    <w:rsid w:val="46E771D4"/>
    <w:rsid w:val="47170634"/>
    <w:rsid w:val="47B411D0"/>
    <w:rsid w:val="47C066CC"/>
    <w:rsid w:val="47D55B81"/>
    <w:rsid w:val="48B6365C"/>
    <w:rsid w:val="48C64ECB"/>
    <w:rsid w:val="48FB6A8F"/>
    <w:rsid w:val="493A6E76"/>
    <w:rsid w:val="497F6E31"/>
    <w:rsid w:val="499D3D96"/>
    <w:rsid w:val="49C778F0"/>
    <w:rsid w:val="49DF1C3F"/>
    <w:rsid w:val="49EC488A"/>
    <w:rsid w:val="4A7207A7"/>
    <w:rsid w:val="4AA27F9B"/>
    <w:rsid w:val="4AE47C47"/>
    <w:rsid w:val="4B32363B"/>
    <w:rsid w:val="4B667B2B"/>
    <w:rsid w:val="4B735DE7"/>
    <w:rsid w:val="4BC3729A"/>
    <w:rsid w:val="4BF23E4F"/>
    <w:rsid w:val="4C4607DA"/>
    <w:rsid w:val="4CFF6B43"/>
    <w:rsid w:val="4D4675DD"/>
    <w:rsid w:val="4D6466CB"/>
    <w:rsid w:val="4E092FFA"/>
    <w:rsid w:val="4EF1621C"/>
    <w:rsid w:val="4F523FD7"/>
    <w:rsid w:val="4F7D08F7"/>
    <w:rsid w:val="50016AC2"/>
    <w:rsid w:val="50123898"/>
    <w:rsid w:val="50427E43"/>
    <w:rsid w:val="51AB68BB"/>
    <w:rsid w:val="51BE3532"/>
    <w:rsid w:val="51FF6B10"/>
    <w:rsid w:val="52A73009"/>
    <w:rsid w:val="52D46729"/>
    <w:rsid w:val="530024DC"/>
    <w:rsid w:val="53194738"/>
    <w:rsid w:val="53836818"/>
    <w:rsid w:val="53DA11A0"/>
    <w:rsid w:val="53E32E8A"/>
    <w:rsid w:val="54915BA9"/>
    <w:rsid w:val="54C2402E"/>
    <w:rsid w:val="55FB82E4"/>
    <w:rsid w:val="564B6B63"/>
    <w:rsid w:val="56514C21"/>
    <w:rsid w:val="567345E6"/>
    <w:rsid w:val="568E367B"/>
    <w:rsid w:val="56A70A5C"/>
    <w:rsid w:val="570B3917"/>
    <w:rsid w:val="5749021F"/>
    <w:rsid w:val="5779299C"/>
    <w:rsid w:val="57AB43F8"/>
    <w:rsid w:val="57D85739"/>
    <w:rsid w:val="580F3D30"/>
    <w:rsid w:val="58221A49"/>
    <w:rsid w:val="58B42698"/>
    <w:rsid w:val="592D575A"/>
    <w:rsid w:val="596407D3"/>
    <w:rsid w:val="598B3C51"/>
    <w:rsid w:val="5A573610"/>
    <w:rsid w:val="5B2568B1"/>
    <w:rsid w:val="5B422B8B"/>
    <w:rsid w:val="5B6F6F42"/>
    <w:rsid w:val="5B825CAE"/>
    <w:rsid w:val="5B9B4131"/>
    <w:rsid w:val="5BEF6CB4"/>
    <w:rsid w:val="5C476F4F"/>
    <w:rsid w:val="5C9748E3"/>
    <w:rsid w:val="5CBC6CD8"/>
    <w:rsid w:val="5CD740E4"/>
    <w:rsid w:val="5DB7078B"/>
    <w:rsid w:val="5DC015CE"/>
    <w:rsid w:val="5E0B66F4"/>
    <w:rsid w:val="5E7D3DE6"/>
    <w:rsid w:val="5EE83FD6"/>
    <w:rsid w:val="5F093E9D"/>
    <w:rsid w:val="5F8C425B"/>
    <w:rsid w:val="5FA42D8A"/>
    <w:rsid w:val="6045177F"/>
    <w:rsid w:val="60F308EF"/>
    <w:rsid w:val="61432360"/>
    <w:rsid w:val="6176717E"/>
    <w:rsid w:val="61A76DC0"/>
    <w:rsid w:val="62186AF3"/>
    <w:rsid w:val="622951B8"/>
    <w:rsid w:val="62492AD7"/>
    <w:rsid w:val="62A10B56"/>
    <w:rsid w:val="62BB5C43"/>
    <w:rsid w:val="63653051"/>
    <w:rsid w:val="63737A74"/>
    <w:rsid w:val="637A6826"/>
    <w:rsid w:val="639C2195"/>
    <w:rsid w:val="645B0D09"/>
    <w:rsid w:val="658028C9"/>
    <w:rsid w:val="66116ABA"/>
    <w:rsid w:val="665373D5"/>
    <w:rsid w:val="665A00E6"/>
    <w:rsid w:val="66924654"/>
    <w:rsid w:val="66C1218C"/>
    <w:rsid w:val="66DF3DF0"/>
    <w:rsid w:val="6702026A"/>
    <w:rsid w:val="677B141F"/>
    <w:rsid w:val="67FB3499"/>
    <w:rsid w:val="68467EA7"/>
    <w:rsid w:val="6A2C74F0"/>
    <w:rsid w:val="6A613793"/>
    <w:rsid w:val="6AAB298E"/>
    <w:rsid w:val="6ABE6410"/>
    <w:rsid w:val="6B8D4C87"/>
    <w:rsid w:val="6C2E17BA"/>
    <w:rsid w:val="6D48513C"/>
    <w:rsid w:val="6D762C20"/>
    <w:rsid w:val="6E1950F6"/>
    <w:rsid w:val="6E310AD8"/>
    <w:rsid w:val="6E940B7A"/>
    <w:rsid w:val="6FBFAB9A"/>
    <w:rsid w:val="6FF9CA01"/>
    <w:rsid w:val="703A272E"/>
    <w:rsid w:val="717C721C"/>
    <w:rsid w:val="719566D4"/>
    <w:rsid w:val="72294B2F"/>
    <w:rsid w:val="74D06A77"/>
    <w:rsid w:val="75065DB7"/>
    <w:rsid w:val="76CC29FB"/>
    <w:rsid w:val="770F35FE"/>
    <w:rsid w:val="777B5002"/>
    <w:rsid w:val="77FB6B4C"/>
    <w:rsid w:val="77FB9376"/>
    <w:rsid w:val="78477BB6"/>
    <w:rsid w:val="785A5B03"/>
    <w:rsid w:val="79C4024E"/>
    <w:rsid w:val="79FC265D"/>
    <w:rsid w:val="7A5B9116"/>
    <w:rsid w:val="7ABE4CD1"/>
    <w:rsid w:val="7AFE606B"/>
    <w:rsid w:val="7B5254FB"/>
    <w:rsid w:val="7B5935FD"/>
    <w:rsid w:val="7BB27F43"/>
    <w:rsid w:val="7BB72EDA"/>
    <w:rsid w:val="7BDB6CDC"/>
    <w:rsid w:val="7C340505"/>
    <w:rsid w:val="7C471EE4"/>
    <w:rsid w:val="7CEF2CDE"/>
    <w:rsid w:val="7D4635B2"/>
    <w:rsid w:val="7D64173C"/>
    <w:rsid w:val="7D777A3E"/>
    <w:rsid w:val="7DFC1F91"/>
    <w:rsid w:val="7E0916DD"/>
    <w:rsid w:val="7E405882"/>
    <w:rsid w:val="7EA254FE"/>
    <w:rsid w:val="7EA875E5"/>
    <w:rsid w:val="7F3F716A"/>
    <w:rsid w:val="A7EFDA38"/>
    <w:rsid w:val="B5668F57"/>
    <w:rsid w:val="D68E3D55"/>
    <w:rsid w:val="D6BB14F3"/>
    <w:rsid w:val="DCF729B3"/>
    <w:rsid w:val="DFA96B7F"/>
    <w:rsid w:val="DFDF394B"/>
    <w:rsid w:val="F3AB2DC1"/>
    <w:rsid w:val="F5EF3D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1"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4"/>
    <w:qFormat/>
    <w:uiPriority w:val="99"/>
    <w:pPr>
      <w:keepNext/>
      <w:keepLines/>
      <w:spacing w:before="260" w:after="260" w:line="416" w:lineRule="auto"/>
      <w:outlineLvl w:val="2"/>
    </w:pPr>
    <w:rPr>
      <w:rFonts w:cs="黑体" w:asciiTheme="majorEastAsia" w:hAnsiTheme="majorEastAsia" w:eastAsiaTheme="majorEastAsia"/>
      <w:b/>
      <w:bCs/>
      <w:kern w:val="0"/>
      <w:sz w:val="28"/>
      <w:szCs w:val="28"/>
    </w:rPr>
  </w:style>
  <w:style w:type="paragraph" w:styleId="5">
    <w:name w:val="heading 4"/>
    <w:basedOn w:val="1"/>
    <w:next w:val="1"/>
    <w:link w:val="48"/>
    <w:unhideWhenUsed/>
    <w:qFormat/>
    <w:locked/>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5"/>
    <w:semiHidden/>
    <w:qFormat/>
    <w:uiPriority w:val="99"/>
    <w:pPr>
      <w:jc w:val="left"/>
    </w:pPr>
    <w:rPr>
      <w:kern w:val="0"/>
      <w:sz w:val="20"/>
      <w:szCs w:val="21"/>
    </w:rPr>
  </w:style>
  <w:style w:type="paragraph" w:styleId="7">
    <w:name w:val="Body Text"/>
    <w:basedOn w:val="1"/>
    <w:link w:val="47"/>
    <w:qFormat/>
    <w:locked/>
    <w:uiPriority w:val="1"/>
    <w:pPr>
      <w:autoSpaceDE w:val="0"/>
      <w:autoSpaceDN w:val="0"/>
      <w:jc w:val="left"/>
    </w:pPr>
    <w:rPr>
      <w:rFonts w:ascii="宋体" w:hAnsi="宋体" w:cs="宋体"/>
      <w:kern w:val="0"/>
      <w:szCs w:val="21"/>
    </w:rPr>
  </w:style>
  <w:style w:type="paragraph" w:styleId="8">
    <w:name w:val="Date"/>
    <w:basedOn w:val="1"/>
    <w:next w:val="1"/>
    <w:link w:val="36"/>
    <w:semiHidden/>
    <w:qFormat/>
    <w:uiPriority w:val="99"/>
    <w:pPr>
      <w:ind w:left="100" w:leftChars="2500"/>
    </w:pPr>
  </w:style>
  <w:style w:type="paragraph" w:styleId="9">
    <w:name w:val="Balloon Text"/>
    <w:basedOn w:val="1"/>
    <w:link w:val="37"/>
    <w:semiHidden/>
    <w:qFormat/>
    <w:uiPriority w:val="99"/>
    <w:rPr>
      <w:kern w:val="0"/>
      <w:sz w:val="18"/>
      <w:szCs w:val="18"/>
    </w:rPr>
  </w:style>
  <w:style w:type="paragraph" w:styleId="10">
    <w:name w:val="footer"/>
    <w:basedOn w:val="1"/>
    <w:link w:val="38"/>
    <w:qFormat/>
    <w:uiPriority w:val="99"/>
    <w:pPr>
      <w:tabs>
        <w:tab w:val="center" w:pos="4153"/>
        <w:tab w:val="right" w:pos="8306"/>
      </w:tabs>
      <w:snapToGrid w:val="0"/>
      <w:jc w:val="left"/>
    </w:pPr>
    <w:rPr>
      <w:kern w:val="0"/>
      <w:sz w:val="18"/>
      <w:szCs w:val="18"/>
    </w:rPr>
  </w:style>
  <w:style w:type="paragraph" w:styleId="11">
    <w:name w:val="header"/>
    <w:basedOn w:val="1"/>
    <w:link w:val="39"/>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99"/>
    <w:pPr>
      <w:tabs>
        <w:tab w:val="right" w:leader="dot" w:pos="9241"/>
      </w:tabs>
      <w:spacing w:beforeLines="25" w:afterLines="25"/>
      <w:jc w:val="left"/>
    </w:pPr>
    <w:rPr>
      <w:rFonts w:ascii="宋体"/>
      <w:szCs w:val="21"/>
    </w:rPr>
  </w:style>
  <w:style w:type="paragraph" w:styleId="13">
    <w:name w:val="toc 2"/>
    <w:basedOn w:val="1"/>
    <w:next w:val="1"/>
    <w:qFormat/>
    <w:uiPriority w:val="99"/>
    <w:pPr>
      <w:tabs>
        <w:tab w:val="right" w:leader="dot" w:pos="9241"/>
      </w:tabs>
    </w:pPr>
    <w:rPr>
      <w:rFonts w:ascii="宋体"/>
      <w:szCs w:val="21"/>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7">
    <w:name w:val="Strong"/>
    <w:basedOn w:val="16"/>
    <w:qFormat/>
    <w:locked/>
    <w:uiPriority w:val="22"/>
    <w:rPr>
      <w:b/>
      <w:bCs/>
    </w:rPr>
  </w:style>
  <w:style w:type="character" w:styleId="18">
    <w:name w:val="Emphasis"/>
    <w:basedOn w:val="16"/>
    <w:qFormat/>
    <w:locked/>
    <w:uiPriority w:val="20"/>
    <w:rPr>
      <w:i/>
    </w:rPr>
  </w:style>
  <w:style w:type="character" w:styleId="19">
    <w:name w:val="Hyperlink"/>
    <w:semiHidden/>
    <w:qFormat/>
    <w:uiPriority w:val="99"/>
    <w:rPr>
      <w:rFonts w:cs="Times New Roman"/>
      <w:color w:val="0000CC"/>
      <w:u w:val="single"/>
    </w:rPr>
  </w:style>
  <w:style w:type="character" w:styleId="20">
    <w:name w:val="annotation reference"/>
    <w:semiHidden/>
    <w:qFormat/>
    <w:uiPriority w:val="99"/>
    <w:rPr>
      <w:rFonts w:cs="Times New Roman"/>
      <w:sz w:val="21"/>
    </w:rPr>
  </w:style>
  <w:style w:type="paragraph" w:customStyle="1" w:styleId="21">
    <w:name w:val="段"/>
    <w:link w:val="40"/>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22">
    <w:name w:val="列出段落1"/>
    <w:basedOn w:val="1"/>
    <w:qFormat/>
    <w:uiPriority w:val="99"/>
    <w:pPr>
      <w:ind w:firstLine="420" w:firstLineChars="200"/>
    </w:pPr>
  </w:style>
  <w:style w:type="paragraph" w:customStyle="1" w:styleId="23">
    <w:name w:val="目次、标准名称标题"/>
    <w:basedOn w:val="1"/>
    <w:next w:val="21"/>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4">
    <w:name w:val="标准书脚_奇数页"/>
    <w:qFormat/>
    <w:uiPriority w:val="99"/>
    <w:pPr>
      <w:spacing w:before="120"/>
      <w:ind w:right="198"/>
      <w:jc w:val="right"/>
    </w:pPr>
    <w:rPr>
      <w:rFonts w:ascii="宋体" w:hAnsi="Times New Roman" w:eastAsia="宋体" w:cs="Times New Roman"/>
      <w:sz w:val="18"/>
      <w:szCs w:val="18"/>
      <w:lang w:val="en-US" w:eastAsia="zh-CN" w:bidi="ar-SA"/>
    </w:rPr>
  </w:style>
  <w:style w:type="paragraph" w:customStyle="1" w:styleId="2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8">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29">
    <w:name w:val="标准文件_数字编号列项（二级）"/>
    <w:qFormat/>
    <w:uiPriority w:val="0"/>
    <w:pPr>
      <w:numPr>
        <w:ilvl w:val="1"/>
        <w:numId w:val="1"/>
      </w:numPr>
      <w:tabs>
        <w:tab w:val="left" w:pos="851"/>
      </w:tabs>
      <w:jc w:val="both"/>
    </w:pPr>
    <w:rPr>
      <w:rFonts w:ascii="宋体" w:hAnsi="Times New Roman" w:eastAsia="宋体" w:cs="Times New Roman"/>
      <w:sz w:val="21"/>
      <w:lang w:val="en-US" w:eastAsia="zh-CN" w:bidi="ar-SA"/>
    </w:rPr>
  </w:style>
  <w:style w:type="paragraph" w:customStyle="1" w:styleId="30">
    <w:name w:val="标准文件_二级条标题"/>
    <w:next w:val="25"/>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paragraph" w:customStyle="1" w:styleId="31">
    <w:name w:val="标准文件_三级条标题"/>
    <w:next w:val="25"/>
    <w:qFormat/>
    <w:uiPriority w:val="0"/>
    <w:pPr>
      <w:outlineLvl w:val="3"/>
    </w:pPr>
    <w:rPr>
      <w:rFonts w:ascii="Times New Roman" w:hAnsi="Times New Roman" w:eastAsia="宋体" w:cs="Times New Roman"/>
      <w:lang w:val="en-US" w:eastAsia="zh-CN" w:bidi="ar-SA"/>
    </w:rPr>
  </w:style>
  <w:style w:type="character" w:customStyle="1" w:styleId="32">
    <w:name w:val="标题 1 字符"/>
    <w:link w:val="2"/>
    <w:qFormat/>
    <w:locked/>
    <w:uiPriority w:val="99"/>
    <w:rPr>
      <w:rFonts w:cs="Times New Roman"/>
      <w:b/>
      <w:kern w:val="44"/>
      <w:sz w:val="44"/>
    </w:rPr>
  </w:style>
  <w:style w:type="character" w:customStyle="1" w:styleId="33">
    <w:name w:val="标题 2 字符"/>
    <w:link w:val="3"/>
    <w:qFormat/>
    <w:locked/>
    <w:uiPriority w:val="99"/>
    <w:rPr>
      <w:rFonts w:ascii="Cambria" w:hAnsi="Cambria" w:eastAsia="宋体" w:cs="Times New Roman"/>
      <w:b/>
      <w:sz w:val="32"/>
    </w:rPr>
  </w:style>
  <w:style w:type="character" w:customStyle="1" w:styleId="34">
    <w:name w:val="标题 3 字符"/>
    <w:link w:val="4"/>
    <w:qFormat/>
    <w:locked/>
    <w:uiPriority w:val="99"/>
    <w:rPr>
      <w:rFonts w:cs="黑体" w:asciiTheme="majorEastAsia" w:hAnsiTheme="majorEastAsia" w:eastAsiaTheme="majorEastAsia"/>
      <w:b/>
      <w:bCs/>
      <w:sz w:val="28"/>
      <w:szCs w:val="28"/>
    </w:rPr>
  </w:style>
  <w:style w:type="character" w:customStyle="1" w:styleId="35">
    <w:name w:val="批注文字 字符"/>
    <w:link w:val="6"/>
    <w:semiHidden/>
    <w:qFormat/>
    <w:locked/>
    <w:uiPriority w:val="99"/>
    <w:rPr>
      <w:rFonts w:ascii="Calibri" w:hAnsi="Calibri" w:eastAsia="宋体" w:cs="Times New Roman"/>
      <w:sz w:val="21"/>
    </w:rPr>
  </w:style>
  <w:style w:type="character" w:customStyle="1" w:styleId="36">
    <w:name w:val="日期 字符"/>
    <w:link w:val="8"/>
    <w:semiHidden/>
    <w:qFormat/>
    <w:locked/>
    <w:uiPriority w:val="99"/>
    <w:rPr>
      <w:rFonts w:cs="Times New Roman"/>
      <w:kern w:val="2"/>
      <w:sz w:val="22"/>
      <w:szCs w:val="22"/>
    </w:rPr>
  </w:style>
  <w:style w:type="character" w:customStyle="1" w:styleId="37">
    <w:name w:val="批注框文本 字符"/>
    <w:link w:val="9"/>
    <w:semiHidden/>
    <w:qFormat/>
    <w:locked/>
    <w:uiPriority w:val="99"/>
    <w:rPr>
      <w:rFonts w:cs="Times New Roman"/>
      <w:sz w:val="18"/>
    </w:rPr>
  </w:style>
  <w:style w:type="character" w:customStyle="1" w:styleId="38">
    <w:name w:val="页脚 字符"/>
    <w:link w:val="10"/>
    <w:qFormat/>
    <w:locked/>
    <w:uiPriority w:val="99"/>
    <w:rPr>
      <w:rFonts w:cs="Times New Roman"/>
      <w:sz w:val="18"/>
    </w:rPr>
  </w:style>
  <w:style w:type="character" w:customStyle="1" w:styleId="39">
    <w:name w:val="页眉 字符"/>
    <w:link w:val="11"/>
    <w:qFormat/>
    <w:locked/>
    <w:uiPriority w:val="99"/>
    <w:rPr>
      <w:rFonts w:cs="Times New Roman"/>
      <w:sz w:val="18"/>
    </w:rPr>
  </w:style>
  <w:style w:type="character" w:customStyle="1" w:styleId="40">
    <w:name w:val="段 Char"/>
    <w:link w:val="21"/>
    <w:qFormat/>
    <w:locked/>
    <w:uiPriority w:val="99"/>
    <w:rPr>
      <w:rFonts w:ascii="宋体" w:hAnsi="Times New Roman"/>
      <w:sz w:val="22"/>
    </w:rPr>
  </w:style>
  <w:style w:type="character" w:customStyle="1" w:styleId="41">
    <w:name w:val="占位符文本1"/>
    <w:semiHidden/>
    <w:qFormat/>
    <w:uiPriority w:val="99"/>
    <w:rPr>
      <w:rFonts w:cs="Times New Roman"/>
      <w:color w:val="808080"/>
    </w:rPr>
  </w:style>
  <w:style w:type="character" w:customStyle="1" w:styleId="42">
    <w:name w:val="fontstyle01"/>
    <w:qFormat/>
    <w:uiPriority w:val="0"/>
    <w:rPr>
      <w:rFonts w:ascii="宋体" w:hAnsi="宋体" w:eastAsia="宋体" w:cs="宋体"/>
      <w:color w:val="000000"/>
      <w:sz w:val="22"/>
      <w:szCs w:val="22"/>
    </w:rPr>
  </w:style>
  <w:style w:type="paragraph" w:customStyle="1" w:styleId="43">
    <w:name w:val="一级条标题"/>
    <w:next w:val="21"/>
    <w:qFormat/>
    <w:uiPriority w:val="0"/>
    <w:pPr>
      <w:numPr>
        <w:ilvl w:val="1"/>
        <w:numId w:val="3"/>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44">
    <w:name w:val="二级条标题"/>
    <w:basedOn w:val="43"/>
    <w:next w:val="21"/>
    <w:qFormat/>
    <w:uiPriority w:val="0"/>
    <w:pPr>
      <w:numPr>
        <w:ilvl w:val="2"/>
      </w:numPr>
      <w:spacing w:before="50" w:after="50"/>
      <w:outlineLvl w:val="3"/>
    </w:pPr>
  </w:style>
  <w:style w:type="paragraph" w:customStyle="1" w:styleId="45">
    <w:name w:val="标准文件_章标题"/>
    <w:next w:val="25"/>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6">
    <w:name w:val="标准文件_一级条标题"/>
    <w:basedOn w:val="45"/>
    <w:next w:val="25"/>
    <w:qFormat/>
    <w:uiPriority w:val="0"/>
    <w:pPr>
      <w:numPr>
        <w:ilvl w:val="2"/>
      </w:numPr>
      <w:spacing w:before="50" w:beforeLines="50" w:after="50" w:afterLines="50"/>
      <w:outlineLvl w:val="1"/>
    </w:pPr>
  </w:style>
  <w:style w:type="character" w:customStyle="1" w:styleId="47">
    <w:name w:val="正文文本 字符"/>
    <w:basedOn w:val="16"/>
    <w:link w:val="7"/>
    <w:qFormat/>
    <w:uiPriority w:val="1"/>
    <w:rPr>
      <w:rFonts w:ascii="宋体" w:hAnsi="宋体" w:cs="宋体"/>
      <w:sz w:val="21"/>
      <w:szCs w:val="21"/>
    </w:rPr>
  </w:style>
  <w:style w:type="character" w:customStyle="1" w:styleId="48">
    <w:name w:val="标题 4 字符"/>
    <w:basedOn w:val="16"/>
    <w:link w:val="5"/>
    <w:qFormat/>
    <w:uiPriority w:val="9"/>
    <w:rPr>
      <w:rFonts w:asciiTheme="majorHAnsi" w:hAnsiTheme="majorHAnsi" w:eastAsiaTheme="majorEastAsia" w:cstheme="majorBidi"/>
      <w:b/>
      <w:bCs/>
      <w:kern w:val="2"/>
      <w:sz w:val="28"/>
      <w:szCs w:val="28"/>
    </w:rPr>
  </w:style>
  <w:style w:type="character" w:customStyle="1" w:styleId="49">
    <w:name w:val="apple-converted-space"/>
    <w:basedOn w:val="16"/>
    <w:qFormat/>
    <w:uiPriority w:val="0"/>
  </w:style>
  <w:style w:type="paragraph" w:customStyle="1" w:styleId="5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3650</Words>
  <Characters>3972</Characters>
  <Lines>732</Lines>
  <Paragraphs>524</Paragraphs>
  <TotalTime>52</TotalTime>
  <ScaleCrop>false</ScaleCrop>
  <LinksUpToDate>false</LinksUpToDate>
  <CharactersWithSpaces>4083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2025-08-20T09:08:00Z</dcterms:created>
  <dc:creator>liu</dc:creator>
  <cp:lastModifiedBy>老兔子</cp:lastModifiedBy>
  <cp:lastPrinted>2020-06-02T08:06:00Z</cp:lastPrinted>
  <dcterms:modified xsi:type="dcterms:W3CDTF">2025-08-21T05:33:14Z</dcterms:modified>
  <dc:title>中国仪器仪表行业协会团体标准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026DF71413C5415093DEE74A7A10492F_13</vt:lpwstr>
  </property>
  <property fmtid="{D5CDD505-2E9C-101B-9397-08002B2CF9AE}" pid="4" name="KSOTemplateDocerSaveRecord">
    <vt:lpwstr>eyJoZGlkIjoiODE2ZmIwNmJmZTI5ZWNhNTI3M2U2MzliNWE3ZmM3MWEiLCJ1c2VySWQiOiIxMDI2NjMzMDU4In0=</vt:lpwstr>
  </property>
</Properties>
</file>