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5FFD9">
      <w:pPr>
        <w:spacing w:after="0" w:line="300" w:lineRule="auto"/>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t>ICS 17.220.20</w:t>
      </w:r>
    </w:p>
    <w:p w14:paraId="59876680">
      <w:pPr>
        <w:spacing w:after="0" w:line="300" w:lineRule="auto"/>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t>CCS N 20</w:t>
      </w:r>
    </w:p>
    <w:p w14:paraId="25E1D70F">
      <w:pPr>
        <w:spacing w:before="14" w:after="0" w:line="240" w:lineRule="auto"/>
        <w:jc w:val="right"/>
        <w:rPr>
          <w:rFonts w:hint="eastAsia" w:asciiTheme="minorEastAsia" w:hAnsiTheme="minorEastAsia" w:eastAsiaTheme="minorEastAsia"/>
          <w:b/>
          <w:bCs/>
          <w:w w:val="130"/>
          <w:kern w:val="0"/>
          <w:sz w:val="96"/>
          <w:szCs w:val="96"/>
        </w:rPr>
      </w:pPr>
    </w:p>
    <w:p w14:paraId="6C081180">
      <w:pPr>
        <w:spacing w:after="0" w:line="240" w:lineRule="auto"/>
        <w:jc w:val="left"/>
        <w:rPr>
          <w:rFonts w:hint="eastAsia" w:asciiTheme="minorEastAsia" w:hAnsiTheme="minorEastAsia" w:eastAsiaTheme="minorEastAsia"/>
          <w:kern w:val="0"/>
          <w:szCs w:val="20"/>
        </w:rPr>
      </w:pPr>
    </w:p>
    <w:p w14:paraId="1F06A6E9">
      <w:pPr>
        <w:spacing w:after="0" w:line="240" w:lineRule="auto"/>
        <w:jc w:val="distribute"/>
        <w:rPr>
          <w:rFonts w:hint="eastAsia" w:ascii="黑体" w:hAnsi="黑体" w:eastAsia="黑体" w:cs="黑体"/>
          <w:sz w:val="48"/>
          <w:szCs w:val="48"/>
        </w:rPr>
      </w:pPr>
      <w:r>
        <w:rPr>
          <w:rFonts w:hint="eastAsia" w:ascii="黑体" w:hAnsi="黑体" w:eastAsia="黑体" w:cs="黑体"/>
          <w:sz w:val="48"/>
          <w:szCs w:val="48"/>
        </w:rPr>
        <w:t>团   体   标   准</w:t>
      </w:r>
    </w:p>
    <w:p w14:paraId="357CB4FD">
      <w:pPr>
        <w:spacing w:before="1" w:after="0" w:line="280" w:lineRule="exact"/>
        <w:jc w:val="left"/>
        <w:rPr>
          <w:rFonts w:hint="eastAsia" w:asciiTheme="minorEastAsia" w:hAnsiTheme="minorEastAsia" w:eastAsiaTheme="minorEastAsia"/>
          <w:kern w:val="0"/>
          <w:sz w:val="28"/>
          <w:szCs w:val="28"/>
        </w:rPr>
      </w:pPr>
    </w:p>
    <w:p w14:paraId="30881845">
      <w:pPr>
        <w:spacing w:after="0" w:line="240" w:lineRule="auto"/>
        <w:jc w:val="right"/>
        <w:rPr>
          <w:rFonts w:hint="eastAsia" w:asciiTheme="minorEastAsia" w:hAnsiTheme="minorEastAsia" w:eastAsiaTheme="minorEastAsia"/>
          <w:lang w:val="en-US" w:eastAsia="zh-CN"/>
        </w:rPr>
      </w:pPr>
      <w:r>
        <w:rPr>
          <w:rFonts w:hint="eastAsia" w:asciiTheme="minorEastAsia" w:hAnsiTheme="minorEastAsia" w:eastAsiaTheme="minorEastAsia"/>
          <w:spacing w:val="1"/>
        </w:rPr>
        <w:t>T</w:t>
      </w:r>
      <w:r>
        <w:rPr>
          <w:rFonts w:hint="eastAsia" w:asciiTheme="minorEastAsia" w:hAnsiTheme="minorEastAsia" w:eastAsiaTheme="minorEastAsia"/>
        </w:rPr>
        <w:t xml:space="preserve">/CIMA </w:t>
      </w:r>
      <w:r>
        <w:rPr>
          <w:rFonts w:hint="eastAsia" w:asciiTheme="minorEastAsia" w:hAnsiTheme="minorEastAsia" w:eastAsiaTheme="minorEastAsia"/>
          <w:spacing w:val="1"/>
        </w:rPr>
        <w:t xml:space="preserve"> </w:t>
      </w:r>
      <w:r>
        <w:rPr>
          <w:rFonts w:hint="eastAsia" w:asciiTheme="minorEastAsia" w:hAnsiTheme="minorEastAsia" w:eastAsiaTheme="minorEastAsia"/>
        </w:rPr>
        <w:t>0156</w:t>
      </w:r>
      <w:r>
        <w:rPr>
          <w:rFonts w:hint="eastAsia" w:cs="Calibri" w:asciiTheme="minorEastAsia" w:hAnsiTheme="minorEastAsia" w:eastAsiaTheme="minorEastAsia"/>
        </w:rPr>
        <w:t>­</w:t>
      </w:r>
      <w:r>
        <w:rPr>
          <w:rFonts w:hint="eastAsia" w:asciiTheme="minorEastAsia" w:hAnsiTheme="minorEastAsia" w:eastAsiaTheme="minorEastAsia"/>
        </w:rPr>
        <w:t>202</w:t>
      </w:r>
      <w:r>
        <w:rPr>
          <w:rFonts w:hint="eastAsia" w:asciiTheme="minorEastAsia" w:hAnsiTheme="minorEastAsia" w:eastAsiaTheme="minorEastAsia"/>
          <w:lang w:val="en-US" w:eastAsia="zh-CN"/>
        </w:rPr>
        <w:t>X</w:t>
      </w:r>
    </w:p>
    <w:p w14:paraId="3DE6D3BD">
      <w:pPr>
        <w:spacing w:after="0" w:line="200" w:lineRule="exact"/>
        <w:jc w:val="left"/>
        <w:rPr>
          <w:rFonts w:hint="eastAsia" w:asciiTheme="minorEastAsia" w:hAnsiTheme="minorEastAsia" w:eastAsiaTheme="minorEastAsia"/>
          <w:kern w:val="0"/>
          <w:sz w:val="20"/>
          <w:szCs w:val="20"/>
        </w:rPr>
      </w:pPr>
    </w:p>
    <w:p w14:paraId="105F07E9">
      <w:pPr>
        <w:spacing w:after="0" w:line="200" w:lineRule="exact"/>
        <w:jc w:val="left"/>
        <w:rPr>
          <w:kern w:val="0"/>
          <w:sz w:val="20"/>
          <w:szCs w:val="20"/>
        </w:rPr>
      </w:pPr>
    </w:p>
    <w:p w14:paraId="244B1EC5">
      <w:pPr>
        <w:spacing w:after="0" w:line="200" w:lineRule="exact"/>
        <w:jc w:val="left"/>
        <w:rPr>
          <w:kern w:val="0"/>
          <w:sz w:val="20"/>
          <w:szCs w:val="20"/>
        </w:rPr>
      </w:pPr>
      <w:r>
        <mc:AlternateContent>
          <mc:Choice Requires="wpg">
            <w:drawing>
              <wp:anchor distT="0" distB="0" distL="114300" distR="114300" simplePos="0" relativeHeight="251659264" behindDoc="1" locked="0" layoutInCell="1" allowOverlap="1">
                <wp:simplePos x="0" y="0"/>
                <wp:positionH relativeFrom="margin">
                  <wp:align>left</wp:align>
                </wp:positionH>
                <wp:positionV relativeFrom="paragraph">
                  <wp:posOffset>9525</wp:posOffset>
                </wp:positionV>
                <wp:extent cx="6334125" cy="152400"/>
                <wp:effectExtent l="0" t="0" r="0" b="0"/>
                <wp:wrapNone/>
                <wp:docPr id="1" name="组合 85"/>
                <wp:cNvGraphicFramePr/>
                <a:graphic xmlns:a="http://schemas.openxmlformats.org/drawingml/2006/main">
                  <a:graphicData uri="http://schemas.microsoft.com/office/word/2010/wordprocessingGroup">
                    <wpg:wgp>
                      <wpg:cNvGrpSpPr/>
                      <wpg:grpSpPr>
                        <a:xfrm>
                          <a:off x="0" y="0"/>
                          <a:ext cx="6334125" cy="152400"/>
                          <a:chOff x="1417" y="1136"/>
                          <a:chExt cx="9638" cy="2"/>
                        </a:xfrm>
                        <a:effectLst/>
                      </wpg:grpSpPr>
                      <wps:wsp>
                        <wps:cNvPr id="86" name="Freeform 32"/>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组合 85" o:spid="_x0000_s1026" o:spt="203" style="position:absolute;left:0pt;margin-top:0.75pt;height:12pt;width:498.75pt;mso-position-horizontal:left;mso-position-horizontal-relative:margin;z-index:-251657216;mso-width-relative:page;mso-height-relative:page;" coordorigin="1417,1136" coordsize="9638,2" o:gfxdata="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A6A/yt1gAAAAUBAAAPAAAAAAAAAAEAIAAAACIAAABkcnMvZG93bnJldi54bWxQSwEC&#10;FAAUAAAACACHTuJAWsRbLxMDAAANBwAADgAAAAAAAAABACAAAAAlAQAAZHJzL2Uyb0RvYy54bWxQ&#10;SwUGAAAAAAYABgBZAQAAqgYAAAAA&#10;">
                <o:lock v:ext="edit" aspectratio="f"/>
                <v:shape id="Freeform 32" o:spid="_x0000_s1026" o:spt="100" style="position:absolute;left:1417;top:1136;height:2;width:9638;" filled="f" stroked="t" coordsize="9638,1" o:gfxdata="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oUob4A&#10;AADbAAAADwAAAAAAAAABACAAAAAiAAAAZHJzL2Rvd25yZXYueG1sUEsBAhQAFAAAAAgAh07iQDMv&#10;BZ47AAAAOQAAABAAAAAAAAAAAQAgAAAADQEAAGRycy9zaGFwZXhtbC54bWxQSwUGAAAAAAYABgBb&#10;AQAAtwMAAAAA&#10;" path="m0,0l9638,0e">
                  <v:path o:connectlocs="0,0;9638,0" o:connectangles="0,0"/>
                  <v:fill on="f" focussize="0,0"/>
                  <v:stroke color="#000000" joinstyle="round"/>
                  <v:imagedata o:title=""/>
                  <o:lock v:ext="edit" aspectratio="f"/>
                </v:shape>
              </v:group>
            </w:pict>
          </mc:Fallback>
        </mc:AlternateContent>
      </w:r>
    </w:p>
    <w:p w14:paraId="4ADD5418">
      <w:pPr>
        <w:spacing w:line="200" w:lineRule="exact"/>
        <w:jc w:val="left"/>
        <w:rPr>
          <w:kern w:val="0"/>
          <w:sz w:val="20"/>
          <w:szCs w:val="20"/>
        </w:rPr>
      </w:pPr>
    </w:p>
    <w:p w14:paraId="3AA95CBA">
      <w:pPr>
        <w:spacing w:line="200" w:lineRule="exact"/>
        <w:jc w:val="left"/>
        <w:rPr>
          <w:kern w:val="0"/>
          <w:sz w:val="20"/>
          <w:szCs w:val="20"/>
        </w:rPr>
      </w:pPr>
    </w:p>
    <w:p w14:paraId="370864E1">
      <w:pPr>
        <w:spacing w:line="200" w:lineRule="exact"/>
        <w:jc w:val="left"/>
        <w:rPr>
          <w:kern w:val="0"/>
          <w:sz w:val="20"/>
          <w:szCs w:val="20"/>
        </w:rPr>
      </w:pPr>
    </w:p>
    <w:p w14:paraId="002EAC5B">
      <w:pPr>
        <w:spacing w:line="360" w:lineRule="auto"/>
        <w:jc w:val="center"/>
        <w:rPr>
          <w:rFonts w:hint="eastAsia" w:ascii="黑体" w:hAnsi="黑体" w:eastAsia="黑体" w:cs="黑体"/>
          <w:kern w:val="0"/>
          <w:sz w:val="48"/>
          <w:szCs w:val="52"/>
        </w:rPr>
      </w:pPr>
      <w:r>
        <w:rPr>
          <w:rFonts w:hint="eastAsia" w:ascii="黑体" w:hAnsi="黑体" w:eastAsia="黑体" w:cs="黑体"/>
          <w:kern w:val="0"/>
          <w:sz w:val="48"/>
          <w:szCs w:val="52"/>
        </w:rPr>
        <w:t>基于拆回电能表故障现象分析的电能表质量评价方法</w:t>
      </w:r>
    </w:p>
    <w:p w14:paraId="62F0E2E6">
      <w:pPr>
        <w:jc w:val="center"/>
        <w:rPr>
          <w:rFonts w:ascii="Times New Roman" w:hAnsi="Times New Roman" w:eastAsia="黑体"/>
          <w:kern w:val="0"/>
          <w:sz w:val="36"/>
          <w:szCs w:val="52"/>
        </w:rPr>
      </w:pPr>
      <w:r>
        <w:rPr>
          <w:rFonts w:hint="eastAsia" w:ascii="Times New Roman" w:hAnsi="Times New Roman" w:eastAsia="黑体"/>
          <w:kern w:val="0"/>
          <w:sz w:val="36"/>
          <w:szCs w:val="52"/>
        </w:rPr>
        <w:t xml:space="preserve">Quality evaluation </w:t>
      </w:r>
      <w:r>
        <w:rPr>
          <w:rFonts w:hint="eastAsia" w:ascii="Times New Roman" w:hAnsi="Times New Roman" w:eastAsia="黑体"/>
          <w:kern w:val="0"/>
          <w:sz w:val="36"/>
          <w:szCs w:val="52"/>
          <w:lang w:val="en-US" w:eastAsia="zh-CN"/>
        </w:rPr>
        <w:t xml:space="preserve">method </w:t>
      </w:r>
      <w:r>
        <w:rPr>
          <w:rFonts w:hint="eastAsia" w:ascii="Times New Roman" w:hAnsi="Times New Roman" w:eastAsia="黑体"/>
          <w:kern w:val="0"/>
          <w:sz w:val="36"/>
          <w:szCs w:val="52"/>
        </w:rPr>
        <w:t xml:space="preserve">of electricity meter based on fault </w:t>
      </w:r>
      <w:r>
        <w:rPr>
          <w:rFonts w:ascii="Times New Roman" w:hAnsi="Times New Roman" w:eastAsia="黑体"/>
          <w:kern w:val="0"/>
          <w:sz w:val="36"/>
          <w:szCs w:val="52"/>
        </w:rPr>
        <w:t>phenomenon of retrieved electric</w:t>
      </w:r>
      <w:r>
        <w:rPr>
          <w:rFonts w:hint="eastAsia" w:ascii="Times New Roman" w:hAnsi="Times New Roman" w:eastAsia="黑体"/>
          <w:kern w:val="0"/>
          <w:sz w:val="36"/>
          <w:szCs w:val="52"/>
        </w:rPr>
        <w:t>ity</w:t>
      </w:r>
      <w:r>
        <w:rPr>
          <w:rFonts w:ascii="Times New Roman" w:hAnsi="Times New Roman" w:eastAsia="黑体"/>
          <w:kern w:val="0"/>
          <w:sz w:val="36"/>
          <w:szCs w:val="52"/>
        </w:rPr>
        <w:t xml:space="preserve"> meter</w:t>
      </w:r>
    </w:p>
    <w:p w14:paraId="6ADCE4EE">
      <w:pPr>
        <w:spacing w:line="200" w:lineRule="exact"/>
        <w:jc w:val="left"/>
        <w:rPr>
          <w:kern w:val="0"/>
          <w:sz w:val="20"/>
          <w:szCs w:val="20"/>
        </w:rPr>
      </w:pPr>
    </w:p>
    <w:p w14:paraId="3AEE2CAA">
      <w:pPr>
        <w:jc w:val="center"/>
      </w:pPr>
      <w:r>
        <w:rPr>
          <w:rFonts w:hint="eastAsia"/>
        </w:rPr>
        <w:t>在提交反馈意见时，请将您知道的相关专利连同支持性文件一并附上。</w:t>
      </w:r>
    </w:p>
    <w:p w14:paraId="10997BAE">
      <w:pPr>
        <w:spacing w:line="200" w:lineRule="exact"/>
        <w:jc w:val="left"/>
        <w:rPr>
          <w:kern w:val="0"/>
          <w:sz w:val="20"/>
          <w:szCs w:val="20"/>
        </w:rPr>
      </w:pPr>
    </w:p>
    <w:p w14:paraId="1BA22C2A">
      <w:pPr>
        <w:pStyle w:val="52"/>
        <w:jc w:val="center"/>
      </w:pPr>
      <w:r>
        <w:rPr>
          <w:rFonts w:hint="eastAsia"/>
          <w:lang w:eastAsia="zh-CN"/>
        </w:rPr>
        <w:t>（</w:t>
      </w:r>
      <w:r>
        <w:rPr>
          <w:rFonts w:hint="eastAsia"/>
          <w:lang w:val="en-US" w:eastAsia="zh-CN"/>
        </w:rPr>
        <w:t>征求意见稿</w:t>
      </w:r>
      <w:r>
        <w:rPr>
          <w:rFonts w:hint="eastAsia"/>
          <w:lang w:eastAsia="zh-CN"/>
        </w:rPr>
        <w:t>）</w:t>
      </w:r>
    </w:p>
    <w:p w14:paraId="6713D88A">
      <w:pPr>
        <w:pStyle w:val="53"/>
        <w:jc w:val="center"/>
        <w:rPr>
          <w:kern w:val="0"/>
          <w:sz w:val="20"/>
          <w:szCs w:val="20"/>
        </w:rPr>
      </w:pPr>
      <w:r>
        <w:rPr>
          <w:rFonts w:hint="eastAsia"/>
          <w:sz w:val="32"/>
          <w:szCs w:val="32"/>
        </w:rPr>
        <w:t>20250</w:t>
      </w:r>
      <w:r>
        <w:rPr>
          <w:rFonts w:hint="eastAsia"/>
          <w:sz w:val="32"/>
          <w:szCs w:val="32"/>
          <w:lang w:val="en-US" w:eastAsia="zh-CN"/>
        </w:rPr>
        <w:t>911</w:t>
      </w:r>
    </w:p>
    <w:p w14:paraId="12F4CA78">
      <w:pPr>
        <w:pStyle w:val="53"/>
        <w:rPr>
          <w:kern w:val="0"/>
          <w:sz w:val="20"/>
          <w:szCs w:val="20"/>
        </w:rPr>
      </w:pPr>
    </w:p>
    <w:p w14:paraId="4EBECD8B">
      <w:pPr>
        <w:spacing w:line="200" w:lineRule="exact"/>
        <w:jc w:val="left"/>
        <w:rPr>
          <w:kern w:val="0"/>
          <w:sz w:val="20"/>
          <w:szCs w:val="20"/>
        </w:rPr>
      </w:pPr>
    </w:p>
    <w:p w14:paraId="7AF80B5F">
      <w:pPr>
        <w:spacing w:before="19" w:line="200" w:lineRule="exact"/>
        <w:jc w:val="left"/>
        <w:rPr>
          <w:kern w:val="0"/>
          <w:sz w:val="20"/>
          <w:szCs w:val="20"/>
        </w:rPr>
      </w:pPr>
    </w:p>
    <w:p w14:paraId="71DA6DDF">
      <w:pPr>
        <w:spacing w:before="19" w:line="200" w:lineRule="exact"/>
        <w:jc w:val="left"/>
        <w:rPr>
          <w:kern w:val="0"/>
          <w:sz w:val="20"/>
          <w:szCs w:val="20"/>
        </w:rPr>
      </w:pPr>
    </w:p>
    <w:p w14:paraId="76B3A434">
      <w:pPr>
        <w:tabs>
          <w:tab w:val="left" w:pos="6597"/>
          <w:tab w:val="left" w:pos="7317"/>
        </w:tabs>
        <w:spacing w:line="480" w:lineRule="auto"/>
        <w:ind w:left="2137" w:right="118" w:hanging="2137"/>
        <w:jc w:val="center"/>
        <w:rPr>
          <w:rFonts w:hint="eastAsia" w:ascii="黑体" w:hAnsi="黑体" w:eastAsia="黑体" w:cs="黑体"/>
          <w:w w:val="110"/>
          <w:kern w:val="0"/>
          <w:sz w:val="28"/>
          <w:szCs w:val="28"/>
        </w:rPr>
      </w:pPr>
      <w:r>
        <w:rPr>
          <w:rFonts w:ascii="宋体" w:hAnsi="宋体" w:cs="黑体"/>
          <w:b/>
          <w:w w:val="110"/>
          <w:kern w:val="0"/>
          <w:sz w:val="28"/>
          <w:szCs w:val="28"/>
          <w:u w:val="single" w:color="000000"/>
        </w:rPr>
        <w:t>xxxx</w:t>
      </w:r>
      <w:r>
        <w:rPr>
          <w:rFonts w:hint="eastAsia" w:ascii="宋体" w:hAnsi="宋体" w:cs="黑体"/>
          <w:b/>
          <w:w w:val="110"/>
          <w:kern w:val="0"/>
          <w:sz w:val="28"/>
          <w:szCs w:val="28"/>
          <w:u w:val="single" w:color="000000"/>
        </w:rPr>
        <w:t>­</w:t>
      </w:r>
      <w:r>
        <w:rPr>
          <w:rFonts w:ascii="宋体" w:hAnsi="宋体" w:cs="黑体"/>
          <w:b/>
          <w:spacing w:val="1"/>
          <w:w w:val="110"/>
          <w:kern w:val="0"/>
          <w:sz w:val="28"/>
          <w:szCs w:val="28"/>
          <w:u w:val="single" w:color="000000"/>
        </w:rPr>
        <w:t>xx</w:t>
      </w:r>
      <w:r>
        <w:rPr>
          <w:rFonts w:hint="eastAsia" w:ascii="宋体" w:hAnsi="宋体" w:cs="黑体"/>
          <w:b/>
          <w:w w:val="110"/>
          <w:kern w:val="0"/>
          <w:sz w:val="28"/>
          <w:szCs w:val="28"/>
          <w:u w:val="single" w:color="000000"/>
        </w:rPr>
        <w:t>­</w:t>
      </w:r>
      <w:r>
        <w:rPr>
          <w:rFonts w:ascii="宋体" w:hAnsi="宋体" w:cs="黑体"/>
          <w:b/>
          <w:spacing w:val="-3"/>
          <w:w w:val="110"/>
          <w:kern w:val="0"/>
          <w:sz w:val="28"/>
          <w:szCs w:val="28"/>
          <w:u w:val="single" w:color="000000"/>
        </w:rPr>
        <w:t>xx</w:t>
      </w:r>
      <w:r>
        <w:rPr>
          <w:rFonts w:ascii="黑体" w:hAnsi="黑体" w:eastAsia="黑体" w:cs="黑体"/>
          <w:spacing w:val="-86"/>
          <w:w w:val="110"/>
          <w:kern w:val="0"/>
          <w:sz w:val="28"/>
          <w:szCs w:val="28"/>
          <w:u w:val="single" w:color="000000"/>
        </w:rPr>
        <w:t xml:space="preserve">            </w:t>
      </w:r>
      <w:r>
        <w:rPr>
          <w:rFonts w:hint="eastAsia" w:ascii="黑体" w:hAnsi="黑体" w:eastAsia="黑体" w:cs="黑体"/>
          <w:spacing w:val="-86"/>
          <w:w w:val="110"/>
          <w:kern w:val="0"/>
          <w:sz w:val="28"/>
          <w:szCs w:val="28"/>
          <w:u w:val="single" w:color="000000"/>
        </w:rPr>
        <w:t xml:space="preserve"> </w:t>
      </w:r>
      <w:r>
        <w:rPr>
          <w:rFonts w:hint="eastAsia" w:ascii="黑体" w:hAnsi="黑体" w:eastAsia="黑体" w:cs="黑体"/>
          <w:w w:val="110"/>
          <w:kern w:val="0"/>
          <w:sz w:val="28"/>
          <w:szCs w:val="28"/>
          <w:u w:val="single" w:color="000000"/>
        </w:rPr>
        <w:t xml:space="preserve"> 发布</w:t>
      </w:r>
      <w:r>
        <w:rPr>
          <w:rFonts w:ascii="黑体" w:hAnsi="黑体" w:eastAsia="黑体" w:cs="黑体"/>
          <w:w w:val="110"/>
          <w:kern w:val="0"/>
          <w:sz w:val="28"/>
          <w:szCs w:val="28"/>
          <w:u w:val="single" w:color="000000"/>
        </w:rPr>
        <w:t xml:space="preserve">                                </w:t>
      </w:r>
      <w:r>
        <w:rPr>
          <w:rFonts w:ascii="宋体" w:hAnsi="宋体" w:cs="黑体"/>
          <w:b/>
          <w:w w:val="110"/>
          <w:kern w:val="0"/>
          <w:sz w:val="28"/>
          <w:szCs w:val="28"/>
          <w:u w:val="single" w:color="000000"/>
        </w:rPr>
        <w:t>xxxx</w:t>
      </w:r>
      <w:r>
        <w:rPr>
          <w:rFonts w:hint="eastAsia" w:ascii="宋体" w:hAnsi="宋体" w:cs="黑体"/>
          <w:b/>
          <w:w w:val="110"/>
          <w:kern w:val="0"/>
          <w:sz w:val="28"/>
          <w:szCs w:val="28"/>
          <w:u w:val="single" w:color="000000"/>
        </w:rPr>
        <w:t>­</w:t>
      </w:r>
      <w:r>
        <w:rPr>
          <w:rFonts w:ascii="宋体" w:hAnsi="宋体" w:cs="黑体"/>
          <w:b/>
          <w:spacing w:val="1"/>
          <w:w w:val="110"/>
          <w:kern w:val="0"/>
          <w:sz w:val="28"/>
          <w:szCs w:val="28"/>
          <w:u w:val="single" w:color="000000"/>
        </w:rPr>
        <w:t>xx</w:t>
      </w:r>
      <w:r>
        <w:rPr>
          <w:rFonts w:hint="eastAsia" w:ascii="宋体" w:hAnsi="宋体" w:cs="黑体"/>
          <w:b/>
          <w:w w:val="110"/>
          <w:kern w:val="0"/>
          <w:sz w:val="28"/>
          <w:szCs w:val="28"/>
          <w:u w:val="single" w:color="000000"/>
        </w:rPr>
        <w:t>­</w:t>
      </w:r>
      <w:r>
        <w:rPr>
          <w:rFonts w:ascii="宋体" w:hAnsi="宋体" w:cs="黑体"/>
          <w:b/>
          <w:spacing w:val="-3"/>
          <w:w w:val="110"/>
          <w:kern w:val="0"/>
          <w:sz w:val="28"/>
          <w:szCs w:val="28"/>
          <w:u w:val="single" w:color="000000"/>
        </w:rPr>
        <w:t>xx</w:t>
      </w:r>
      <w:r>
        <w:rPr>
          <w:rFonts w:ascii="黑体" w:hAnsi="黑体" w:eastAsia="黑体" w:cs="黑体"/>
          <w:b/>
          <w:spacing w:val="-86"/>
          <w:w w:val="110"/>
          <w:kern w:val="0"/>
          <w:sz w:val="28"/>
          <w:szCs w:val="28"/>
          <w:u w:val="single" w:color="000000"/>
        </w:rPr>
        <w:t xml:space="preserve">        </w:t>
      </w:r>
      <w:r>
        <w:rPr>
          <w:rFonts w:hint="eastAsia" w:ascii="黑体" w:hAnsi="黑体" w:eastAsia="黑体" w:cs="黑体"/>
          <w:w w:val="110"/>
          <w:kern w:val="0"/>
          <w:sz w:val="28"/>
          <w:szCs w:val="28"/>
          <w:u w:val="single" w:color="000000"/>
        </w:rPr>
        <w:t xml:space="preserve"> 实施</w:t>
      </w:r>
    </w:p>
    <w:p w14:paraId="1217EFA0">
      <w:pPr>
        <w:tabs>
          <w:tab w:val="left" w:pos="6597"/>
          <w:tab w:val="left" w:pos="7317"/>
        </w:tabs>
        <w:wordWrap w:val="0"/>
        <w:ind w:right="693" w:rightChars="330"/>
        <w:jc w:val="right"/>
        <w:rPr>
          <w:rFonts w:hint="eastAsia" w:ascii="黑体" w:hAnsi="黑体" w:eastAsia="黑体" w:cs="黑体"/>
          <w:kern w:val="0"/>
          <w:sz w:val="28"/>
          <w:szCs w:val="28"/>
        </w:rPr>
      </w:pPr>
      <w:r>
        <w:rPr>
          <w:rFonts w:ascii="等线" w:hAnsi="等线" w:cs="黑体"/>
          <w:w w:val="110"/>
          <w:kern w:val="0"/>
          <w:sz w:val="28"/>
          <w:szCs w:val="28"/>
        </w:rPr>
        <w:t>中国</w:t>
      </w:r>
      <w:r>
        <w:rPr>
          <w:rFonts w:hint="eastAsia" w:ascii="等线" w:hAnsi="等线" w:cs="黑体"/>
          <w:w w:val="110"/>
          <w:kern w:val="0"/>
          <w:sz w:val="28"/>
          <w:szCs w:val="28"/>
        </w:rPr>
        <w:t>仪器仪表行业协会</w:t>
      </w:r>
      <w:r>
        <w:rPr>
          <w:rFonts w:hint="eastAsia" w:ascii="等线" w:hAnsi="等线" w:cs="黑体"/>
          <w:kern w:val="0"/>
          <w:sz w:val="28"/>
          <w:szCs w:val="28"/>
        </w:rPr>
        <w:t xml:space="preserve"> </w:t>
      </w:r>
      <w:r>
        <w:rPr>
          <w:rFonts w:hint="eastAsia" w:ascii="黑体" w:hAnsi="黑体" w:eastAsia="黑体" w:cs="黑体"/>
          <w:w w:val="110"/>
          <w:kern w:val="0"/>
          <w:sz w:val="28"/>
          <w:szCs w:val="28"/>
        </w:rPr>
        <w:t>发布</w:t>
      </w:r>
      <w:r>
        <w:rPr>
          <w:rFonts w:hint="eastAsia" w:ascii="黑体" w:hAnsi="黑体" w:eastAsia="黑体" w:cs="黑体"/>
          <w:w w:val="110"/>
          <w:kern w:val="0"/>
          <w:position w:val="3"/>
          <w:sz w:val="28"/>
          <w:szCs w:val="28"/>
        </w:rPr>
        <w:t xml:space="preserve">   </w:t>
      </w:r>
      <w:r>
        <w:rPr>
          <w:rFonts w:ascii="黑体" w:hAnsi="黑体" w:eastAsia="黑体" w:cs="黑体"/>
          <w:w w:val="110"/>
          <w:kern w:val="0"/>
          <w:position w:val="3"/>
          <w:sz w:val="28"/>
          <w:szCs w:val="28"/>
        </w:rPr>
        <w:t xml:space="preserve">   </w:t>
      </w:r>
      <w:r>
        <w:rPr>
          <w:rFonts w:hint="eastAsia" w:ascii="黑体" w:hAnsi="黑体" w:eastAsia="黑体" w:cs="黑体"/>
          <w:w w:val="110"/>
          <w:kern w:val="0"/>
          <w:position w:val="3"/>
          <w:sz w:val="28"/>
          <w:szCs w:val="28"/>
        </w:rPr>
        <w:t xml:space="preserve"> </w:t>
      </w:r>
      <w:r>
        <w:rPr>
          <w:rFonts w:ascii="黑体" w:hAnsi="黑体" w:eastAsia="黑体" w:cs="黑体"/>
          <w:w w:val="110"/>
          <w:kern w:val="0"/>
          <w:position w:val="3"/>
          <w:sz w:val="28"/>
          <w:szCs w:val="28"/>
        </w:rPr>
        <w:t xml:space="preserve">          </w:t>
      </w:r>
      <w:r>
        <w:rPr>
          <w:rFonts w:hint="eastAsia" w:ascii="黑体" w:hAnsi="黑体" w:eastAsia="黑体" w:cs="黑体"/>
          <w:w w:val="110"/>
          <w:kern w:val="0"/>
          <w:position w:val="3"/>
          <w:sz w:val="28"/>
          <w:szCs w:val="28"/>
        </w:rPr>
        <w:t xml:space="preserve">  </w:t>
      </w:r>
      <w:r>
        <w:rPr>
          <w:rFonts w:ascii="等线 Light" w:hAnsi="等线 Light" w:eastAsia="等线 Light" w:cs="黑体"/>
          <w:w w:val="110"/>
          <w:kern w:val="0"/>
          <w:position w:val="3"/>
          <w:sz w:val="18"/>
          <w:szCs w:val="28"/>
        </w:rPr>
        <w:fldChar w:fldCharType="begin"/>
      </w:r>
      <w:r>
        <w:rPr>
          <w:rFonts w:ascii="等线 Light" w:hAnsi="等线 Light" w:eastAsia="等线 Light" w:cs="黑体"/>
          <w:w w:val="110"/>
          <w:kern w:val="0"/>
          <w:position w:val="3"/>
          <w:sz w:val="18"/>
          <w:szCs w:val="28"/>
        </w:rPr>
        <w:instrText xml:space="preserve"> </w:instrText>
      </w:r>
      <w:r>
        <w:rPr>
          <w:rFonts w:hint="eastAsia" w:ascii="等线 Light" w:hAnsi="等线 Light" w:eastAsia="等线 Light" w:cs="黑体"/>
          <w:w w:val="110"/>
          <w:kern w:val="0"/>
          <w:position w:val="3"/>
          <w:sz w:val="18"/>
          <w:szCs w:val="28"/>
        </w:rPr>
        <w:instrText xml:space="preserve">= 1 \* ROMAN</w:instrText>
      </w:r>
      <w:r>
        <w:rPr>
          <w:rFonts w:ascii="等线 Light" w:hAnsi="等线 Light" w:eastAsia="等线 Light" w:cs="黑体"/>
          <w:w w:val="110"/>
          <w:kern w:val="0"/>
          <w:position w:val="3"/>
          <w:sz w:val="18"/>
          <w:szCs w:val="28"/>
        </w:rPr>
        <w:instrText xml:space="preserve"> </w:instrText>
      </w:r>
      <w:r>
        <w:rPr>
          <w:rFonts w:ascii="等线 Light" w:hAnsi="等线 Light" w:eastAsia="等线 Light" w:cs="黑体"/>
          <w:w w:val="110"/>
          <w:kern w:val="0"/>
          <w:position w:val="3"/>
          <w:sz w:val="18"/>
          <w:szCs w:val="28"/>
        </w:rPr>
        <w:fldChar w:fldCharType="separate"/>
      </w:r>
      <w:r>
        <w:rPr>
          <w:rFonts w:ascii="等线 Light" w:hAnsi="等线 Light" w:eastAsia="等线 Light" w:cs="黑体"/>
          <w:w w:val="110"/>
          <w:kern w:val="0"/>
          <w:position w:val="3"/>
          <w:sz w:val="18"/>
          <w:szCs w:val="28"/>
        </w:rPr>
        <w:t>I</w:t>
      </w:r>
      <w:r>
        <w:rPr>
          <w:rFonts w:ascii="等线 Light" w:hAnsi="等线 Light" w:eastAsia="等线 Light" w:cs="黑体"/>
          <w:w w:val="110"/>
          <w:kern w:val="0"/>
          <w:position w:val="3"/>
          <w:sz w:val="18"/>
          <w:szCs w:val="28"/>
        </w:rPr>
        <w:fldChar w:fldCharType="end"/>
      </w:r>
    </w:p>
    <w:p w14:paraId="08CBEE8F">
      <w:pPr>
        <w:spacing w:line="1120" w:lineRule="atLeast"/>
        <w:jc w:val="left"/>
        <w:rPr>
          <w:rFonts w:hint="eastAsia" w:ascii="黑体" w:hAnsi="黑体" w:eastAsia="黑体" w:cs="黑体"/>
          <w:kern w:val="0"/>
          <w:sz w:val="28"/>
          <w:szCs w:val="28"/>
        </w:rPr>
        <w:sectPr>
          <w:footerReference r:id="rId6" w:type="default"/>
          <w:headerReference r:id="rId5" w:type="even"/>
          <w:footerReference r:id="rId7" w:type="even"/>
          <w:pgSz w:w="11907" w:h="16840"/>
          <w:pgMar w:top="1440" w:right="700" w:bottom="280" w:left="1300" w:header="720" w:footer="737" w:gutter="0"/>
          <w:cols w:space="720" w:num="1"/>
          <w:docGrid w:linePitch="286" w:charSpace="0"/>
        </w:sectPr>
      </w:pPr>
    </w:p>
    <w:p w14:paraId="65925AE7">
      <w:pPr>
        <w:spacing w:line="419" w:lineRule="exact"/>
        <w:jc w:val="center"/>
        <w:rPr>
          <w:rFonts w:ascii="黑体" w:hAnsi="黑体" w:eastAsia="黑体" w:cs="黑体"/>
          <w:kern w:val="0"/>
          <w:sz w:val="32"/>
          <w:szCs w:val="32"/>
        </w:rPr>
      </w:pPr>
      <w:r>
        <w:rPr>
          <w:rFonts w:ascii="黑体" w:hAnsi="黑体" w:eastAsia="黑体" w:cs="黑体"/>
          <w:kern w:val="0"/>
          <w:sz w:val="32"/>
          <w:szCs w:val="32"/>
        </w:rPr>
        <w:t>目</w:t>
      </w:r>
      <w:r>
        <w:rPr>
          <w:rFonts w:hint="eastAsia" w:ascii="黑体" w:hAnsi="黑体" w:eastAsia="黑体" w:cs="黑体"/>
          <w:kern w:val="0"/>
          <w:sz w:val="32"/>
          <w:szCs w:val="32"/>
        </w:rPr>
        <w:t xml:space="preserve"> </w:t>
      </w:r>
      <w:r>
        <w:rPr>
          <w:rFonts w:ascii="黑体" w:hAnsi="黑体" w:eastAsia="黑体" w:cs="黑体"/>
          <w:kern w:val="0"/>
          <w:sz w:val="32"/>
          <w:szCs w:val="32"/>
        </w:rPr>
        <w:tab/>
      </w:r>
      <w:r>
        <w:rPr>
          <w:rFonts w:ascii="黑体" w:hAnsi="黑体" w:eastAsia="黑体" w:cs="黑体"/>
          <w:kern w:val="0"/>
          <w:sz w:val="32"/>
          <w:szCs w:val="32"/>
        </w:rPr>
        <w:t>次</w:t>
      </w:r>
    </w:p>
    <w:sdt>
      <w:sdtPr>
        <w:rPr>
          <w:rFonts w:ascii="宋体" w:hAnsi="宋体"/>
          <w:kern w:val="0"/>
          <w:sz w:val="20"/>
          <w:szCs w:val="20"/>
        </w:rPr>
        <w:id w:val="147467663"/>
        <w:docPartObj>
          <w:docPartGallery w:val="Table of Contents"/>
          <w:docPartUnique/>
        </w:docPartObj>
      </w:sdtPr>
      <w:sdtEndPr>
        <w:rPr>
          <w:rFonts w:ascii="Calibri" w:hAnsi="Calibri"/>
          <w:kern w:val="0"/>
          <w:sz w:val="20"/>
          <w:szCs w:val="20"/>
        </w:rPr>
      </w:sdtEndPr>
      <w:sdtContent>
        <w:p w14:paraId="4C2E3043">
          <w:pPr>
            <w:jc w:val="center"/>
          </w:pPr>
        </w:p>
        <w:p w14:paraId="630FA2D4">
          <w:pPr>
            <w:pStyle w:val="127"/>
            <w:tabs>
              <w:tab w:val="right" w:leader="dot" w:pos="9355"/>
            </w:tabs>
          </w:pPr>
          <w:r>
            <w:fldChar w:fldCharType="begin"/>
          </w:r>
          <w:r>
            <w:instrText xml:space="preserve">TOC \o "1-1" \h \u </w:instrText>
          </w:r>
          <w:r>
            <w:fldChar w:fldCharType="separate"/>
          </w:r>
        </w:p>
        <w:p w14:paraId="589EBC95">
          <w:pPr>
            <w:pStyle w:val="29"/>
            <w:tabs>
              <w:tab w:val="right" w:leader="dot" w:pos="9355"/>
              <w:tab w:val="clear" w:pos="9241"/>
            </w:tabs>
            <w:spacing w:before="78" w:after="78"/>
          </w:pPr>
          <w:r>
            <w:fldChar w:fldCharType="begin"/>
          </w:r>
          <w:r>
            <w:instrText xml:space="preserve"> HYPERLINK \l "_Toc17706" </w:instrText>
          </w:r>
          <w:r>
            <w:fldChar w:fldCharType="separate"/>
          </w:r>
          <w:r>
            <w:rPr>
              <w:rFonts w:hint="eastAsia" w:ascii="Times New Roman" w:hAnsi="Times New Roman"/>
              <w:szCs w:val="44"/>
            </w:rPr>
            <w:t>前 言</w:t>
          </w:r>
          <w:r>
            <w:tab/>
          </w:r>
          <w:r>
            <w:fldChar w:fldCharType="begin"/>
          </w:r>
          <w:r>
            <w:instrText xml:space="preserve"> PAGEREF _Toc17706 </w:instrText>
          </w:r>
          <w:r>
            <w:fldChar w:fldCharType="separate"/>
          </w:r>
          <w:r>
            <w:t>3</w:t>
          </w:r>
          <w:r>
            <w:fldChar w:fldCharType="end"/>
          </w:r>
          <w:r>
            <w:fldChar w:fldCharType="end"/>
          </w:r>
        </w:p>
        <w:p w14:paraId="26A61B7B">
          <w:pPr>
            <w:pStyle w:val="29"/>
            <w:tabs>
              <w:tab w:val="right" w:leader="dot" w:pos="9355"/>
              <w:tab w:val="clear" w:pos="9241"/>
            </w:tabs>
            <w:spacing w:before="78" w:after="78"/>
          </w:pPr>
          <w:r>
            <w:fldChar w:fldCharType="begin"/>
          </w:r>
          <w:r>
            <w:instrText xml:space="preserve"> HYPERLINK \l "_Toc27268" </w:instrText>
          </w:r>
          <w:r>
            <w:fldChar w:fldCharType="separate"/>
          </w:r>
          <w:r>
            <w:rPr>
              <w:rFonts w:hint="eastAsia" w:ascii="Times New Roman" w:hAnsi="Times New Roman" w:eastAsia="黑体"/>
            </w:rPr>
            <w:t>1 范围</w:t>
          </w:r>
          <w:r>
            <w:tab/>
          </w:r>
          <w:r>
            <w:fldChar w:fldCharType="begin"/>
          </w:r>
          <w:r>
            <w:instrText xml:space="preserve"> PAGEREF _Toc27268 </w:instrText>
          </w:r>
          <w:r>
            <w:fldChar w:fldCharType="separate"/>
          </w:r>
          <w:r>
            <w:t>4</w:t>
          </w:r>
          <w:r>
            <w:fldChar w:fldCharType="end"/>
          </w:r>
          <w:r>
            <w:fldChar w:fldCharType="end"/>
          </w:r>
        </w:p>
        <w:p w14:paraId="24891C9A">
          <w:pPr>
            <w:pStyle w:val="29"/>
            <w:tabs>
              <w:tab w:val="right" w:leader="dot" w:pos="9355"/>
              <w:tab w:val="clear" w:pos="9241"/>
            </w:tabs>
            <w:spacing w:before="78" w:after="78"/>
          </w:pPr>
          <w:r>
            <w:fldChar w:fldCharType="begin"/>
          </w:r>
          <w:r>
            <w:instrText xml:space="preserve"> HYPERLINK \l "_Toc5791" </w:instrText>
          </w:r>
          <w:r>
            <w:fldChar w:fldCharType="separate"/>
          </w:r>
          <w:r>
            <w:rPr>
              <w:rFonts w:hint="eastAsia" w:ascii="Times New Roman" w:hAnsi="Times New Roman" w:eastAsia="黑体"/>
            </w:rPr>
            <w:t>2 规范性引用文件</w:t>
          </w:r>
          <w:r>
            <w:tab/>
          </w:r>
          <w:r>
            <w:fldChar w:fldCharType="begin"/>
          </w:r>
          <w:r>
            <w:instrText xml:space="preserve"> PAGEREF _Toc5791 </w:instrText>
          </w:r>
          <w:r>
            <w:fldChar w:fldCharType="separate"/>
          </w:r>
          <w:r>
            <w:t>4</w:t>
          </w:r>
          <w:r>
            <w:fldChar w:fldCharType="end"/>
          </w:r>
          <w:r>
            <w:fldChar w:fldCharType="end"/>
          </w:r>
        </w:p>
        <w:p w14:paraId="2AAB7277">
          <w:pPr>
            <w:pStyle w:val="29"/>
            <w:tabs>
              <w:tab w:val="right" w:leader="dot" w:pos="9355"/>
              <w:tab w:val="clear" w:pos="9241"/>
            </w:tabs>
            <w:spacing w:before="78" w:after="78"/>
          </w:pPr>
          <w:r>
            <w:fldChar w:fldCharType="begin"/>
          </w:r>
          <w:r>
            <w:instrText xml:space="preserve"> HYPERLINK \l "_Toc22827" </w:instrText>
          </w:r>
          <w:r>
            <w:fldChar w:fldCharType="separate"/>
          </w:r>
          <w:r>
            <w:rPr>
              <w:rFonts w:hint="eastAsia" w:ascii="Times New Roman" w:eastAsia="黑体"/>
            </w:rPr>
            <w:t>3 术语和定义</w:t>
          </w:r>
          <w:r>
            <w:tab/>
          </w:r>
          <w:r>
            <w:fldChar w:fldCharType="begin"/>
          </w:r>
          <w:r>
            <w:instrText xml:space="preserve"> PAGEREF _Toc22827 </w:instrText>
          </w:r>
          <w:r>
            <w:fldChar w:fldCharType="separate"/>
          </w:r>
          <w:r>
            <w:t>4</w:t>
          </w:r>
          <w:r>
            <w:fldChar w:fldCharType="end"/>
          </w:r>
          <w:r>
            <w:fldChar w:fldCharType="end"/>
          </w:r>
        </w:p>
        <w:p w14:paraId="41247ACB">
          <w:pPr>
            <w:pStyle w:val="29"/>
            <w:tabs>
              <w:tab w:val="right" w:leader="dot" w:pos="9355"/>
              <w:tab w:val="clear" w:pos="9241"/>
            </w:tabs>
            <w:spacing w:before="78" w:after="78"/>
          </w:pPr>
          <w:r>
            <w:fldChar w:fldCharType="begin"/>
          </w:r>
          <w:r>
            <w:instrText xml:space="preserve"> HYPERLINK \l "_Toc9505" </w:instrText>
          </w:r>
          <w:r>
            <w:fldChar w:fldCharType="separate"/>
          </w:r>
          <w:r>
            <w:rPr>
              <w:rFonts w:hint="eastAsia" w:ascii="Times New Roman" w:eastAsia="黑体"/>
              <w:szCs w:val="22"/>
            </w:rPr>
            <w:t>4 评价指标体系</w:t>
          </w:r>
          <w:r>
            <w:tab/>
          </w:r>
          <w:r>
            <w:fldChar w:fldCharType="begin"/>
          </w:r>
          <w:r>
            <w:instrText xml:space="preserve"> PAGEREF _Toc9505 </w:instrText>
          </w:r>
          <w:r>
            <w:fldChar w:fldCharType="separate"/>
          </w:r>
          <w:r>
            <w:t>5</w:t>
          </w:r>
          <w:r>
            <w:fldChar w:fldCharType="end"/>
          </w:r>
          <w:r>
            <w:fldChar w:fldCharType="end"/>
          </w:r>
        </w:p>
        <w:p w14:paraId="790065AD">
          <w:pPr>
            <w:pStyle w:val="29"/>
            <w:tabs>
              <w:tab w:val="right" w:leader="dot" w:pos="9355"/>
              <w:tab w:val="clear" w:pos="9241"/>
            </w:tabs>
            <w:spacing w:before="78" w:after="78"/>
          </w:pPr>
          <w:r>
            <w:fldChar w:fldCharType="begin"/>
          </w:r>
          <w:r>
            <w:instrText xml:space="preserve"> HYPERLINK \l "_Toc3551" </w:instrText>
          </w:r>
          <w:r>
            <w:fldChar w:fldCharType="separate"/>
          </w:r>
          <w:r>
            <w:rPr>
              <w:rFonts w:hint="eastAsia" w:ascii="Times New Roman" w:eastAsia="黑体"/>
              <w:szCs w:val="22"/>
            </w:rPr>
            <w:t>5 取值规则</w:t>
          </w:r>
          <w:r>
            <w:tab/>
          </w:r>
          <w:r>
            <w:fldChar w:fldCharType="begin"/>
          </w:r>
          <w:r>
            <w:instrText xml:space="preserve"> PAGEREF _Toc3551 </w:instrText>
          </w:r>
          <w:r>
            <w:fldChar w:fldCharType="separate"/>
          </w:r>
          <w:r>
            <w:t>7</w:t>
          </w:r>
          <w:r>
            <w:fldChar w:fldCharType="end"/>
          </w:r>
          <w:r>
            <w:fldChar w:fldCharType="end"/>
          </w:r>
        </w:p>
        <w:p w14:paraId="56107E4C">
          <w:pPr>
            <w:pStyle w:val="29"/>
            <w:tabs>
              <w:tab w:val="right" w:leader="dot" w:pos="9355"/>
              <w:tab w:val="clear" w:pos="9241"/>
            </w:tabs>
            <w:spacing w:before="78" w:after="78"/>
          </w:pPr>
          <w:r>
            <w:fldChar w:fldCharType="begin"/>
          </w:r>
          <w:r>
            <w:instrText xml:space="preserve"> HYPERLINK \l "_Toc6007" </w:instrText>
          </w:r>
          <w:r>
            <w:fldChar w:fldCharType="separate"/>
          </w:r>
          <w:r>
            <w:rPr>
              <w:rFonts w:hint="eastAsia" w:ascii="Times New Roman" w:eastAsia="黑体"/>
              <w:szCs w:val="22"/>
            </w:rPr>
            <w:t>6 评价结果形成规则</w:t>
          </w:r>
          <w:r>
            <w:tab/>
          </w:r>
          <w:r>
            <w:fldChar w:fldCharType="begin"/>
          </w:r>
          <w:r>
            <w:instrText xml:space="preserve"> PAGEREF _Toc6007 </w:instrText>
          </w:r>
          <w:r>
            <w:fldChar w:fldCharType="separate"/>
          </w:r>
          <w:r>
            <w:t>10</w:t>
          </w:r>
          <w:r>
            <w:fldChar w:fldCharType="end"/>
          </w:r>
          <w:r>
            <w:fldChar w:fldCharType="end"/>
          </w:r>
        </w:p>
        <w:p w14:paraId="75855DE5">
          <w:pPr>
            <w:pStyle w:val="29"/>
            <w:tabs>
              <w:tab w:val="right" w:leader="dot" w:pos="9355"/>
              <w:tab w:val="clear" w:pos="9241"/>
            </w:tabs>
            <w:spacing w:before="78" w:after="78"/>
          </w:pPr>
        </w:p>
        <w:p w14:paraId="1B890EFF">
          <w:pPr>
            <w:pStyle w:val="127"/>
            <w:tabs>
              <w:tab w:val="right" w:leader="dot" w:pos="9355"/>
            </w:tabs>
          </w:pPr>
          <w:r>
            <w:fldChar w:fldCharType="end"/>
          </w:r>
        </w:p>
        <w:p w14:paraId="6DFD6E3F">
          <w:pPr>
            <w:pStyle w:val="127"/>
            <w:tabs>
              <w:tab w:val="right" w:leader="dot" w:pos="9355"/>
            </w:tabs>
          </w:pPr>
        </w:p>
      </w:sdtContent>
    </w:sdt>
    <w:p w14:paraId="7E13507C">
      <w:pPr>
        <w:jc w:val="center"/>
        <w:rPr>
          <w:rFonts w:ascii="Times New Roman" w:hAnsi="Times New Roman"/>
          <w:sz w:val="44"/>
          <w:szCs w:val="44"/>
        </w:rPr>
      </w:pPr>
      <w:bookmarkStart w:id="0" w:name="_Toc125"/>
    </w:p>
    <w:p w14:paraId="41E3A963">
      <w:pPr>
        <w:pStyle w:val="53"/>
        <w:rPr>
          <w:rFonts w:ascii="Times New Roman" w:hAnsi="Times New Roman"/>
          <w:sz w:val="44"/>
          <w:szCs w:val="44"/>
        </w:rPr>
      </w:pPr>
    </w:p>
    <w:p w14:paraId="27A48A6D">
      <w:pPr>
        <w:pStyle w:val="53"/>
        <w:rPr>
          <w:rFonts w:ascii="Times New Roman" w:hAnsi="Times New Roman"/>
          <w:sz w:val="44"/>
          <w:szCs w:val="44"/>
        </w:rPr>
      </w:pPr>
    </w:p>
    <w:p w14:paraId="69E25632">
      <w:pPr>
        <w:pStyle w:val="53"/>
        <w:rPr>
          <w:rFonts w:ascii="Times New Roman" w:hAnsi="Times New Roman"/>
          <w:sz w:val="44"/>
          <w:szCs w:val="44"/>
        </w:rPr>
      </w:pPr>
    </w:p>
    <w:p w14:paraId="6734AF01">
      <w:pPr>
        <w:pStyle w:val="53"/>
        <w:rPr>
          <w:rFonts w:ascii="Times New Roman" w:hAnsi="Times New Roman"/>
          <w:sz w:val="44"/>
          <w:szCs w:val="44"/>
        </w:rPr>
      </w:pPr>
    </w:p>
    <w:p w14:paraId="2492C832">
      <w:pPr>
        <w:pStyle w:val="53"/>
        <w:rPr>
          <w:rFonts w:ascii="Times New Roman" w:hAnsi="Times New Roman"/>
          <w:sz w:val="44"/>
          <w:szCs w:val="44"/>
        </w:rPr>
      </w:pPr>
    </w:p>
    <w:p w14:paraId="4B9E6DCE">
      <w:pPr>
        <w:pStyle w:val="53"/>
        <w:rPr>
          <w:rFonts w:ascii="Times New Roman" w:hAnsi="Times New Roman"/>
          <w:sz w:val="44"/>
          <w:szCs w:val="44"/>
        </w:rPr>
      </w:pPr>
    </w:p>
    <w:p w14:paraId="357FC806">
      <w:pPr>
        <w:pStyle w:val="53"/>
        <w:rPr>
          <w:rFonts w:ascii="Times New Roman" w:hAnsi="Times New Roman"/>
          <w:sz w:val="44"/>
          <w:szCs w:val="44"/>
        </w:rPr>
      </w:pPr>
    </w:p>
    <w:p w14:paraId="78F0C795">
      <w:pPr>
        <w:jc w:val="center"/>
        <w:outlineLvl w:val="0"/>
        <w:rPr>
          <w:rFonts w:hint="eastAsia" w:ascii="黑体" w:hAnsi="黑体" w:eastAsia="黑体" w:cs="黑体"/>
          <w:sz w:val="32"/>
          <w:szCs w:val="32"/>
        </w:rPr>
      </w:pPr>
      <w:bookmarkStart w:id="1" w:name="_Toc4938"/>
      <w:bookmarkStart w:id="2" w:name="_Toc17706"/>
    </w:p>
    <w:p w14:paraId="7A14D1EE">
      <w:pPr>
        <w:jc w:val="center"/>
        <w:outlineLvl w:val="0"/>
        <w:rPr>
          <w:rFonts w:hint="eastAsia" w:ascii="黑体" w:hAnsi="黑体" w:eastAsia="黑体" w:cs="黑体"/>
          <w:sz w:val="32"/>
          <w:szCs w:val="32"/>
        </w:rPr>
      </w:pPr>
      <w:r>
        <w:rPr>
          <w:rFonts w:hint="eastAsia" w:ascii="黑体" w:hAnsi="黑体" w:eastAsia="黑体" w:cs="黑体"/>
          <w:sz w:val="32"/>
          <w:szCs w:val="32"/>
        </w:rPr>
        <w:t xml:space="preserve">前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言</w:t>
      </w:r>
      <w:bookmarkEnd w:id="0"/>
      <w:bookmarkEnd w:id="1"/>
      <w:bookmarkEnd w:id="2"/>
    </w:p>
    <w:p w14:paraId="5EDBD6F4">
      <w:pPr>
        <w:spacing w:before="3"/>
        <w:ind w:firstLine="420" w:firstLineChars="200"/>
        <w:rPr>
          <w:rFonts w:hint="eastAsia" w:ascii="等线" w:hAnsi="等线"/>
          <w:kern w:val="0"/>
          <w:szCs w:val="21"/>
          <w:highlight w:val="yellow"/>
        </w:rPr>
      </w:pPr>
    </w:p>
    <w:p w14:paraId="3ABDCADB">
      <w:pPr>
        <w:pStyle w:val="208"/>
        <w:ind w:firstLine="420"/>
        <w:rPr>
          <w:rFonts w:hint="eastAsia" w:asciiTheme="minorEastAsia" w:hAnsiTheme="minorEastAsia" w:eastAsiaTheme="minorEastAsia"/>
          <w:szCs w:val="22"/>
          <w:highlight w:val="none"/>
        </w:rPr>
      </w:pPr>
      <w:r>
        <w:rPr>
          <w:rFonts w:hint="eastAsia" w:asciiTheme="minorEastAsia" w:hAnsiTheme="minorEastAsia" w:eastAsiaTheme="minorEastAsia"/>
          <w:szCs w:val="22"/>
          <w:highlight w:val="none"/>
        </w:rPr>
        <w:t>本文件按照GB/T 1.1—2020《标准化工作导则  第1部分：标准化文件的结构和起草规则》的规定起草。</w:t>
      </w:r>
    </w:p>
    <w:p w14:paraId="01B4E79B">
      <w:pPr>
        <w:pStyle w:val="208"/>
        <w:ind w:firstLine="420"/>
        <w:rPr>
          <w:rFonts w:hint="eastAsia" w:asciiTheme="minorEastAsia" w:hAnsiTheme="minorEastAsia" w:eastAsiaTheme="minorEastAsia"/>
          <w:szCs w:val="22"/>
          <w:highlight w:val="none"/>
        </w:rPr>
      </w:pPr>
      <w:r>
        <w:rPr>
          <w:rFonts w:hint="eastAsia" w:asciiTheme="minorEastAsia" w:hAnsiTheme="minorEastAsia" w:eastAsiaTheme="minorEastAsia"/>
          <w:szCs w:val="22"/>
          <w:highlight w:val="none"/>
        </w:rPr>
        <w:t>请注意本文件的某些内容可能涉及专利。本文件的发布机构不承担识别这些专利的责任。</w:t>
      </w:r>
    </w:p>
    <w:p w14:paraId="67884D5C">
      <w:pPr>
        <w:pStyle w:val="208"/>
        <w:ind w:firstLine="420"/>
        <w:rPr>
          <w:rFonts w:hint="eastAsia" w:asciiTheme="minorEastAsia" w:hAnsiTheme="minorEastAsia" w:eastAsiaTheme="minorEastAsia"/>
          <w:szCs w:val="22"/>
          <w:highlight w:val="none"/>
        </w:rPr>
      </w:pPr>
      <w:r>
        <w:rPr>
          <w:rFonts w:hint="eastAsia" w:asciiTheme="minorEastAsia" w:hAnsiTheme="minorEastAsia" w:eastAsiaTheme="minorEastAsia"/>
          <w:szCs w:val="22"/>
          <w:highlight w:val="none"/>
        </w:rPr>
        <w:t>本文件由中国仪器仪表行业协会电工仪器仪表分会提出。</w:t>
      </w:r>
    </w:p>
    <w:p w14:paraId="70C9081E">
      <w:pPr>
        <w:pStyle w:val="208"/>
        <w:ind w:firstLine="420"/>
        <w:rPr>
          <w:rFonts w:hint="eastAsia" w:asciiTheme="minorEastAsia" w:hAnsiTheme="minorEastAsia" w:eastAsiaTheme="minorEastAsia"/>
          <w:szCs w:val="22"/>
          <w:highlight w:val="none"/>
        </w:rPr>
      </w:pPr>
      <w:r>
        <w:rPr>
          <w:rFonts w:hint="eastAsia" w:asciiTheme="minorEastAsia" w:hAnsiTheme="minorEastAsia" w:eastAsiaTheme="minorEastAsia"/>
          <w:szCs w:val="22"/>
          <w:highlight w:val="none"/>
        </w:rPr>
        <w:t>本文件由中国仪器仪表行业协会归口。</w:t>
      </w:r>
    </w:p>
    <w:p w14:paraId="3BE6039C">
      <w:pPr>
        <w:pStyle w:val="208"/>
        <w:ind w:firstLine="420"/>
        <w:rPr>
          <w:rFonts w:hint="eastAsia" w:asciiTheme="minorEastAsia" w:hAnsiTheme="minorEastAsia" w:eastAsiaTheme="minorEastAsia"/>
          <w:szCs w:val="22"/>
          <w:highlight w:val="none"/>
          <w:lang w:val="en-US" w:eastAsia="zh-CN"/>
        </w:rPr>
      </w:pPr>
      <w:r>
        <w:rPr>
          <w:rFonts w:hint="eastAsia" w:asciiTheme="minorEastAsia" w:hAnsiTheme="minorEastAsia" w:eastAsiaTheme="minorEastAsia"/>
          <w:szCs w:val="22"/>
          <w:highlight w:val="none"/>
        </w:rPr>
        <w:t>本文件起草单位：</w:t>
      </w:r>
      <w:r>
        <w:rPr>
          <w:rFonts w:hint="eastAsia" w:asciiTheme="minorEastAsia" w:hAnsiTheme="minorEastAsia" w:eastAsiaTheme="minorEastAsia"/>
          <w:kern w:val="0"/>
          <w:szCs w:val="21"/>
        </w:rPr>
        <w:t>国网河南省电力公司营销服务中心，主要起草单位有哈尔滨电工仪表研究所有限公司、成都长城开发科技股份有限公司、河南许继仪表有限公司、青岛鼎信通讯股份有限公司</w:t>
      </w:r>
      <w:r>
        <w:rPr>
          <w:rFonts w:hint="eastAsia" w:asciiTheme="minorEastAsia" w:hAnsiTheme="minorEastAsia" w:eastAsiaTheme="minorEastAsia"/>
          <w:kern w:val="0"/>
          <w:szCs w:val="21"/>
          <w:lang w:val="en-US" w:eastAsia="zh-CN"/>
        </w:rPr>
        <w:t>等。</w:t>
      </w:r>
    </w:p>
    <w:p w14:paraId="391AA1D7">
      <w:pPr>
        <w:pStyle w:val="208"/>
        <w:ind w:firstLine="420"/>
        <w:rPr>
          <w:rFonts w:hint="eastAsia" w:asciiTheme="minorEastAsia" w:hAnsiTheme="minorEastAsia" w:eastAsiaTheme="minorEastAsia"/>
          <w:szCs w:val="22"/>
          <w:highlight w:val="none"/>
        </w:rPr>
      </w:pPr>
      <w:r>
        <w:rPr>
          <w:rFonts w:hint="eastAsia" w:asciiTheme="minorEastAsia" w:hAnsiTheme="minorEastAsia" w:eastAsiaTheme="minorEastAsia"/>
          <w:szCs w:val="22"/>
          <w:highlight w:val="none"/>
        </w:rPr>
        <w:t>本文件主要起草人：</w:t>
      </w:r>
      <w:r>
        <w:rPr>
          <w:rFonts w:hint="eastAsia" w:asciiTheme="minorEastAsia" w:hAnsiTheme="minorEastAsia" w:eastAsiaTheme="minorEastAsia"/>
          <w:kern w:val="0"/>
          <w:szCs w:val="21"/>
        </w:rPr>
        <w:t>侯慧娟、郭营、李冉、刘献成、何珊、牛彦彬、刘祥波、皇甫军伟等。</w:t>
      </w:r>
      <w:r>
        <w:rPr>
          <w:rFonts w:asciiTheme="minorEastAsia" w:hAnsiTheme="minorEastAsia" w:eastAsiaTheme="minorEastAsia"/>
          <w:kern w:val="0"/>
          <w:szCs w:val="21"/>
        </w:rPr>
        <w:t xml:space="preserve"> </w:t>
      </w:r>
      <w:r>
        <w:rPr>
          <w:rFonts w:hint="eastAsia" w:asciiTheme="minorEastAsia" w:hAnsiTheme="minorEastAsia" w:eastAsiaTheme="minorEastAsia"/>
          <w:szCs w:val="22"/>
          <w:highlight w:val="none"/>
        </w:rPr>
        <w:t xml:space="preserve">  </w:t>
      </w:r>
    </w:p>
    <w:p w14:paraId="44BA33F3">
      <w:pPr>
        <w:widowControl/>
        <w:jc w:val="left"/>
        <w:rPr>
          <w:rFonts w:ascii="Arial" w:hAnsi="Arial" w:eastAsia="黑体"/>
          <w:b/>
          <w:sz w:val="24"/>
          <w:szCs w:val="28"/>
        </w:rPr>
      </w:pPr>
      <w:r>
        <w:br w:type="page"/>
      </w:r>
    </w:p>
    <w:p w14:paraId="784B7D3B">
      <w:pPr>
        <w:jc w:val="center"/>
        <w:rPr>
          <w:rFonts w:hint="eastAsia" w:ascii="方正小标宋_GBK" w:eastAsia="方正小标宋_GBK"/>
          <w:sz w:val="36"/>
          <w:szCs w:val="36"/>
          <w:lang w:val="en-US" w:eastAsia="zh-CN"/>
        </w:rPr>
      </w:pPr>
      <w:r>
        <w:rPr>
          <w:rFonts w:hint="eastAsia" w:ascii="方正小标宋_GBK" w:eastAsia="方正小标宋_GBK"/>
          <w:sz w:val="36"/>
          <w:szCs w:val="36"/>
        </w:rPr>
        <w:t>基于拆回电能表故障现象分析的电能表质量评价</w:t>
      </w:r>
      <w:r>
        <w:rPr>
          <w:rFonts w:hint="eastAsia" w:ascii="方正小标宋_GBK" w:eastAsia="方正小标宋_GBK"/>
          <w:sz w:val="36"/>
          <w:szCs w:val="36"/>
          <w:lang w:val="en-US" w:eastAsia="zh-CN"/>
        </w:rPr>
        <w:t>方法</w:t>
      </w:r>
    </w:p>
    <w:p w14:paraId="290CBA7F">
      <w:pPr>
        <w:pStyle w:val="33"/>
        <w:spacing w:before="312" w:beforeLines="100" w:after="312" w:afterLines="100"/>
        <w:ind w:firstLine="0" w:firstLineChars="0"/>
        <w:outlineLvl w:val="0"/>
        <w:rPr>
          <w:rFonts w:ascii="Times New Roman" w:hAnsi="Times New Roman" w:eastAsia="黑体"/>
        </w:rPr>
      </w:pPr>
      <w:bookmarkStart w:id="3" w:name="_Toc9420"/>
      <w:bookmarkStart w:id="4" w:name="_Toc464112153"/>
      <w:bookmarkStart w:id="5" w:name="_Toc499545993"/>
      <w:bookmarkStart w:id="6" w:name="_Toc492916959"/>
      <w:bookmarkStart w:id="7" w:name="_Toc459809636"/>
      <w:bookmarkStart w:id="8" w:name="_Toc496857613"/>
      <w:bookmarkStart w:id="9" w:name="_Toc30653"/>
      <w:bookmarkStart w:id="10" w:name="_Toc485147730"/>
      <w:bookmarkStart w:id="11" w:name="_Toc499577167"/>
      <w:bookmarkStart w:id="12" w:name="_Toc32717"/>
      <w:bookmarkStart w:id="13" w:name="_Toc499190581"/>
      <w:bookmarkStart w:id="14" w:name="_Toc7102"/>
      <w:bookmarkStart w:id="15" w:name="_Toc463630779"/>
      <w:bookmarkStart w:id="16" w:name="_Toc492917592"/>
      <w:bookmarkStart w:id="17" w:name="_Toc27268"/>
      <w:bookmarkStart w:id="18" w:name="_Toc499028348"/>
      <w:bookmarkStart w:id="19" w:name="_Toc485300319"/>
      <w:bookmarkStart w:id="20" w:name="_Toc498099024"/>
      <w:bookmarkStart w:id="21" w:name="_Toc499545924"/>
      <w:bookmarkStart w:id="22" w:name="_Toc1517"/>
      <w:bookmarkStart w:id="23" w:name="_Toc485304424"/>
      <w:bookmarkStart w:id="24" w:name="_Toc492279850"/>
      <w:bookmarkStart w:id="25" w:name="_Toc20537"/>
      <w:bookmarkStart w:id="26" w:name="_Toc464762132"/>
      <w:bookmarkStart w:id="27" w:name="_Toc9713"/>
      <w:bookmarkStart w:id="28" w:name="_Toc464112835"/>
      <w:bookmarkStart w:id="29" w:name="_Toc498929944"/>
      <w:bookmarkStart w:id="30" w:name="_Toc486517143"/>
      <w:r>
        <w:rPr>
          <w:rFonts w:hint="eastAsia" w:ascii="Times New Roman" w:hAnsi="Times New Roman" w:eastAsia="黑体"/>
        </w:rPr>
        <w:t>1 范围</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429760C">
      <w:pPr>
        <w:pStyle w:val="33"/>
        <w:spacing w:after="0" w:line="240" w:lineRule="auto"/>
        <w:rPr>
          <w:rFonts w:hint="eastAsia" w:ascii="Times New Roman"/>
          <w:szCs w:val="22"/>
          <w:highlight w:val="none"/>
        </w:rPr>
      </w:pPr>
      <w:r>
        <w:rPr>
          <w:rFonts w:hint="eastAsia" w:ascii="Times New Roman"/>
          <w:szCs w:val="22"/>
          <w:highlight w:val="none"/>
        </w:rPr>
        <w:t>本文件确立了基于拆回电能表故障现象分析的电能表质量评价</w:t>
      </w:r>
      <w:r>
        <w:rPr>
          <w:rFonts w:hint="eastAsia" w:ascii="Times New Roman"/>
          <w:szCs w:val="22"/>
          <w:highlight w:val="none"/>
          <w:lang w:val="en-US" w:eastAsia="zh-CN"/>
        </w:rPr>
        <w:t>方法</w:t>
      </w:r>
      <w:r>
        <w:rPr>
          <w:rFonts w:hint="eastAsia" w:ascii="Times New Roman"/>
          <w:szCs w:val="22"/>
          <w:highlight w:val="none"/>
        </w:rPr>
        <w:t>的评价指标体系，规定了评价指标的取值原则，描述了评价结果形成规则。</w:t>
      </w:r>
    </w:p>
    <w:p w14:paraId="7A0DD204">
      <w:pPr>
        <w:pStyle w:val="33"/>
        <w:spacing w:after="0" w:line="240" w:lineRule="auto"/>
        <w:rPr>
          <w:rFonts w:ascii="Times New Roman"/>
          <w:szCs w:val="22"/>
          <w:lang w:val="zh-CN"/>
        </w:rPr>
      </w:pPr>
      <w:bookmarkStart w:id="31" w:name="_Toc342648784"/>
      <w:r>
        <w:rPr>
          <w:rFonts w:hint="eastAsia" w:ascii="Times New Roman"/>
          <w:szCs w:val="22"/>
          <w:highlight w:val="none"/>
        </w:rPr>
        <w:t>本文件适用于</w:t>
      </w:r>
      <w:bookmarkStart w:id="32" w:name="OLE_LINK1"/>
      <w:r>
        <w:rPr>
          <w:rFonts w:hint="eastAsia" w:ascii="Times New Roman"/>
          <w:szCs w:val="22"/>
          <w:highlight w:val="none"/>
        </w:rPr>
        <w:t>基于拆回电能表故障现象分析的电能表质量评价</w:t>
      </w:r>
      <w:r>
        <w:rPr>
          <w:rFonts w:hint="eastAsia" w:ascii="Times New Roman"/>
          <w:szCs w:val="22"/>
          <w:highlight w:val="none"/>
          <w:lang w:val="en-US" w:eastAsia="zh-CN"/>
        </w:rPr>
        <w:t>方法</w:t>
      </w:r>
      <w:bookmarkEnd w:id="32"/>
      <w:r>
        <w:rPr>
          <w:rFonts w:hint="eastAsia" w:ascii="Times New Roman"/>
          <w:szCs w:val="22"/>
          <w:highlight w:val="none"/>
          <w:lang w:val="zh-CN"/>
        </w:rPr>
        <w:t>。</w:t>
      </w:r>
      <w:bookmarkEnd w:id="31"/>
    </w:p>
    <w:p w14:paraId="4C3C2B37">
      <w:pPr>
        <w:pStyle w:val="33"/>
        <w:spacing w:before="312" w:beforeLines="100" w:after="312" w:afterLines="100"/>
        <w:ind w:firstLine="0" w:firstLineChars="0"/>
        <w:outlineLvl w:val="0"/>
        <w:rPr>
          <w:rFonts w:ascii="Times New Roman" w:hAnsi="Times New Roman" w:eastAsia="黑体"/>
        </w:rPr>
      </w:pPr>
      <w:bookmarkStart w:id="33" w:name="_Toc31571"/>
      <w:bookmarkStart w:id="34" w:name="_Toc464112154"/>
      <w:bookmarkStart w:id="35" w:name="_Toc486517144"/>
      <w:bookmarkStart w:id="36" w:name="_Toc499190582"/>
      <w:bookmarkStart w:id="37" w:name="_Toc492917593"/>
      <w:bookmarkStart w:id="38" w:name="_Toc492916960"/>
      <w:bookmarkStart w:id="39" w:name="_Toc492279851"/>
      <w:bookmarkStart w:id="40" w:name="_Toc485300320"/>
      <w:bookmarkStart w:id="41" w:name="_Toc485304425"/>
      <w:bookmarkStart w:id="42" w:name="_Toc464762133"/>
      <w:bookmarkStart w:id="43" w:name="_Toc499545925"/>
      <w:bookmarkStart w:id="44" w:name="_Toc485147731"/>
      <w:bookmarkStart w:id="45" w:name="_Toc8999"/>
      <w:bookmarkStart w:id="46" w:name="_Toc498099025"/>
      <w:bookmarkStart w:id="47" w:name="_Toc17808"/>
      <w:bookmarkStart w:id="48" w:name="_Toc5791"/>
      <w:bookmarkStart w:id="49" w:name="_Toc5880"/>
      <w:bookmarkStart w:id="50" w:name="_Toc464112836"/>
      <w:bookmarkStart w:id="51" w:name="_Toc10045"/>
      <w:bookmarkStart w:id="52" w:name="_Toc499577168"/>
      <w:bookmarkStart w:id="53" w:name="_Toc499545994"/>
      <w:bookmarkStart w:id="54" w:name="_Toc499028349"/>
      <w:bookmarkStart w:id="55" w:name="_Toc498929945"/>
      <w:bookmarkStart w:id="56" w:name="_Toc463630780"/>
      <w:bookmarkStart w:id="57" w:name="_Toc27512"/>
      <w:bookmarkStart w:id="58" w:name="_Toc25880"/>
      <w:bookmarkStart w:id="59" w:name="_Toc459809637"/>
      <w:bookmarkStart w:id="60" w:name="_Toc496857614"/>
      <w:r>
        <w:rPr>
          <w:rFonts w:hint="eastAsia" w:ascii="Times New Roman" w:hAnsi="Times New Roman" w:eastAsia="黑体"/>
        </w:rPr>
        <w:t>2 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0B5DCAF">
      <w:pPr>
        <w:pStyle w:val="33"/>
        <w:spacing w:after="0" w:line="240" w:lineRule="auto"/>
        <w:rPr>
          <w:rFonts w:hint="eastAsia" w:ascii="Times New Roman"/>
          <w:szCs w:val="22"/>
          <w:highlight w:val="none"/>
        </w:rPr>
      </w:pPr>
      <w:r>
        <w:rPr>
          <w:rFonts w:hint="eastAsia" w:ascii="Times New Roman"/>
          <w:szCs w:val="22"/>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32F8157">
      <w:pPr>
        <w:pStyle w:val="33"/>
        <w:spacing w:after="0" w:line="240" w:lineRule="auto"/>
        <w:rPr>
          <w:rFonts w:hint="eastAsia" w:ascii="Times New Roman"/>
          <w:szCs w:val="22"/>
          <w:highlight w:val="none"/>
        </w:rPr>
      </w:pPr>
      <w:r>
        <w:rPr>
          <w:rFonts w:hint="eastAsia" w:ascii="Times New Roman"/>
          <w:szCs w:val="22"/>
          <w:highlight w:val="none"/>
        </w:rPr>
        <w:t>GBZ/T 189-2007 工作场所物理因素测量</w:t>
      </w:r>
    </w:p>
    <w:p w14:paraId="47ED6A61">
      <w:pPr>
        <w:pStyle w:val="33"/>
        <w:spacing w:after="0" w:line="240" w:lineRule="auto"/>
        <w:rPr>
          <w:rFonts w:hint="eastAsia" w:ascii="Times New Roman"/>
          <w:szCs w:val="22"/>
          <w:highlight w:val="none"/>
        </w:rPr>
      </w:pPr>
      <w:bookmarkStart w:id="61" w:name="OLE_LINK2"/>
      <w:r>
        <w:rPr>
          <w:rFonts w:hint="eastAsia" w:ascii="Times New Roman"/>
          <w:szCs w:val="22"/>
          <w:highlight w:val="none"/>
        </w:rPr>
        <w:t>GB/T 25480</w:t>
      </w:r>
      <w:bookmarkEnd w:id="61"/>
      <w:r>
        <w:rPr>
          <w:rFonts w:hint="eastAsia" w:ascii="Times New Roman"/>
          <w:szCs w:val="22"/>
          <w:highlight w:val="none"/>
        </w:rPr>
        <w:t>-2010 仪器仪表运输、贮存基本环境条件及试验方法</w:t>
      </w:r>
    </w:p>
    <w:p w14:paraId="3CCBB4D2">
      <w:pPr>
        <w:pStyle w:val="33"/>
        <w:spacing w:after="0" w:line="240" w:lineRule="auto"/>
        <w:rPr>
          <w:rFonts w:hint="eastAsia" w:ascii="Times New Roman"/>
          <w:szCs w:val="22"/>
          <w:highlight w:val="none"/>
        </w:rPr>
      </w:pPr>
      <w:bookmarkStart w:id="62" w:name="OLE_LINK3"/>
      <w:r>
        <w:rPr>
          <w:rFonts w:hint="eastAsia" w:ascii="Times New Roman"/>
          <w:szCs w:val="22"/>
          <w:highlight w:val="none"/>
        </w:rPr>
        <w:t>DL/T 645</w:t>
      </w:r>
      <w:bookmarkEnd w:id="62"/>
      <w:r>
        <w:rPr>
          <w:rFonts w:hint="eastAsia" w:ascii="Times New Roman"/>
          <w:szCs w:val="22"/>
          <w:highlight w:val="none"/>
        </w:rPr>
        <w:t>-2007 多功能电能表通信协议</w:t>
      </w:r>
    </w:p>
    <w:p w14:paraId="2FC49B4D">
      <w:pPr>
        <w:pStyle w:val="33"/>
        <w:spacing w:after="0" w:line="240" w:lineRule="auto"/>
        <w:rPr>
          <w:rFonts w:hint="eastAsia" w:ascii="Times New Roman"/>
          <w:szCs w:val="22"/>
          <w:highlight w:val="none"/>
        </w:rPr>
      </w:pPr>
      <w:bookmarkStart w:id="63" w:name="OLE_LINK4"/>
      <w:r>
        <w:rPr>
          <w:rFonts w:hint="eastAsia" w:ascii="Times New Roman"/>
          <w:szCs w:val="22"/>
          <w:highlight w:val="none"/>
        </w:rPr>
        <w:t>DL/T 698.45</w:t>
      </w:r>
      <w:bookmarkEnd w:id="63"/>
      <w:r>
        <w:rPr>
          <w:rFonts w:hint="eastAsia" w:ascii="Times New Roman"/>
          <w:szCs w:val="22"/>
          <w:highlight w:val="none"/>
        </w:rPr>
        <w:t xml:space="preserve">-2017 </w:t>
      </w:r>
      <w:r>
        <w:rPr>
          <w:rFonts w:hint="eastAsia" w:ascii="Times New Roman"/>
          <w:szCs w:val="22"/>
          <w:highlight w:val="none"/>
        </w:rPr>
        <w:fldChar w:fldCharType="begin"/>
      </w:r>
      <w:r>
        <w:rPr>
          <w:rFonts w:hint="eastAsia" w:ascii="Times New Roman"/>
          <w:szCs w:val="22"/>
          <w:highlight w:val="none"/>
        </w:rPr>
        <w:instrText xml:space="preserve"> HYPERLINK "https://hbba.sacinfo.org.cn/stdDetail/fc1d6cd5c173c0190cf6627b6430fa56" \t "https://hbba.sacinfo.org.cn/_blank" \o "电能信息采集与管理系统 第4-5部分：通信协议—面向对象的数据交换协议" </w:instrText>
      </w:r>
      <w:r>
        <w:rPr>
          <w:rFonts w:hint="eastAsia" w:ascii="Times New Roman"/>
          <w:szCs w:val="22"/>
          <w:highlight w:val="none"/>
        </w:rPr>
        <w:fldChar w:fldCharType="separate"/>
      </w:r>
      <w:r>
        <w:rPr>
          <w:rFonts w:hint="eastAsia" w:ascii="Times New Roman"/>
          <w:szCs w:val="22"/>
          <w:highlight w:val="none"/>
        </w:rPr>
        <w:t>电能信息采集与管理系统 第4-5部分：通信协议一面向对象的数据交换协议</w:t>
      </w:r>
      <w:r>
        <w:rPr>
          <w:rFonts w:hint="eastAsia" w:ascii="Times New Roman"/>
          <w:szCs w:val="22"/>
          <w:highlight w:val="none"/>
        </w:rPr>
        <w:fldChar w:fldCharType="end"/>
      </w:r>
    </w:p>
    <w:p w14:paraId="0BC0926D">
      <w:pPr>
        <w:pStyle w:val="33"/>
        <w:spacing w:after="0" w:line="240" w:lineRule="auto"/>
        <w:rPr>
          <w:rFonts w:hint="eastAsia" w:ascii="Times New Roman"/>
          <w:szCs w:val="22"/>
          <w:highlight w:val="none"/>
        </w:rPr>
      </w:pPr>
      <w:bookmarkStart w:id="64" w:name="OLE_LINK5"/>
      <w:r>
        <w:rPr>
          <w:rFonts w:hint="eastAsia" w:ascii="Times New Roman"/>
          <w:szCs w:val="22"/>
          <w:highlight w:val="none"/>
        </w:rPr>
        <w:t>DL/T 698.46</w:t>
      </w:r>
      <w:bookmarkEnd w:id="64"/>
      <w:r>
        <w:rPr>
          <w:rFonts w:hint="eastAsia" w:ascii="Times New Roman"/>
          <w:szCs w:val="22"/>
          <w:highlight w:val="none"/>
        </w:rPr>
        <w:t>-2016 电能信息采集与管理系统 第4-6部分:通信协议一采集终端远程通信模块接口协议</w:t>
      </w:r>
    </w:p>
    <w:p w14:paraId="07E622C5">
      <w:pPr>
        <w:pStyle w:val="33"/>
        <w:spacing w:after="0" w:line="240" w:lineRule="auto"/>
        <w:rPr>
          <w:rFonts w:hint="eastAsia" w:ascii="Times New Roman"/>
          <w:szCs w:val="22"/>
          <w:highlight w:val="none"/>
        </w:rPr>
      </w:pPr>
      <w:bookmarkStart w:id="65" w:name="OLE_LINK6"/>
      <w:r>
        <w:rPr>
          <w:rFonts w:hint="eastAsia" w:ascii="Times New Roman"/>
          <w:szCs w:val="22"/>
          <w:highlight w:val="none"/>
        </w:rPr>
        <w:t>DL/T 1485</w:t>
      </w:r>
      <w:bookmarkEnd w:id="65"/>
      <w:r>
        <w:rPr>
          <w:rFonts w:hint="eastAsia" w:ascii="Times New Roman"/>
          <w:szCs w:val="22"/>
          <w:highlight w:val="none"/>
        </w:rPr>
        <w:t>-20</w:t>
      </w:r>
      <w:r>
        <w:rPr>
          <w:rFonts w:hint="eastAsia" w:ascii="Times New Roman"/>
          <w:szCs w:val="22"/>
          <w:highlight w:val="none"/>
          <w:lang w:val="en-US" w:eastAsia="zh-CN"/>
        </w:rPr>
        <w:t>24</w:t>
      </w:r>
      <w:r>
        <w:rPr>
          <w:rFonts w:hint="eastAsia" w:ascii="Times New Roman"/>
          <w:szCs w:val="22"/>
          <w:highlight w:val="none"/>
        </w:rPr>
        <w:t xml:space="preserve"> </w:t>
      </w:r>
      <w:r>
        <w:rPr>
          <w:rFonts w:hint="eastAsia" w:ascii="Times New Roman"/>
          <w:szCs w:val="22"/>
          <w:highlight w:val="none"/>
        </w:rPr>
        <w:fldChar w:fldCharType="begin"/>
      </w:r>
      <w:r>
        <w:rPr>
          <w:rFonts w:hint="eastAsia" w:ascii="Times New Roman"/>
          <w:szCs w:val="22"/>
          <w:highlight w:val="none"/>
        </w:rPr>
        <w:instrText xml:space="preserve"> HYPERLINK "https://hbba.sacinfo.org.cn/stdDetail/f77d7e7f0a34a6eadda016b773b23d1dd128f380aa93c7dbe5c58c67d9d2075e" \t "https://hbba.sacinfo.org.cn/_blank" \o "三相智能电能表技术规范" </w:instrText>
      </w:r>
      <w:r>
        <w:rPr>
          <w:rFonts w:hint="eastAsia" w:ascii="Times New Roman"/>
          <w:szCs w:val="22"/>
          <w:highlight w:val="none"/>
        </w:rPr>
        <w:fldChar w:fldCharType="separate"/>
      </w:r>
      <w:r>
        <w:rPr>
          <w:rFonts w:hint="eastAsia" w:ascii="Times New Roman"/>
          <w:szCs w:val="22"/>
          <w:highlight w:val="none"/>
        </w:rPr>
        <w:t>三相智能电能表技术规范</w:t>
      </w:r>
      <w:r>
        <w:rPr>
          <w:rFonts w:hint="eastAsia" w:ascii="Times New Roman"/>
          <w:szCs w:val="22"/>
          <w:highlight w:val="none"/>
        </w:rPr>
        <w:fldChar w:fldCharType="end"/>
      </w:r>
    </w:p>
    <w:p w14:paraId="46377C34">
      <w:pPr>
        <w:pStyle w:val="33"/>
        <w:spacing w:after="0" w:line="240" w:lineRule="auto"/>
        <w:rPr>
          <w:rFonts w:hint="eastAsia" w:ascii="Times New Roman"/>
          <w:szCs w:val="22"/>
          <w:highlight w:val="none"/>
        </w:rPr>
      </w:pPr>
      <w:bookmarkStart w:id="66" w:name="OLE_LINK7"/>
      <w:bookmarkStart w:id="67" w:name="OLE_LINK10"/>
      <w:r>
        <w:rPr>
          <w:rFonts w:hint="eastAsia" w:ascii="Times New Roman"/>
          <w:szCs w:val="22"/>
          <w:highlight w:val="none"/>
        </w:rPr>
        <w:t>DL/T 1487</w:t>
      </w:r>
      <w:bookmarkEnd w:id="66"/>
      <w:r>
        <w:rPr>
          <w:rFonts w:hint="eastAsia" w:ascii="Times New Roman"/>
          <w:szCs w:val="22"/>
          <w:highlight w:val="none"/>
        </w:rPr>
        <w:t>-20</w:t>
      </w:r>
      <w:bookmarkEnd w:id="67"/>
      <w:r>
        <w:rPr>
          <w:rFonts w:hint="eastAsia" w:ascii="Times New Roman"/>
          <w:szCs w:val="22"/>
          <w:highlight w:val="none"/>
          <w:lang w:val="en-US" w:eastAsia="zh-CN"/>
        </w:rPr>
        <w:t>24</w:t>
      </w:r>
      <w:r>
        <w:rPr>
          <w:rFonts w:hint="eastAsia" w:ascii="Times New Roman"/>
          <w:szCs w:val="22"/>
          <w:highlight w:val="none"/>
        </w:rPr>
        <w:t xml:space="preserve"> </w:t>
      </w:r>
      <w:r>
        <w:rPr>
          <w:rFonts w:hint="eastAsia" w:ascii="Times New Roman"/>
          <w:szCs w:val="22"/>
          <w:highlight w:val="none"/>
        </w:rPr>
        <w:fldChar w:fldCharType="begin"/>
      </w:r>
      <w:r>
        <w:rPr>
          <w:rFonts w:hint="eastAsia" w:ascii="Times New Roman"/>
          <w:szCs w:val="22"/>
          <w:highlight w:val="none"/>
        </w:rPr>
        <w:instrText xml:space="preserve"> HYPERLINK "https://hbba.sacinfo.org.cn/stdDetail/eeb575bbf9b4c5c21ac7ea5617a78019d128f380aa93c7dbe5c58c67d9d2075e" \t "https://hbba.sacinfo.org.cn/_blank" \o "单相智能电能表技术规范" </w:instrText>
      </w:r>
      <w:r>
        <w:rPr>
          <w:rFonts w:hint="eastAsia" w:ascii="Times New Roman"/>
          <w:szCs w:val="22"/>
          <w:highlight w:val="none"/>
        </w:rPr>
        <w:fldChar w:fldCharType="separate"/>
      </w:r>
      <w:r>
        <w:rPr>
          <w:rFonts w:hint="eastAsia" w:ascii="Times New Roman"/>
          <w:szCs w:val="22"/>
          <w:highlight w:val="none"/>
        </w:rPr>
        <w:t>单相</w:t>
      </w:r>
      <w:bookmarkStart w:id="68" w:name="OLE_LINK11"/>
      <w:r>
        <w:rPr>
          <w:rFonts w:hint="eastAsia" w:ascii="Times New Roman"/>
          <w:szCs w:val="22"/>
          <w:highlight w:val="none"/>
        </w:rPr>
        <w:t>智能电能表技术规范</w:t>
      </w:r>
      <w:bookmarkEnd w:id="68"/>
      <w:r>
        <w:rPr>
          <w:rFonts w:hint="eastAsia" w:ascii="Times New Roman"/>
          <w:szCs w:val="22"/>
          <w:highlight w:val="none"/>
        </w:rPr>
        <w:fldChar w:fldCharType="end"/>
      </w:r>
    </w:p>
    <w:p w14:paraId="3716C9AA">
      <w:pPr>
        <w:pStyle w:val="33"/>
        <w:spacing w:after="0" w:line="240" w:lineRule="auto"/>
        <w:rPr>
          <w:rFonts w:hint="eastAsia" w:ascii="Times New Roman"/>
          <w:szCs w:val="22"/>
          <w:highlight w:val="none"/>
        </w:rPr>
      </w:pPr>
      <w:bookmarkStart w:id="69" w:name="OLE_LINK8"/>
      <w:r>
        <w:rPr>
          <w:rFonts w:hint="eastAsia" w:ascii="Times New Roman"/>
          <w:szCs w:val="22"/>
          <w:highlight w:val="none"/>
        </w:rPr>
        <w:t>DL/T 1488</w:t>
      </w:r>
      <w:bookmarkEnd w:id="69"/>
      <w:r>
        <w:rPr>
          <w:rFonts w:hint="eastAsia" w:ascii="Times New Roman"/>
          <w:szCs w:val="22"/>
          <w:highlight w:val="none"/>
        </w:rPr>
        <w:t>-20</w:t>
      </w:r>
      <w:r>
        <w:rPr>
          <w:rFonts w:hint="eastAsia" w:ascii="Times New Roman"/>
          <w:szCs w:val="22"/>
          <w:highlight w:val="none"/>
          <w:lang w:val="en-US" w:eastAsia="zh-CN"/>
        </w:rPr>
        <w:t>24</w:t>
      </w:r>
      <w:r>
        <w:rPr>
          <w:rFonts w:hint="eastAsia" w:ascii="Times New Roman"/>
          <w:szCs w:val="22"/>
          <w:highlight w:val="none"/>
        </w:rPr>
        <w:t xml:space="preserve"> </w:t>
      </w:r>
      <w:r>
        <w:rPr>
          <w:rFonts w:hint="eastAsia" w:ascii="Times New Roman"/>
          <w:szCs w:val="22"/>
          <w:highlight w:val="none"/>
        </w:rPr>
        <w:fldChar w:fldCharType="begin"/>
      </w:r>
      <w:r>
        <w:rPr>
          <w:rFonts w:hint="eastAsia" w:ascii="Times New Roman"/>
          <w:szCs w:val="22"/>
          <w:highlight w:val="none"/>
        </w:rPr>
        <w:instrText xml:space="preserve"> HYPERLINK "https://hbba.sacinfo.org.cn/stdDetail/cdd84192180ba14fe77dff0d51fe795ad128f380aa93c7dbe5c58c67d9d2075e" \t "https://hbba.sacinfo.org.cn/_blank" \o "单相智能电能表型式规范" </w:instrText>
      </w:r>
      <w:r>
        <w:rPr>
          <w:rFonts w:hint="eastAsia" w:ascii="Times New Roman"/>
          <w:szCs w:val="22"/>
          <w:highlight w:val="none"/>
        </w:rPr>
        <w:fldChar w:fldCharType="separate"/>
      </w:r>
      <w:r>
        <w:rPr>
          <w:rFonts w:hint="eastAsia" w:ascii="Times New Roman"/>
          <w:szCs w:val="22"/>
          <w:highlight w:val="none"/>
        </w:rPr>
        <w:t>单相智能电能表型式规范</w:t>
      </w:r>
      <w:r>
        <w:rPr>
          <w:rFonts w:hint="eastAsia" w:ascii="Times New Roman"/>
          <w:szCs w:val="22"/>
          <w:highlight w:val="none"/>
        </w:rPr>
        <w:fldChar w:fldCharType="end"/>
      </w:r>
    </w:p>
    <w:p w14:paraId="467822AE">
      <w:pPr>
        <w:pStyle w:val="33"/>
        <w:spacing w:after="0" w:line="240" w:lineRule="auto"/>
        <w:rPr>
          <w:rFonts w:hint="eastAsia" w:ascii="Times New Roman"/>
          <w:szCs w:val="22"/>
          <w:highlight w:val="none"/>
        </w:rPr>
      </w:pPr>
      <w:bookmarkStart w:id="70" w:name="OLE_LINK9"/>
      <w:r>
        <w:rPr>
          <w:rFonts w:hint="eastAsia" w:ascii="Times New Roman"/>
          <w:szCs w:val="22"/>
          <w:highlight w:val="none"/>
        </w:rPr>
        <w:t>DL/T 1489</w:t>
      </w:r>
      <w:bookmarkEnd w:id="70"/>
      <w:r>
        <w:rPr>
          <w:rFonts w:hint="eastAsia" w:ascii="Times New Roman"/>
          <w:szCs w:val="22"/>
          <w:highlight w:val="none"/>
        </w:rPr>
        <w:t>-20</w:t>
      </w:r>
      <w:r>
        <w:rPr>
          <w:rFonts w:hint="eastAsia" w:ascii="Times New Roman"/>
          <w:szCs w:val="22"/>
          <w:highlight w:val="none"/>
          <w:lang w:val="en-US" w:eastAsia="zh-CN"/>
        </w:rPr>
        <w:t>24</w:t>
      </w:r>
      <w:r>
        <w:rPr>
          <w:rFonts w:hint="eastAsia" w:ascii="Times New Roman"/>
          <w:szCs w:val="22"/>
          <w:highlight w:val="none"/>
        </w:rPr>
        <w:t xml:space="preserve"> </w:t>
      </w:r>
      <w:r>
        <w:rPr>
          <w:rFonts w:hint="eastAsia" w:ascii="Times New Roman"/>
          <w:szCs w:val="22"/>
          <w:highlight w:val="none"/>
        </w:rPr>
        <w:fldChar w:fldCharType="begin"/>
      </w:r>
      <w:r>
        <w:rPr>
          <w:rFonts w:hint="eastAsia" w:ascii="Times New Roman"/>
          <w:szCs w:val="22"/>
          <w:highlight w:val="none"/>
        </w:rPr>
        <w:instrText xml:space="preserve"> HYPERLINK "https://hbba.sacinfo.org.cn/stdDetail/17bcefd24a4d0a3c5e9ad2bc1d3bc782d128f380aa93c7dbe5c58c67d9d2075e" \t "https://hbba.sacinfo.org.cn/_blank" \o "三相智能电能表型式规范" </w:instrText>
      </w:r>
      <w:r>
        <w:rPr>
          <w:rFonts w:hint="eastAsia" w:ascii="Times New Roman"/>
          <w:szCs w:val="22"/>
          <w:highlight w:val="none"/>
        </w:rPr>
        <w:fldChar w:fldCharType="separate"/>
      </w:r>
      <w:r>
        <w:rPr>
          <w:rFonts w:hint="eastAsia" w:ascii="Times New Roman"/>
          <w:szCs w:val="22"/>
          <w:highlight w:val="none"/>
        </w:rPr>
        <w:t>三相智能电能表型式规范</w:t>
      </w:r>
      <w:r>
        <w:rPr>
          <w:rFonts w:hint="eastAsia" w:ascii="Times New Roman"/>
          <w:szCs w:val="22"/>
          <w:highlight w:val="none"/>
        </w:rPr>
        <w:fldChar w:fldCharType="end"/>
      </w:r>
    </w:p>
    <w:p w14:paraId="799643B5">
      <w:pPr>
        <w:pStyle w:val="33"/>
        <w:spacing w:before="312" w:beforeLines="100" w:after="312" w:afterLines="100"/>
        <w:ind w:firstLine="0" w:firstLineChars="0"/>
        <w:outlineLvl w:val="0"/>
        <w:rPr>
          <w:rFonts w:ascii="Times New Roman" w:eastAsia="黑体"/>
        </w:rPr>
      </w:pPr>
      <w:bookmarkStart w:id="71" w:name="_Toc16601"/>
      <w:bookmarkStart w:id="72" w:name="_Toc15576"/>
      <w:bookmarkStart w:id="73" w:name="_Toc19377"/>
      <w:bookmarkStart w:id="74" w:name="_Toc31761"/>
      <w:bookmarkStart w:id="75" w:name="_Toc6130"/>
      <w:bookmarkStart w:id="76" w:name="_Toc29414"/>
      <w:bookmarkStart w:id="77" w:name="_Toc26875"/>
      <w:bookmarkStart w:id="78" w:name="_Toc22827"/>
      <w:r>
        <w:rPr>
          <w:rFonts w:hint="eastAsia" w:ascii="Times New Roman" w:eastAsia="黑体"/>
        </w:rPr>
        <w:t>3 术语和定义</w:t>
      </w:r>
      <w:bookmarkEnd w:id="71"/>
      <w:bookmarkEnd w:id="72"/>
      <w:bookmarkEnd w:id="73"/>
      <w:bookmarkEnd w:id="74"/>
      <w:bookmarkEnd w:id="75"/>
      <w:bookmarkEnd w:id="76"/>
      <w:bookmarkEnd w:id="77"/>
      <w:bookmarkEnd w:id="78"/>
    </w:p>
    <w:p w14:paraId="59EC1CDD">
      <w:pPr>
        <w:pStyle w:val="33"/>
        <w:spacing w:after="0" w:line="240" w:lineRule="auto"/>
        <w:rPr>
          <w:rFonts w:hint="eastAsia" w:ascii="Times New Roman"/>
          <w:szCs w:val="22"/>
          <w:highlight w:val="none"/>
        </w:rPr>
      </w:pPr>
      <w:r>
        <w:rPr>
          <w:rFonts w:hint="eastAsia" w:ascii="Times New Roman"/>
          <w:szCs w:val="22"/>
          <w:highlight w:val="none"/>
        </w:rPr>
        <w:t>下列术语和定义适用于本文件。</w:t>
      </w:r>
    </w:p>
    <w:p w14:paraId="72F89B93">
      <w:pPr>
        <w:pStyle w:val="33"/>
        <w:spacing w:before="156" w:beforeLines="50" w:after="156" w:afterLines="50"/>
        <w:ind w:firstLine="0" w:firstLineChars="0"/>
        <w:rPr>
          <w:rFonts w:ascii="Times New Roman" w:eastAsia="黑体"/>
          <w:szCs w:val="21"/>
        </w:rPr>
      </w:pPr>
      <w:bookmarkStart w:id="79" w:name="_Toc16191"/>
      <w:bookmarkStart w:id="80" w:name="_Toc11735"/>
      <w:bookmarkStart w:id="81" w:name="_Toc27231"/>
      <w:bookmarkStart w:id="82" w:name="_Toc26352"/>
      <w:r>
        <w:rPr>
          <w:rFonts w:ascii="Times New Roman" w:eastAsia="黑体"/>
          <w:szCs w:val="21"/>
        </w:rPr>
        <w:t xml:space="preserve">3.1 </w:t>
      </w:r>
      <w:bookmarkEnd w:id="79"/>
    </w:p>
    <w:p w14:paraId="616504E0">
      <w:pPr>
        <w:pStyle w:val="33"/>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textAlignment w:val="auto"/>
        <w:outlineLvl w:val="9"/>
        <w:rPr>
          <w:rFonts w:ascii="Times New Roman" w:eastAsia="黑体"/>
          <w:szCs w:val="21"/>
        </w:rPr>
      </w:pPr>
      <w:r>
        <w:rPr>
          <w:rFonts w:hint="eastAsia" w:ascii="Times New Roman" w:eastAsia="黑体"/>
          <w:szCs w:val="21"/>
        </w:rPr>
        <w:t>拆回电能表</w:t>
      </w:r>
      <w:bookmarkEnd w:id="80"/>
      <w:r>
        <w:rPr>
          <w:rFonts w:ascii="Times New Roman" w:eastAsia="黑体"/>
          <w:szCs w:val="21"/>
        </w:rPr>
        <w:t xml:space="preserve"> retrieved electricity meter</w:t>
      </w:r>
      <w:bookmarkEnd w:id="81"/>
      <w:bookmarkEnd w:id="82"/>
    </w:p>
    <w:p w14:paraId="74DB46AF">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因各种原因从用户处拆除并回收的电能表。</w:t>
      </w:r>
    </w:p>
    <w:p w14:paraId="56D45791">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注：各种原因指更新换代、损坏、校验等。</w:t>
      </w:r>
    </w:p>
    <w:p w14:paraId="598F89EF">
      <w:pPr>
        <w:pStyle w:val="33"/>
        <w:spacing w:before="156" w:beforeLines="50" w:after="156" w:afterLines="50"/>
        <w:ind w:firstLine="0" w:firstLineChars="0"/>
        <w:rPr>
          <w:rFonts w:ascii="Times New Roman" w:eastAsia="黑体"/>
          <w:szCs w:val="21"/>
        </w:rPr>
      </w:pPr>
      <w:bookmarkStart w:id="83" w:name="_Toc11737"/>
      <w:r>
        <w:rPr>
          <w:rFonts w:hint="eastAsia" w:ascii="Times New Roman" w:eastAsia="黑体"/>
          <w:szCs w:val="21"/>
        </w:rPr>
        <w:t xml:space="preserve">3.2 </w:t>
      </w:r>
    </w:p>
    <w:p w14:paraId="71420E48">
      <w:pPr>
        <w:pStyle w:val="33"/>
        <w:spacing w:before="156" w:beforeLines="50" w:after="156" w:afterLines="50"/>
        <w:rPr>
          <w:rFonts w:ascii="Times New Roman" w:eastAsia="黑体"/>
          <w:szCs w:val="21"/>
        </w:rPr>
      </w:pPr>
      <w:r>
        <w:rPr>
          <w:rFonts w:hint="eastAsia" w:ascii="Times New Roman" w:eastAsia="黑体"/>
          <w:color w:val="000000" w:themeColor="text1"/>
          <w:szCs w:val="21"/>
          <w14:textFill>
            <w14:solidFill>
              <w14:schemeClr w14:val="tx1"/>
            </w14:solidFill>
          </w14:textFill>
        </w:rPr>
        <w:t>故障现象</w:t>
      </w:r>
      <w:r>
        <w:rPr>
          <w:rFonts w:hint="eastAsia" w:ascii="Times New Roman" w:eastAsia="黑体"/>
          <w:szCs w:val="21"/>
        </w:rPr>
        <w:t xml:space="preserve">  </w:t>
      </w:r>
      <w:r>
        <w:rPr>
          <w:rFonts w:hint="eastAsia" w:ascii="Times New Roman" w:eastAsia="黑体"/>
          <w:szCs w:val="22"/>
        </w:rPr>
        <w:t>fault phenomenon</w:t>
      </w:r>
      <w:bookmarkEnd w:id="83"/>
    </w:p>
    <w:p w14:paraId="6FD47A59">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bookmarkStart w:id="84" w:name="_Hlk162451590"/>
      <w:r>
        <w:rPr>
          <w:rFonts w:hint="eastAsia" w:ascii="Times New Roman" w:hAnsi="Calibri" w:eastAsia="宋体"/>
          <w:color w:val="000000" w:themeColor="text1"/>
          <w:szCs w:val="22"/>
          <w:highlight w:val="none"/>
          <w14:textFill>
            <w14:solidFill>
              <w14:schemeClr w14:val="tx1"/>
            </w14:solidFill>
          </w14:textFill>
        </w:rPr>
        <w:t>电能表发生故障时呈现出的非正常运行状态。</w:t>
      </w:r>
    </w:p>
    <w:bookmarkEnd w:id="84"/>
    <w:p w14:paraId="2F27F662">
      <w:pPr>
        <w:pStyle w:val="33"/>
        <w:spacing w:before="156" w:beforeLines="50" w:after="156" w:afterLines="50"/>
        <w:ind w:firstLine="0" w:firstLineChars="0"/>
        <w:rPr>
          <w:rFonts w:ascii="Times New Roman" w:eastAsia="黑体"/>
        </w:rPr>
      </w:pPr>
      <w:bookmarkStart w:id="85" w:name="_Toc2820"/>
      <w:bookmarkStart w:id="86" w:name="_Toc7482"/>
      <w:bookmarkStart w:id="87" w:name="_Toc15038"/>
      <w:bookmarkStart w:id="88" w:name="_Toc23055"/>
      <w:r>
        <w:rPr>
          <w:rFonts w:hint="eastAsia" w:ascii="Times New Roman" w:eastAsia="黑体"/>
        </w:rPr>
        <w:t xml:space="preserve">3.3 </w:t>
      </w:r>
      <w:bookmarkEnd w:id="85"/>
      <w:bookmarkEnd w:id="86"/>
      <w:bookmarkEnd w:id="87"/>
      <w:bookmarkStart w:id="89" w:name="_Toc27176"/>
      <w:bookmarkStart w:id="90" w:name="_Toc21885"/>
      <w:bookmarkStart w:id="91" w:name="_Toc422"/>
    </w:p>
    <w:p w14:paraId="21567EEA">
      <w:pPr>
        <w:pStyle w:val="33"/>
        <w:spacing w:before="156" w:beforeLines="50" w:after="156" w:afterLines="50"/>
        <w:rPr>
          <w:rFonts w:ascii="Times New Roman" w:eastAsia="黑体"/>
        </w:rPr>
      </w:pPr>
      <w:r>
        <w:rPr>
          <w:rFonts w:hint="eastAsia" w:ascii="Times New Roman" w:eastAsia="黑体"/>
          <w:szCs w:val="22"/>
        </w:rPr>
        <w:t>运行</w:t>
      </w:r>
      <w:r>
        <w:rPr>
          <w:rFonts w:hint="eastAsia" w:ascii="Times New Roman" w:eastAsia="黑体"/>
        </w:rPr>
        <w:t>数量</w:t>
      </w:r>
      <w:r>
        <w:rPr>
          <w:rFonts w:hint="eastAsia" w:ascii="Times New Roman" w:eastAsia="黑体"/>
          <w:szCs w:val="22"/>
        </w:rPr>
        <w:t xml:space="preserve"> operating qu</w:t>
      </w:r>
      <w:r>
        <w:rPr>
          <w:rFonts w:hint="eastAsia" w:ascii="Times New Roman" w:eastAsia="黑体"/>
        </w:rPr>
        <w:t>antity</w:t>
      </w:r>
      <w:bookmarkEnd w:id="88"/>
    </w:p>
    <w:p w14:paraId="1A8D5B14">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仍在现场运行中的电能表数量。</w:t>
      </w:r>
    </w:p>
    <w:bookmarkEnd w:id="89"/>
    <w:bookmarkEnd w:id="90"/>
    <w:bookmarkEnd w:id="91"/>
    <w:p w14:paraId="20E314A2">
      <w:pPr>
        <w:pStyle w:val="33"/>
        <w:spacing w:before="156" w:beforeLines="50" w:after="156" w:afterLines="50"/>
        <w:ind w:firstLine="0" w:firstLineChars="0"/>
        <w:rPr>
          <w:rFonts w:ascii="Times New Roman" w:eastAsia="黑体"/>
        </w:rPr>
      </w:pPr>
      <w:bookmarkStart w:id="92" w:name="_Toc14413"/>
      <w:bookmarkStart w:id="93" w:name="_Toc20066"/>
      <w:bookmarkStart w:id="94" w:name="_Toc1429"/>
      <w:bookmarkStart w:id="95" w:name="_Toc14415"/>
      <w:r>
        <w:rPr>
          <w:rFonts w:hint="eastAsia" w:ascii="Times New Roman" w:eastAsia="黑体"/>
        </w:rPr>
        <w:t xml:space="preserve">3.4 </w:t>
      </w:r>
    </w:p>
    <w:p w14:paraId="20C4F79A">
      <w:pPr>
        <w:pStyle w:val="33"/>
        <w:spacing w:before="156" w:beforeLines="50" w:after="156" w:afterLines="50"/>
        <w:rPr>
          <w:rFonts w:ascii="Times New Roman" w:eastAsia="黑体"/>
        </w:rPr>
      </w:pPr>
      <w:r>
        <w:rPr>
          <w:rFonts w:hint="eastAsia" w:ascii="Times New Roman" w:eastAsia="黑体"/>
        </w:rPr>
        <w:t>分拣数量 s</w:t>
      </w:r>
      <w:r>
        <w:rPr>
          <w:rFonts w:hint="eastAsia" w:ascii="Times New Roman" w:eastAsia="黑体"/>
          <w:szCs w:val="22"/>
        </w:rPr>
        <w:t>orting quanti</w:t>
      </w:r>
      <w:r>
        <w:rPr>
          <w:rFonts w:hint="eastAsia" w:ascii="Times New Roman" w:eastAsia="黑体"/>
        </w:rPr>
        <w:t>ty</w:t>
      </w:r>
      <w:bookmarkEnd w:id="92"/>
      <w:bookmarkEnd w:id="93"/>
      <w:bookmarkEnd w:id="94"/>
      <w:bookmarkEnd w:id="95"/>
    </w:p>
    <w:p w14:paraId="35F19EED">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已拆回且完成分拣检测的电能表数量。</w:t>
      </w:r>
    </w:p>
    <w:p w14:paraId="56489030">
      <w:pPr>
        <w:pStyle w:val="33"/>
        <w:spacing w:before="156" w:beforeLines="50" w:after="156" w:afterLines="50"/>
        <w:ind w:firstLine="0" w:firstLineChars="0"/>
        <w:rPr>
          <w:rFonts w:ascii="Times New Roman"/>
        </w:rPr>
      </w:pPr>
      <w:bookmarkStart w:id="96" w:name="_Toc21909"/>
      <w:bookmarkStart w:id="97" w:name="_Toc1889"/>
      <w:bookmarkStart w:id="98" w:name="_Toc5152"/>
      <w:bookmarkStart w:id="99" w:name="_Toc19352"/>
      <w:r>
        <w:rPr>
          <w:rFonts w:hint="eastAsia" w:ascii="Times New Roman"/>
        </w:rPr>
        <w:t xml:space="preserve">3.5 </w:t>
      </w:r>
    </w:p>
    <w:p w14:paraId="0B277B2E">
      <w:pPr>
        <w:pStyle w:val="33"/>
        <w:spacing w:before="156" w:beforeLines="50" w:after="156" w:afterLines="50"/>
        <w:rPr>
          <w:rFonts w:hint="eastAsia" w:ascii="黑体-简" w:hAnsi="黑体-简" w:eastAsia="黑体-简" w:cs="黑体-简"/>
          <w:bCs/>
          <w:color w:val="auto"/>
        </w:rPr>
      </w:pPr>
      <w:r>
        <w:rPr>
          <w:rFonts w:hint="eastAsia" w:ascii="黑体-简" w:hAnsi="黑体-简" w:eastAsia="黑体-简" w:cs="黑体-简"/>
          <w:bCs/>
          <w:color w:val="auto"/>
        </w:rPr>
        <w:t xml:space="preserve">故障数量 </w:t>
      </w:r>
      <w:bookmarkEnd w:id="96"/>
      <w:bookmarkEnd w:id="97"/>
      <w:bookmarkEnd w:id="98"/>
      <w:bookmarkEnd w:id="99"/>
      <w:r>
        <w:rPr>
          <w:rFonts w:hint="eastAsia" w:ascii="Times New Roman" w:eastAsia="黑体"/>
          <w:color w:val="auto"/>
          <w:szCs w:val="22"/>
          <w:lang w:val="en-US" w:eastAsia="zh-CN"/>
        </w:rPr>
        <w:t>q</w:t>
      </w:r>
      <w:r>
        <w:rPr>
          <w:rFonts w:hint="eastAsia" w:ascii="Times New Roman" w:eastAsia="黑体"/>
          <w:color w:val="auto"/>
          <w:szCs w:val="22"/>
        </w:rPr>
        <w:t>uantity of faults</w:t>
      </w:r>
    </w:p>
    <w:p w14:paraId="17773D48">
      <w:pPr>
        <w:pStyle w:val="33"/>
        <w:spacing w:after="0" w:line="240" w:lineRule="auto"/>
        <w:rPr>
          <w:rFonts w:hint="eastAsia" w:ascii="Times New Roman" w:hAnsi="Calibri" w:eastAsia="宋体"/>
          <w:color w:val="auto"/>
          <w:szCs w:val="22"/>
          <w:highlight w:val="none"/>
        </w:rPr>
      </w:pPr>
      <w:r>
        <w:rPr>
          <w:rFonts w:hint="eastAsia" w:ascii="Times New Roman" w:hAnsi="Calibri" w:eastAsia="宋体"/>
          <w:color w:val="auto"/>
          <w:szCs w:val="22"/>
          <w:highlight w:val="none"/>
        </w:rPr>
        <w:t>分拣检测结果为存在故障现象的电能表数量。</w:t>
      </w:r>
    </w:p>
    <w:p w14:paraId="7C06BC89">
      <w:pPr>
        <w:pStyle w:val="33"/>
        <w:spacing w:before="156" w:beforeLines="50" w:after="156" w:afterLines="50"/>
        <w:ind w:firstLine="0" w:firstLineChars="0"/>
        <w:rPr>
          <w:rFonts w:ascii="Times New Roman"/>
          <w:color w:val="auto"/>
        </w:rPr>
      </w:pPr>
      <w:bookmarkStart w:id="100" w:name="_Toc24850"/>
      <w:bookmarkStart w:id="101" w:name="_Toc11916"/>
      <w:bookmarkStart w:id="102" w:name="_Toc18371"/>
      <w:bookmarkStart w:id="103" w:name="_Toc6872"/>
      <w:r>
        <w:rPr>
          <w:rFonts w:hint="eastAsia" w:ascii="Times New Roman"/>
          <w:color w:val="auto"/>
        </w:rPr>
        <w:t xml:space="preserve">3.6 </w:t>
      </w:r>
    </w:p>
    <w:p w14:paraId="6040B0C8">
      <w:pPr>
        <w:pStyle w:val="33"/>
        <w:spacing w:before="156" w:beforeLines="50" w:after="156" w:afterLines="50"/>
        <w:rPr>
          <w:rFonts w:ascii="Times New Roman" w:eastAsia="黑体"/>
          <w:color w:val="auto"/>
          <w:szCs w:val="22"/>
        </w:rPr>
      </w:pPr>
      <w:r>
        <w:rPr>
          <w:rFonts w:hint="eastAsia" w:ascii="Times New Roman" w:eastAsia="黑体"/>
          <w:color w:val="auto"/>
          <w:szCs w:val="22"/>
        </w:rPr>
        <w:t>故障率</w:t>
      </w:r>
      <w:r>
        <w:rPr>
          <w:rFonts w:hint="eastAsia" w:ascii="Times New Roman" w:eastAsia="黑体"/>
          <w:color w:val="auto"/>
        </w:rPr>
        <w:t xml:space="preserve"> </w:t>
      </w:r>
      <w:bookmarkEnd w:id="100"/>
      <w:bookmarkEnd w:id="101"/>
      <w:bookmarkEnd w:id="102"/>
      <w:bookmarkEnd w:id="103"/>
      <w:r>
        <w:rPr>
          <w:rFonts w:hint="eastAsia" w:ascii="Times New Roman" w:eastAsia="黑体"/>
          <w:color w:val="auto"/>
          <w:szCs w:val="22"/>
          <w:lang w:val="en-US" w:eastAsia="zh-CN"/>
        </w:rPr>
        <w:t>f</w:t>
      </w:r>
      <w:r>
        <w:rPr>
          <w:rFonts w:hint="eastAsia" w:ascii="Times New Roman" w:eastAsia="黑体"/>
          <w:color w:val="auto"/>
          <w:szCs w:val="22"/>
        </w:rPr>
        <w:t>ailure rate</w:t>
      </w:r>
    </w:p>
    <w:p w14:paraId="01FFBBB4">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故障数量与运行数量、分拣数量的和之比。</w:t>
      </w:r>
    </w:p>
    <w:p w14:paraId="41C66FAD">
      <w:pPr>
        <w:pStyle w:val="33"/>
        <w:spacing w:before="156" w:beforeLines="50" w:after="156" w:afterLines="50"/>
        <w:ind w:firstLine="0" w:firstLineChars="0"/>
        <w:rPr>
          <w:rFonts w:ascii="Times New Roman" w:eastAsia="黑体"/>
          <w:szCs w:val="22"/>
        </w:rPr>
      </w:pPr>
      <w:bookmarkStart w:id="104" w:name="_Toc29765"/>
      <w:bookmarkStart w:id="105" w:name="_Toc44"/>
      <w:bookmarkStart w:id="106" w:name="_Toc32411"/>
      <w:bookmarkStart w:id="107" w:name="_Toc9469"/>
      <w:r>
        <w:rPr>
          <w:rFonts w:hint="eastAsia" w:ascii="Times New Roman" w:eastAsia="黑体"/>
          <w:szCs w:val="22"/>
        </w:rPr>
        <w:t xml:space="preserve">3.7 </w:t>
      </w:r>
    </w:p>
    <w:p w14:paraId="62E47F59">
      <w:pPr>
        <w:pStyle w:val="33"/>
        <w:spacing w:before="156" w:beforeLines="50" w:after="156" w:afterLines="50"/>
        <w:rPr>
          <w:rFonts w:ascii="Times New Roman" w:eastAsia="黑体"/>
          <w:szCs w:val="22"/>
        </w:rPr>
      </w:pPr>
      <w:r>
        <w:rPr>
          <w:rFonts w:hint="eastAsia" w:ascii="Times New Roman" w:eastAsia="黑体"/>
          <w:szCs w:val="22"/>
        </w:rPr>
        <w:t>运行年限 operating year</w:t>
      </w:r>
      <w:bookmarkEnd w:id="104"/>
      <w:bookmarkEnd w:id="105"/>
      <w:bookmarkEnd w:id="106"/>
      <w:bookmarkEnd w:id="107"/>
      <w:r>
        <w:rPr>
          <w:rFonts w:hint="eastAsia" w:ascii="Times New Roman" w:eastAsia="黑体"/>
          <w:szCs w:val="22"/>
        </w:rPr>
        <w:t>s</w:t>
      </w:r>
    </w:p>
    <w:p w14:paraId="398CE970">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电能表的拆除时间与建档时间之差。</w:t>
      </w:r>
    </w:p>
    <w:p w14:paraId="48B110CA">
      <w:pPr>
        <w:pStyle w:val="33"/>
        <w:spacing w:before="312" w:beforeLines="100" w:after="312" w:afterLines="100"/>
        <w:ind w:firstLine="0" w:firstLineChars="0"/>
        <w:outlineLvl w:val="0"/>
        <w:rPr>
          <w:rFonts w:ascii="Times New Roman" w:eastAsia="黑体"/>
          <w:szCs w:val="22"/>
        </w:rPr>
      </w:pPr>
      <w:bookmarkStart w:id="108" w:name="_Toc16213"/>
      <w:bookmarkStart w:id="109" w:name="_Toc32449"/>
      <w:bookmarkStart w:id="110" w:name="_Toc185"/>
      <w:bookmarkStart w:id="111" w:name="_Toc9505"/>
      <w:bookmarkStart w:id="112" w:name="_Toc763"/>
      <w:bookmarkStart w:id="113" w:name="_Toc4157"/>
      <w:bookmarkStart w:id="114" w:name="_Toc2650"/>
      <w:bookmarkStart w:id="115" w:name="_Toc18669"/>
      <w:r>
        <w:rPr>
          <w:rFonts w:hint="eastAsia" w:ascii="Times New Roman" w:eastAsia="黑体"/>
          <w:szCs w:val="22"/>
        </w:rPr>
        <w:t>4 评价指标体系</w:t>
      </w:r>
      <w:bookmarkEnd w:id="108"/>
      <w:bookmarkEnd w:id="109"/>
      <w:bookmarkEnd w:id="110"/>
      <w:bookmarkEnd w:id="111"/>
      <w:bookmarkEnd w:id="112"/>
      <w:bookmarkEnd w:id="113"/>
      <w:bookmarkEnd w:id="114"/>
    </w:p>
    <w:p w14:paraId="1003EAE4">
      <w:pPr>
        <w:pStyle w:val="33"/>
        <w:spacing w:before="312" w:beforeLines="100" w:after="312" w:afterLines="100"/>
        <w:ind w:firstLine="0" w:firstLineChars="0"/>
        <w:outlineLvl w:val="1"/>
        <w:rPr>
          <w:rFonts w:ascii="Times New Roman" w:eastAsia="黑体"/>
          <w:szCs w:val="22"/>
        </w:rPr>
      </w:pPr>
      <w:bookmarkStart w:id="116" w:name="_Toc626"/>
      <w:r>
        <w:rPr>
          <w:rFonts w:hint="eastAsia" w:ascii="Times New Roman" w:eastAsia="黑体"/>
          <w:szCs w:val="22"/>
        </w:rPr>
        <w:t>4.1 评价对象</w:t>
      </w:r>
      <w:bookmarkEnd w:id="115"/>
      <w:bookmarkEnd w:id="116"/>
    </w:p>
    <w:p w14:paraId="5CCB9191">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经分拣后存在故障的拆回电能表。</w:t>
      </w:r>
    </w:p>
    <w:p w14:paraId="41079F5B">
      <w:pPr>
        <w:pStyle w:val="33"/>
        <w:spacing w:before="312" w:beforeLines="100" w:after="312" w:afterLines="100"/>
        <w:ind w:firstLine="0" w:firstLineChars="0"/>
        <w:outlineLvl w:val="1"/>
        <w:rPr>
          <w:rFonts w:hint="eastAsia" w:asciiTheme="minorEastAsia" w:hAnsiTheme="minorEastAsia" w:eastAsiaTheme="minorEastAsia"/>
          <w:szCs w:val="22"/>
        </w:rPr>
      </w:pPr>
      <w:bookmarkStart w:id="117" w:name="_Toc22692"/>
      <w:bookmarkStart w:id="118" w:name="_Toc6051"/>
      <w:r>
        <w:rPr>
          <w:rFonts w:hint="eastAsia" w:ascii="Times New Roman" w:eastAsia="黑体"/>
          <w:szCs w:val="22"/>
        </w:rPr>
        <w:t>4.2 故障类型</w:t>
      </w:r>
      <w:bookmarkEnd w:id="117"/>
      <w:bookmarkEnd w:id="118"/>
    </w:p>
    <w:p w14:paraId="4555A4F7">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对由于电能表本身质量问题导致出现故障的拆回电能表，将其典型故障现象划分为：</w:t>
      </w:r>
    </w:p>
    <w:p w14:paraId="32147394">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a) 事件记录异常；</w:t>
      </w:r>
    </w:p>
    <w:p w14:paraId="478452CF">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b) 电池欠压；</w:t>
      </w:r>
    </w:p>
    <w:p w14:paraId="16FEB58F">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c) 电源供给异常；</w:t>
      </w:r>
    </w:p>
    <w:p w14:paraId="4CF1ACB0">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d) 模块类通信失败；</w:t>
      </w:r>
    </w:p>
    <w:p w14:paraId="41A26396">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e) 时钟错误；</w:t>
      </w:r>
    </w:p>
    <w:p w14:paraId="7CE94F95">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f) 测量误差超差；</w:t>
      </w:r>
    </w:p>
    <w:p w14:paraId="053B9F8B">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 xml:space="preserve">g) </w:t>
      </w:r>
      <w:r>
        <w:rPr>
          <w:rFonts w:hint="eastAsia" w:ascii="Times New Roman" w:hAnsi="Calibri" w:eastAsia="宋体"/>
          <w:color w:val="000000" w:themeColor="text1"/>
          <w:szCs w:val="22"/>
          <w:highlight w:val="none"/>
          <w:lang w:val="en-US" w:eastAsia="zh-CN"/>
          <w14:textFill>
            <w14:solidFill>
              <w14:schemeClr w14:val="tx1"/>
            </w14:solidFill>
          </w14:textFill>
        </w:rPr>
        <w:t>RS</w:t>
      </w:r>
      <w:r>
        <w:rPr>
          <w:rFonts w:hint="eastAsia" w:ascii="Times New Roman" w:hAnsi="Calibri" w:eastAsia="宋体"/>
          <w:color w:val="000000" w:themeColor="text1"/>
          <w:szCs w:val="22"/>
          <w:highlight w:val="none"/>
          <w14:textFill>
            <w14:solidFill>
              <w14:schemeClr w14:val="tx1"/>
            </w14:solidFill>
          </w14:textFill>
        </w:rPr>
        <w:t>485通信失败。</w:t>
      </w:r>
    </w:p>
    <w:p w14:paraId="75178C04">
      <w:pPr>
        <w:pStyle w:val="33"/>
        <w:spacing w:before="156" w:beforeLines="50" w:after="156" w:afterLines="50"/>
        <w:ind w:firstLine="0" w:firstLineChars="0"/>
        <w:outlineLvl w:val="2"/>
        <w:rPr>
          <w:rFonts w:ascii="Times New Roman" w:eastAsia="黑体"/>
          <w:szCs w:val="22"/>
        </w:rPr>
      </w:pPr>
      <w:bookmarkStart w:id="119" w:name="_Toc4737"/>
      <w:bookmarkStart w:id="120" w:name="_Toc25673"/>
      <w:r>
        <w:rPr>
          <w:rFonts w:hint="eastAsia" w:ascii="Times New Roman" w:eastAsia="黑体"/>
          <w:szCs w:val="22"/>
        </w:rPr>
        <w:t>4.2.1 事件记录异常</w:t>
      </w:r>
      <w:bookmarkEnd w:id="119"/>
    </w:p>
    <w:p w14:paraId="69AD94D6">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 xml:space="preserve">对电能表的事件记录进行抄读和检测，抄读项目为掉电、清零、开盖事件记录，并开展掉电事件记录测试。 </w:t>
      </w:r>
    </w:p>
    <w:p w14:paraId="03376CF8">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事件记录</w:t>
      </w:r>
      <w:r>
        <w:rPr>
          <w:rFonts w:hint="eastAsia" w:ascii="Times New Roman"/>
          <w:color w:val="000000" w:themeColor="text1"/>
          <w:szCs w:val="22"/>
          <w:highlight w:val="none"/>
          <w:lang w:val="en-US" w:eastAsia="zh-CN"/>
          <w14:textFill>
            <w14:solidFill>
              <w14:schemeClr w14:val="tx1"/>
            </w14:solidFill>
          </w14:textFill>
        </w:rPr>
        <w:t>异常</w:t>
      </w:r>
      <w:r>
        <w:rPr>
          <w:rFonts w:hint="eastAsia" w:ascii="Times New Roman" w:hAnsi="Calibri" w:eastAsia="宋体"/>
          <w:color w:val="000000" w:themeColor="text1"/>
          <w:szCs w:val="22"/>
          <w:highlight w:val="none"/>
          <w14:textFill>
            <w14:solidFill>
              <w14:schemeClr w14:val="tx1"/>
            </w14:solidFill>
          </w14:textFill>
        </w:rPr>
        <w:t>检测方法及判定标准</w:t>
      </w:r>
      <w:r>
        <w:rPr>
          <w:rFonts w:hint="eastAsia" w:ascii="Times New Roman"/>
          <w:color w:val="000000" w:themeColor="text1"/>
          <w:szCs w:val="22"/>
          <w:highlight w:val="none"/>
          <w:lang w:val="en-US" w:eastAsia="zh-CN"/>
          <w14:textFill>
            <w14:solidFill>
              <w14:schemeClr w14:val="tx1"/>
            </w14:solidFill>
          </w14:textFill>
        </w:rPr>
        <w:t>如下</w:t>
      </w:r>
      <w:r>
        <w:rPr>
          <w:rFonts w:hint="eastAsia" w:ascii="Times New Roman" w:hAnsi="Calibri" w:eastAsia="宋体"/>
          <w:color w:val="000000" w:themeColor="text1"/>
          <w:szCs w:val="22"/>
          <w:highlight w:val="none"/>
          <w14:textFill>
            <w14:solidFill>
              <w14:schemeClr w14:val="tx1"/>
            </w14:solidFill>
          </w14:textFill>
        </w:rPr>
        <w:t>：</w:t>
      </w:r>
    </w:p>
    <w:p w14:paraId="731F0FF0">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a) 掉电测试：电能表掉电后重新上电，读取掉电前后电能表的掉电次数，掉电次数增加不等于1，则异常；</w:t>
      </w:r>
    </w:p>
    <w:p w14:paraId="7D29425C">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b) 掉电次数记录异常检测：读取电能表的掉电总次数，掉电总次数值大于等于500，则异常。</w:t>
      </w:r>
    </w:p>
    <w:p w14:paraId="2DC6A581">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c)读取电能表的最近一次清零记录，与最近一次检定记录时间不一致，则异常。</w:t>
      </w:r>
    </w:p>
    <w:p w14:paraId="37E19877">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d)读取电能表的开表盖总次数，开表盖总次数值大于0，则异常。</w:t>
      </w:r>
    </w:p>
    <w:p w14:paraId="22D905A9">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掉电事件记录、清零事件记录、开盖事件记录任一检测项目不合格，则判定为事件记录异常。</w:t>
      </w:r>
    </w:p>
    <w:p w14:paraId="6E8B5D62">
      <w:pPr>
        <w:pStyle w:val="33"/>
        <w:spacing w:before="156" w:beforeLines="50" w:after="156" w:afterLines="50"/>
        <w:ind w:firstLine="0" w:firstLineChars="0"/>
        <w:outlineLvl w:val="2"/>
        <w:rPr>
          <w:rFonts w:ascii="Times New Roman" w:eastAsia="黑体"/>
          <w:szCs w:val="22"/>
        </w:rPr>
      </w:pPr>
      <w:bookmarkStart w:id="121" w:name="_Toc24926"/>
      <w:r>
        <w:rPr>
          <w:rFonts w:hint="eastAsia" w:ascii="Times New Roman" w:eastAsia="黑体"/>
          <w:szCs w:val="22"/>
        </w:rPr>
        <w:t>4.2.2 电池欠压</w:t>
      </w:r>
      <w:bookmarkEnd w:id="121"/>
    </w:p>
    <w:p w14:paraId="0D76DF71">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电池欠压表示待分拣电能表的电池电压过低，包括时钟电池欠压和</w:t>
      </w:r>
      <w:r>
        <w:rPr>
          <w:rFonts w:hint="eastAsia" w:ascii="Times New Roman" w:hAnsi="Calibri" w:eastAsia="宋体"/>
          <w:color w:val="000000" w:themeColor="text1"/>
          <w:szCs w:val="22"/>
          <w:highlight w:val="none"/>
          <w:lang w:val="en-US" w:eastAsia="zh-CN"/>
          <w14:textFill>
            <w14:solidFill>
              <w14:schemeClr w14:val="tx1"/>
            </w14:solidFill>
          </w14:textFill>
        </w:rPr>
        <w:t>停电</w:t>
      </w:r>
      <w:r>
        <w:rPr>
          <w:rFonts w:hint="eastAsia" w:ascii="Times New Roman" w:hAnsi="Calibri" w:eastAsia="宋体"/>
          <w:color w:val="000000" w:themeColor="text1"/>
          <w:szCs w:val="22"/>
          <w:highlight w:val="none"/>
          <w14:textFill>
            <w14:solidFill>
              <w14:schemeClr w14:val="tx1"/>
            </w14:solidFill>
          </w14:textFill>
        </w:rPr>
        <w:t>抄表电池欠压。</w:t>
      </w:r>
    </w:p>
    <w:p w14:paraId="508A80AA">
      <w:pPr>
        <w:pStyle w:val="33"/>
        <w:spacing w:after="0" w:line="240" w:lineRule="auto"/>
        <w:rPr>
          <w:rFonts w:hint="eastAsia" w:ascii="Times New Roman" w:hAnsi="Calibri" w:eastAsia="宋体"/>
          <w:color w:val="000000" w:themeColor="text1"/>
          <w:szCs w:val="22"/>
          <w:highlight w:val="none"/>
          <w:lang w:val="en-US" w:eastAsia="zh-CN"/>
          <w14:textFill>
            <w14:solidFill>
              <w14:schemeClr w14:val="tx1"/>
            </w14:solidFill>
          </w14:textFill>
        </w:rPr>
      </w:pPr>
      <w:r>
        <w:rPr>
          <w:rFonts w:hint="eastAsia" w:ascii="Times New Roman"/>
          <w:color w:val="000000" w:themeColor="text1"/>
          <w:szCs w:val="22"/>
          <w:highlight w:val="none"/>
          <w:lang w:val="en-US" w:eastAsia="zh-CN"/>
          <w14:textFill>
            <w14:solidFill>
              <w14:schemeClr w14:val="tx1"/>
            </w14:solidFill>
          </w14:textFill>
        </w:rPr>
        <w:t>电池欠压检测方法及判定标准如下：</w:t>
      </w:r>
    </w:p>
    <w:p w14:paraId="0979E9F4">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抄读电能表的状态字1，并对状态字1中的bit-2和bit-3位进行判断，bit-2位为1则时钟电池欠压、bit-3位为1则</w:t>
      </w:r>
      <w:r>
        <w:rPr>
          <w:rFonts w:hint="eastAsia" w:ascii="Times New Roman" w:hAnsi="Calibri" w:eastAsia="宋体"/>
          <w:color w:val="000000" w:themeColor="text1"/>
          <w:szCs w:val="22"/>
          <w:highlight w:val="none"/>
          <w:lang w:val="en-US" w:eastAsia="zh-CN"/>
          <w14:textFill>
            <w14:solidFill>
              <w14:schemeClr w14:val="tx1"/>
            </w14:solidFill>
          </w14:textFill>
        </w:rPr>
        <w:t>停电</w:t>
      </w:r>
      <w:r>
        <w:rPr>
          <w:rFonts w:hint="eastAsia" w:ascii="Times New Roman" w:hAnsi="Calibri" w:eastAsia="宋体"/>
          <w:color w:val="000000" w:themeColor="text1"/>
          <w:szCs w:val="22"/>
          <w:highlight w:val="none"/>
          <w14:textFill>
            <w14:solidFill>
              <w14:schemeClr w14:val="tx1"/>
            </w14:solidFill>
          </w14:textFill>
        </w:rPr>
        <w:t>抄表电池欠压。</w:t>
      </w:r>
    </w:p>
    <w:p w14:paraId="238CDD5B">
      <w:pPr>
        <w:pStyle w:val="33"/>
        <w:spacing w:before="156" w:beforeLines="50" w:after="156" w:afterLines="50"/>
        <w:ind w:firstLine="0" w:firstLineChars="0"/>
        <w:outlineLvl w:val="2"/>
        <w:rPr>
          <w:rFonts w:ascii="Times New Roman" w:eastAsia="黑体"/>
          <w:szCs w:val="22"/>
        </w:rPr>
      </w:pPr>
      <w:bookmarkStart w:id="122" w:name="_Toc28892"/>
      <w:r>
        <w:rPr>
          <w:rFonts w:hint="eastAsia" w:ascii="Times New Roman" w:eastAsia="黑体"/>
          <w:szCs w:val="22"/>
        </w:rPr>
        <w:t>4.2.3 电源供给异常</w:t>
      </w:r>
      <w:bookmarkEnd w:id="122"/>
    </w:p>
    <w:p w14:paraId="021F35B9">
      <w:pPr>
        <w:pStyle w:val="33"/>
        <w:spacing w:after="0" w:line="240" w:lineRule="auto"/>
        <w:rPr>
          <w:rFonts w:hint="eastAsia" w:ascii="Times New Roman" w:hAnsi="Calibri" w:eastAsia="宋体"/>
          <w:color w:val="000000" w:themeColor="text1"/>
          <w:szCs w:val="22"/>
          <w:highlight w:val="none"/>
          <w:lang w:val="en-US" w:eastAsia="zh-CN"/>
          <w14:textFill>
            <w14:solidFill>
              <w14:schemeClr w14:val="tx1"/>
            </w14:solidFill>
          </w14:textFill>
        </w:rPr>
      </w:pPr>
      <w:r>
        <w:rPr>
          <w:rFonts w:hint="eastAsia" w:ascii="Times New Roman"/>
          <w:color w:val="000000" w:themeColor="text1"/>
          <w:szCs w:val="22"/>
          <w:highlight w:val="none"/>
          <w:lang w:val="en-US" w:eastAsia="zh-CN"/>
          <w14:textFill>
            <w14:solidFill>
              <w14:schemeClr w14:val="tx1"/>
            </w14:solidFill>
          </w14:textFill>
        </w:rPr>
        <w:t>电源供给异常检测方法及判定标准如下：</w:t>
      </w:r>
    </w:p>
    <w:p w14:paraId="04411956">
      <w:pPr>
        <w:pStyle w:val="33"/>
        <w:spacing w:after="0" w:line="240" w:lineRule="auto"/>
        <w:rPr>
          <w:rFonts w:hint="eastAsia" w:ascii="Times New Roman" w:hAnsi="Calibri" w:eastAsia="宋体"/>
          <w:color w:val="000000" w:themeColor="text1"/>
          <w:szCs w:val="22"/>
          <w:highlight w:val="none"/>
          <w14:textFill>
            <w14:solidFill>
              <w14:schemeClr w14:val="tx1"/>
            </w14:solidFill>
          </w14:textFill>
        </w:rPr>
      </w:pPr>
      <w:r>
        <w:rPr>
          <w:rFonts w:hint="eastAsia" w:ascii="Times New Roman" w:hAnsi="Calibri" w:eastAsia="宋体"/>
          <w:color w:val="000000" w:themeColor="text1"/>
          <w:szCs w:val="22"/>
          <w:highlight w:val="none"/>
          <w14:textFill>
            <w14:solidFill>
              <w14:schemeClr w14:val="tx1"/>
            </w14:solidFill>
          </w14:textFill>
        </w:rPr>
        <w:t>给拆回电能表施加标称电压，电能表</w:t>
      </w:r>
      <w:r>
        <w:rPr>
          <w:rFonts w:hint="eastAsia" w:ascii="Times New Roman" w:hAnsi="Calibri" w:eastAsia="宋体"/>
          <w:color w:val="000000" w:themeColor="text1"/>
          <w:szCs w:val="22"/>
          <w:highlight w:val="none"/>
          <w:lang w:val="en-US" w:eastAsia="zh-CN"/>
          <w14:textFill>
            <w14:solidFill>
              <w14:schemeClr w14:val="tx1"/>
            </w14:solidFill>
          </w14:textFill>
        </w:rPr>
        <w:t>RS</w:t>
      </w:r>
      <w:r>
        <w:rPr>
          <w:rFonts w:hint="eastAsia" w:ascii="Times New Roman" w:hAnsi="Calibri" w:eastAsia="宋体"/>
          <w:color w:val="000000" w:themeColor="text1"/>
          <w:szCs w:val="22"/>
          <w:highlight w:val="none"/>
          <w14:textFill>
            <w14:solidFill>
              <w14:schemeClr w14:val="tx1"/>
            </w14:solidFill>
          </w14:textFill>
        </w:rPr>
        <w:t>485通信失败</w:t>
      </w:r>
      <w:r>
        <w:rPr>
          <w:rFonts w:hint="eastAsia" w:ascii="Times New Roman" w:hAnsi="Calibri" w:eastAsia="宋体"/>
          <w:color w:val="000000" w:themeColor="text1"/>
          <w:szCs w:val="22"/>
          <w:highlight w:val="none"/>
          <w:lang w:eastAsia="zh-CN"/>
          <w14:textFill>
            <w14:solidFill>
              <w14:schemeClr w14:val="tx1"/>
            </w14:solidFill>
          </w14:textFill>
        </w:rPr>
        <w:t>、</w:t>
      </w:r>
      <w:r>
        <w:rPr>
          <w:rFonts w:hint="eastAsia" w:ascii="Times New Roman" w:hAnsi="Calibri" w:eastAsia="宋体"/>
          <w:color w:val="000000" w:themeColor="text1"/>
          <w:szCs w:val="22"/>
          <w:highlight w:val="none"/>
          <w14:textFill>
            <w14:solidFill>
              <w14:schemeClr w14:val="tx1"/>
            </w14:solidFill>
          </w14:textFill>
        </w:rPr>
        <w:t>液晶黑屏</w:t>
      </w:r>
      <w:r>
        <w:rPr>
          <w:rFonts w:hint="eastAsia" w:ascii="Times New Roman" w:hAnsi="Calibri" w:eastAsia="宋体"/>
          <w:color w:val="000000" w:themeColor="text1"/>
          <w:szCs w:val="22"/>
          <w:highlight w:val="none"/>
          <w:lang w:val="en-US" w:eastAsia="zh-CN"/>
          <w14:textFill>
            <w14:solidFill>
              <w14:schemeClr w14:val="tx1"/>
            </w14:solidFill>
          </w14:textFill>
        </w:rPr>
        <w:t>且</w:t>
      </w:r>
      <w:r>
        <w:rPr>
          <w:rFonts w:hint="eastAsia" w:ascii="Times New Roman" w:hAnsi="Calibri" w:eastAsia="宋体"/>
          <w:color w:val="000000" w:themeColor="text1"/>
          <w:szCs w:val="22"/>
          <w:highlight w:val="none"/>
          <w14:textFill>
            <w14:solidFill>
              <w14:schemeClr w14:val="tx1"/>
            </w14:solidFill>
          </w14:textFill>
        </w:rPr>
        <w:t>无秒脉冲输出，则判定为电源供给异常。</w:t>
      </w:r>
    </w:p>
    <w:p w14:paraId="55FA641B">
      <w:pPr>
        <w:pStyle w:val="33"/>
        <w:spacing w:before="156" w:beforeLines="50" w:after="156" w:afterLines="50"/>
        <w:ind w:firstLine="0" w:firstLineChars="0"/>
        <w:outlineLvl w:val="2"/>
        <w:rPr>
          <w:rFonts w:ascii="Times New Roman" w:eastAsia="黑体"/>
          <w:szCs w:val="22"/>
        </w:rPr>
      </w:pPr>
      <w:bookmarkStart w:id="123" w:name="_Toc31675"/>
      <w:r>
        <w:rPr>
          <w:rFonts w:hint="eastAsia" w:ascii="Times New Roman" w:eastAsia="黑体"/>
          <w:szCs w:val="22"/>
        </w:rPr>
        <w:t>4.2.4 模块类通信失败</w:t>
      </w:r>
      <w:bookmarkEnd w:id="123"/>
    </w:p>
    <w:p w14:paraId="7B1E86DA">
      <w:pPr>
        <w:pStyle w:val="33"/>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模块类通信失败检测方法及判定标准如下：</w:t>
      </w:r>
    </w:p>
    <w:p w14:paraId="17D8FC9B">
      <w:pPr>
        <w:pStyle w:val="33"/>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通过模块类信道发送通信命令至电能表，识别电能表应答指令，无应答指令返回，则判定为模块类通信失败。</w:t>
      </w:r>
    </w:p>
    <w:p w14:paraId="3E3BBC65">
      <w:pPr>
        <w:pStyle w:val="33"/>
        <w:spacing w:before="156" w:beforeLines="50" w:after="156" w:afterLines="50"/>
        <w:ind w:firstLine="0" w:firstLineChars="0"/>
        <w:outlineLvl w:val="2"/>
        <w:rPr>
          <w:rFonts w:ascii="Times New Roman" w:eastAsia="黑体"/>
          <w:szCs w:val="22"/>
        </w:rPr>
      </w:pPr>
      <w:r>
        <w:rPr>
          <w:rFonts w:hint="eastAsia" w:ascii="Times New Roman" w:eastAsia="黑体"/>
          <w:szCs w:val="22"/>
        </w:rPr>
        <w:t>4.2.5 时钟错误</w:t>
      </w:r>
    </w:p>
    <w:p w14:paraId="5E4B35B0">
      <w:pPr>
        <w:pStyle w:val="33"/>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时钟错误包含时钟示值误差超差、日计时误差超差、时钟乱码三种故障现象。</w:t>
      </w:r>
    </w:p>
    <w:p w14:paraId="18ACC4CF">
      <w:pPr>
        <w:pStyle w:val="33"/>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时钟错误检测方法及判定标准如下：</w:t>
      </w:r>
    </w:p>
    <w:p w14:paraId="09CE7021">
      <w:pPr>
        <w:pStyle w:val="33"/>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a) 时钟示值误差：读取电能表日期时间与系统时间进行比对，误差时间大于10分钟则异常。</w:t>
      </w:r>
    </w:p>
    <w:p w14:paraId="2CC569D7">
      <w:pPr>
        <w:pStyle w:val="33"/>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b) 日计时误差：按照GB/T 17215.211-2021检测日计时误差，误差绝对值大于0.5s/24h则异常。</w:t>
      </w:r>
    </w:p>
    <w:p w14:paraId="25293BC9">
      <w:pPr>
        <w:pStyle w:val="33"/>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c) 时钟乱码：读取电能表运行状态字1，bit15为1，则时钟乱码。</w:t>
      </w:r>
    </w:p>
    <w:p w14:paraId="376E501D">
      <w:pPr>
        <w:pStyle w:val="33"/>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时钟示值误差、日计时误差、时钟乱码任一检测项不合格，则判为时钟错误。</w:t>
      </w:r>
    </w:p>
    <w:p w14:paraId="68DFF6D0">
      <w:pPr>
        <w:pStyle w:val="33"/>
        <w:spacing w:before="156" w:beforeLines="50" w:after="156" w:afterLines="50"/>
        <w:ind w:firstLine="0" w:firstLineChars="0"/>
        <w:outlineLvl w:val="2"/>
        <w:rPr>
          <w:rFonts w:ascii="Times New Roman" w:eastAsia="黑体"/>
          <w:szCs w:val="22"/>
        </w:rPr>
      </w:pPr>
      <w:r>
        <w:rPr>
          <w:rFonts w:hint="eastAsia" w:ascii="Times New Roman" w:eastAsia="黑体"/>
          <w:szCs w:val="22"/>
        </w:rPr>
        <w:t>4.2.6 测量误差</w:t>
      </w:r>
      <w:bookmarkEnd w:id="120"/>
      <w:r>
        <w:rPr>
          <w:rFonts w:hint="eastAsia" w:ascii="Times New Roman" w:eastAsia="黑体"/>
          <w:szCs w:val="22"/>
        </w:rPr>
        <w:t>超差</w:t>
      </w:r>
    </w:p>
    <w:p w14:paraId="638CFF2E">
      <w:pPr>
        <w:pStyle w:val="53"/>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outlineLvl w:val="9"/>
        <w:rPr>
          <w:rFonts w:hint="eastAsia" w:ascii="Times New Roman" w:hAnsi="Calibri" w:cs="Times New Roman"/>
          <w:szCs w:val="22"/>
          <w:lang w:eastAsia="zh-CN"/>
        </w:rPr>
      </w:pPr>
      <w:r>
        <w:rPr>
          <w:rFonts w:hint="eastAsia" w:ascii="Times New Roman" w:hAnsi="Calibri" w:cs="Times New Roman"/>
          <w:szCs w:val="22"/>
        </w:rPr>
        <w:t>测量误差超差包含电能基本误差超差和电参量示值误差超差两种故障现象</w:t>
      </w:r>
      <w:r>
        <w:rPr>
          <w:rFonts w:hint="eastAsia" w:ascii="Times New Roman" w:hAnsi="Calibri" w:cs="Times New Roman"/>
          <w:szCs w:val="22"/>
          <w:lang w:eastAsia="zh-CN"/>
        </w:rPr>
        <w:t>。</w:t>
      </w:r>
    </w:p>
    <w:p w14:paraId="1CC22C8C">
      <w:pPr>
        <w:pStyle w:val="53"/>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outlineLvl w:val="9"/>
        <w:rPr>
          <w:rFonts w:hint="eastAsia" w:ascii="Times New Roman" w:hAnsi="Calibri" w:eastAsia="宋体" w:cs="Times New Roman"/>
          <w:sz w:val="21"/>
          <w:szCs w:val="22"/>
          <w:highlight w:val="none"/>
          <w:lang w:val="en-US" w:eastAsia="zh-CN" w:bidi="ar-SA"/>
        </w:rPr>
      </w:pPr>
      <w:r>
        <w:rPr>
          <w:rFonts w:hint="eastAsia" w:ascii="Times New Roman" w:hAnsi="Calibri" w:eastAsia="宋体" w:cs="Times New Roman"/>
          <w:sz w:val="21"/>
          <w:szCs w:val="22"/>
          <w:highlight w:val="none"/>
          <w:lang w:val="en-US" w:eastAsia="zh-CN" w:bidi="ar-SA"/>
        </w:rPr>
        <w:t xml:space="preserve">测量误差误差检测方法及判定标准如下： </w:t>
      </w:r>
    </w:p>
    <w:p w14:paraId="2FABEFAC">
      <w:pPr>
        <w:pStyle w:val="33"/>
        <w:numPr>
          <w:ilvl w:val="0"/>
          <w:numId w:val="20"/>
        </w:numPr>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对电能表的电能基本误差进行检测，检测按照</w:t>
      </w:r>
      <w:bookmarkStart w:id="124" w:name="OLE_LINK12"/>
      <w:r>
        <w:rPr>
          <w:rFonts w:hint="eastAsia" w:ascii="Times New Roman"/>
          <w:szCs w:val="22"/>
          <w:highlight w:val="none"/>
          <w:lang w:val="en-US" w:eastAsia="zh-CN"/>
        </w:rPr>
        <w:t>JJG596</w:t>
      </w:r>
      <w:bookmarkEnd w:id="124"/>
      <w:r>
        <w:rPr>
          <w:rFonts w:hint="eastAsia" w:ascii="Times New Roman"/>
          <w:szCs w:val="22"/>
          <w:highlight w:val="none"/>
          <w:lang w:val="en-US" w:eastAsia="zh-CN"/>
        </w:rPr>
        <w:t>-2012 规定执行，任一检测点的电能基本误差值依据电能表的等级对应的电能基本误差限，进行电能基本误差超差的判定，其电能基本误差的绝对值大于对应等级的电能基本误差限，则判为电能基本误差超差。</w:t>
      </w:r>
    </w:p>
    <w:p w14:paraId="50DEE5A3">
      <w:pPr>
        <w:pStyle w:val="33"/>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注：电能基本误差的判定适用于拆回单、三相电能表的有功部分。</w:t>
      </w:r>
    </w:p>
    <w:p w14:paraId="6AC92915">
      <w:pPr>
        <w:pStyle w:val="33"/>
        <w:spacing w:after="0" w:line="240" w:lineRule="auto"/>
        <w:rPr>
          <w:rFonts w:hint="eastAsia" w:ascii="Times New Roman"/>
          <w:szCs w:val="22"/>
          <w:highlight w:val="none"/>
          <w:lang w:val="en-US" w:eastAsia="zh-CN"/>
        </w:rPr>
      </w:pPr>
      <w:r>
        <w:rPr>
          <w:rFonts w:hint="eastAsia" w:ascii="Times New Roman"/>
          <w:szCs w:val="22"/>
          <w:highlight w:val="none"/>
          <w:lang w:val="en-US" w:eastAsia="zh-CN"/>
        </w:rPr>
        <w:t>b) 对电能表的电参量示值误差进行检测，检测项目为电流、电压、有功功率、功率因数，任一检测项目的示值与标准表比对，引用误差大于1%，则判定为电参量示值误差超差。</w:t>
      </w:r>
    </w:p>
    <w:p w14:paraId="275F315A">
      <w:pPr>
        <w:pStyle w:val="33"/>
        <w:spacing w:before="156" w:beforeLines="50" w:after="156" w:afterLines="50"/>
        <w:ind w:firstLine="0" w:firstLineChars="0"/>
        <w:outlineLvl w:val="2"/>
        <w:rPr>
          <w:rFonts w:ascii="Times New Roman" w:eastAsia="黑体"/>
          <w:szCs w:val="22"/>
        </w:rPr>
      </w:pPr>
      <w:bookmarkStart w:id="125" w:name="_Toc24374"/>
      <w:r>
        <w:rPr>
          <w:rFonts w:hint="eastAsia" w:ascii="Times New Roman" w:eastAsia="黑体"/>
          <w:szCs w:val="22"/>
        </w:rPr>
        <w:t xml:space="preserve">4.2.7 </w:t>
      </w:r>
      <w:bookmarkEnd w:id="125"/>
      <w:r>
        <w:rPr>
          <w:rFonts w:hint="eastAsia" w:ascii="Times New Roman" w:eastAsia="黑体"/>
          <w:szCs w:val="22"/>
          <w:lang w:val="en-US" w:eastAsia="zh-CN"/>
        </w:rPr>
        <w:t>RS</w:t>
      </w:r>
      <w:r>
        <w:rPr>
          <w:rFonts w:hint="eastAsia" w:ascii="Times New Roman" w:eastAsia="黑体"/>
          <w:szCs w:val="22"/>
        </w:rPr>
        <w:t>485通信失败</w:t>
      </w:r>
    </w:p>
    <w:p w14:paraId="6137CFCA">
      <w:pPr>
        <w:pStyle w:val="53"/>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outlineLvl w:val="9"/>
        <w:rPr>
          <w:rFonts w:hint="eastAsia" w:ascii="Times New Roman" w:hAnsi="Calibri" w:cs="Times New Roman"/>
          <w:szCs w:val="22"/>
          <w:lang w:val="en-US" w:eastAsia="zh-CN"/>
        </w:rPr>
      </w:pPr>
      <w:r>
        <w:rPr>
          <w:rFonts w:hint="eastAsia" w:ascii="Times New Roman" w:hAnsi="Calibri" w:cs="Times New Roman"/>
          <w:szCs w:val="22"/>
          <w:lang w:val="en-US" w:eastAsia="zh-CN"/>
        </w:rPr>
        <w:t>RS485通信失败检测方法及判定标准如下：</w:t>
      </w:r>
    </w:p>
    <w:p w14:paraId="1D540785">
      <w:pPr>
        <w:pStyle w:val="53"/>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outlineLvl w:val="9"/>
        <w:rPr>
          <w:rFonts w:hint="eastAsia" w:ascii="Times New Roman" w:hAnsi="Calibri" w:eastAsia="宋体" w:cs="Times New Roman"/>
          <w:sz w:val="21"/>
          <w:szCs w:val="22"/>
          <w:highlight w:val="none"/>
          <w:lang w:val="en-US" w:eastAsia="zh-CN" w:bidi="ar-SA"/>
        </w:rPr>
      </w:pPr>
      <w:r>
        <w:rPr>
          <w:rFonts w:hint="eastAsia" w:ascii="Times New Roman" w:hAnsi="Calibri" w:cs="Times New Roman"/>
          <w:szCs w:val="22"/>
          <w:lang w:val="en-US" w:eastAsia="zh-CN"/>
        </w:rPr>
        <w:t>通过RS485信道发送通信命令至电能表，识别电能表应答指令，无应答指令返回，则判定为RS485通信失败</w:t>
      </w:r>
      <w:r>
        <w:rPr>
          <w:rFonts w:hint="eastAsia" w:ascii="Times New Roman" w:hAnsi="Calibri" w:eastAsia="宋体" w:cs="Times New Roman"/>
          <w:sz w:val="21"/>
          <w:szCs w:val="22"/>
          <w:highlight w:val="none"/>
          <w:lang w:val="en-US" w:eastAsia="zh-CN" w:bidi="ar-SA"/>
        </w:rPr>
        <w:t>。</w:t>
      </w:r>
    </w:p>
    <w:p w14:paraId="08B97735">
      <w:pPr>
        <w:pStyle w:val="33"/>
        <w:spacing w:before="312" w:beforeLines="100" w:after="312" w:afterLines="100"/>
        <w:ind w:firstLine="0" w:firstLineChars="0"/>
        <w:outlineLvl w:val="0"/>
        <w:rPr>
          <w:rFonts w:ascii="Times New Roman" w:eastAsia="黑体"/>
          <w:szCs w:val="22"/>
        </w:rPr>
      </w:pPr>
      <w:bookmarkStart w:id="126" w:name="_Toc3551"/>
      <w:bookmarkStart w:id="127" w:name="_Toc25780"/>
      <w:bookmarkStart w:id="128" w:name="_Toc7715"/>
      <w:bookmarkStart w:id="129" w:name="_Toc407"/>
      <w:bookmarkStart w:id="130" w:name="_Toc27489"/>
      <w:bookmarkStart w:id="131" w:name="_Toc274"/>
      <w:bookmarkStart w:id="132" w:name="_Toc25191"/>
      <w:bookmarkStart w:id="133" w:name="_Toc9017"/>
      <w:r>
        <w:rPr>
          <w:rFonts w:hint="eastAsia" w:ascii="Times New Roman" w:eastAsia="黑体"/>
          <w:szCs w:val="22"/>
        </w:rPr>
        <w:t>5 取值规则</w:t>
      </w:r>
      <w:bookmarkEnd w:id="126"/>
      <w:bookmarkEnd w:id="127"/>
      <w:bookmarkEnd w:id="128"/>
      <w:bookmarkEnd w:id="129"/>
      <w:bookmarkEnd w:id="130"/>
      <w:bookmarkEnd w:id="131"/>
      <w:bookmarkEnd w:id="132"/>
      <w:bookmarkEnd w:id="133"/>
    </w:p>
    <w:p w14:paraId="03EF7639">
      <w:pPr>
        <w:pStyle w:val="33"/>
        <w:spacing w:before="312" w:beforeLines="100" w:after="312" w:afterLines="100"/>
        <w:ind w:firstLine="0" w:firstLineChars="0"/>
        <w:outlineLvl w:val="1"/>
        <w:rPr>
          <w:rFonts w:ascii="Times New Roman" w:eastAsia="黑体"/>
          <w:szCs w:val="22"/>
        </w:rPr>
      </w:pPr>
      <w:r>
        <w:rPr>
          <w:rFonts w:hint="eastAsia" w:ascii="Times New Roman"/>
          <w:szCs w:val="22"/>
        </w:rPr>
        <w:t xml:space="preserve">5.1 </w:t>
      </w:r>
      <w:bookmarkStart w:id="134" w:name="_Toc24251"/>
      <w:bookmarkStart w:id="135" w:name="_Toc12591"/>
      <w:r>
        <w:rPr>
          <w:rFonts w:hint="eastAsia" w:ascii="Times New Roman" w:eastAsia="黑体"/>
          <w:szCs w:val="22"/>
        </w:rPr>
        <w:t>数据收集</w:t>
      </w:r>
      <w:bookmarkEnd w:id="134"/>
      <w:bookmarkEnd w:id="135"/>
    </w:p>
    <w:p w14:paraId="203F4FBE">
      <w:pPr>
        <w:pStyle w:val="33"/>
        <w:spacing w:after="0" w:line="240" w:lineRule="auto"/>
        <w:rPr>
          <w:rFonts w:hint="eastAsia" w:ascii="Times New Roman"/>
          <w:szCs w:val="22"/>
          <w:highlight w:val="none"/>
        </w:rPr>
      </w:pPr>
      <w:r>
        <w:rPr>
          <w:rFonts w:hint="eastAsia" w:ascii="Times New Roman"/>
          <w:szCs w:val="22"/>
          <w:highlight w:val="none"/>
        </w:rPr>
        <w:t>电力公司拆回电能表经分拣检测获得的数据。</w:t>
      </w:r>
    </w:p>
    <w:p w14:paraId="2454D5F9">
      <w:pPr>
        <w:pStyle w:val="33"/>
        <w:spacing w:before="312" w:beforeLines="100" w:after="312" w:afterLines="100"/>
        <w:ind w:firstLine="0" w:firstLineChars="0"/>
        <w:outlineLvl w:val="1"/>
        <w:rPr>
          <w:rFonts w:ascii="Times New Roman" w:eastAsia="黑体"/>
          <w:szCs w:val="22"/>
        </w:rPr>
      </w:pPr>
      <w:r>
        <w:rPr>
          <w:rFonts w:hint="eastAsia" w:ascii="Times New Roman" w:eastAsia="黑体"/>
          <w:szCs w:val="22"/>
        </w:rPr>
        <w:t>5.2 判定规则</w:t>
      </w:r>
    </w:p>
    <w:p w14:paraId="63DD400A">
      <w:pPr>
        <w:pStyle w:val="53"/>
        <w:ind w:firstLine="420" w:firstLineChars="200"/>
        <w:jc w:val="both"/>
        <w:rPr>
          <w:rFonts w:ascii="Times New Roman"/>
          <w:szCs w:val="22"/>
        </w:rPr>
      </w:pPr>
      <w:r>
        <w:rPr>
          <w:rFonts w:hint="eastAsia" w:ascii="Times New Roman"/>
          <w:szCs w:val="22"/>
        </w:rPr>
        <w:t>依据拆回电能表应符合的前置条件及应排除的非电能表故障原因，形成七类故障现象的判定规则。</w:t>
      </w:r>
    </w:p>
    <w:p w14:paraId="6FA4DA69">
      <w:pPr>
        <w:pStyle w:val="53"/>
        <w:ind w:firstLine="420" w:firstLineChars="200"/>
        <w:jc w:val="center"/>
        <w:rPr>
          <w:rFonts w:ascii="Times New Roman"/>
          <w:szCs w:val="22"/>
        </w:rPr>
      </w:pPr>
      <w:r>
        <w:rPr>
          <w:rFonts w:hint="eastAsia" w:ascii="Times New Roman"/>
          <w:szCs w:val="22"/>
        </w:rPr>
        <w:t>表1 拆回电能表故障现象的判定规则</w:t>
      </w:r>
    </w:p>
    <w:tbl>
      <w:tblPr>
        <w:tblStyle w:val="43"/>
        <w:tblW w:w="9571" w:type="dxa"/>
        <w:jc w:val="center"/>
        <w:tblLayout w:type="fixed"/>
        <w:tblCellMar>
          <w:top w:w="0" w:type="dxa"/>
          <w:left w:w="108" w:type="dxa"/>
          <w:bottom w:w="0" w:type="dxa"/>
          <w:right w:w="108" w:type="dxa"/>
        </w:tblCellMar>
      </w:tblPr>
      <w:tblGrid>
        <w:gridCol w:w="722"/>
        <w:gridCol w:w="840"/>
        <w:gridCol w:w="1050"/>
        <w:gridCol w:w="3630"/>
        <w:gridCol w:w="3329"/>
      </w:tblGrid>
      <w:tr w14:paraId="3F29D8EC">
        <w:tblPrEx>
          <w:tblCellMar>
            <w:top w:w="0" w:type="dxa"/>
            <w:left w:w="108" w:type="dxa"/>
            <w:bottom w:w="0" w:type="dxa"/>
            <w:right w:w="108" w:type="dxa"/>
          </w:tblCellMar>
        </w:tblPrEx>
        <w:trPr>
          <w:trHeight w:val="333" w:hRule="atLeast"/>
          <w:jc w:val="center"/>
        </w:trPr>
        <w:tc>
          <w:tcPr>
            <w:tcW w:w="722" w:type="dxa"/>
            <w:vMerge w:val="restart"/>
            <w:tcBorders>
              <w:top w:val="single" w:color="000000" w:sz="4" w:space="0"/>
              <w:left w:val="single" w:color="000000" w:sz="4" w:space="0"/>
              <w:bottom w:val="single" w:color="000000" w:sz="4" w:space="0"/>
              <w:right w:val="single" w:color="000000" w:sz="4" w:space="0"/>
            </w:tcBorders>
            <w:vAlign w:val="center"/>
          </w:tcPr>
          <w:p w14:paraId="6813E281">
            <w:pPr>
              <w:pStyle w:val="33"/>
              <w:spacing w:before="156" w:beforeLines="50" w:after="156" w:afterLines="50"/>
              <w:ind w:firstLine="0" w:firstLineChars="0"/>
              <w:jc w:val="center"/>
              <w:outlineLvl w:val="1"/>
              <w:rPr>
                <w:rFonts w:ascii="Times New Roman"/>
                <w:szCs w:val="22"/>
              </w:rPr>
            </w:pPr>
            <w:bookmarkStart w:id="136" w:name="_Toc12735"/>
            <w:bookmarkStart w:id="137" w:name="_Toc6473"/>
            <w:r>
              <w:rPr>
                <w:rFonts w:hint="eastAsia" w:ascii="Times New Roman"/>
                <w:szCs w:val="22"/>
              </w:rPr>
              <w:t>序号</w:t>
            </w:r>
          </w:p>
        </w:tc>
        <w:tc>
          <w:tcPr>
            <w:tcW w:w="189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AEA702E">
            <w:pPr>
              <w:pStyle w:val="33"/>
              <w:spacing w:before="156" w:beforeLines="50" w:after="156" w:afterLines="50"/>
              <w:ind w:firstLine="0" w:firstLineChars="0"/>
              <w:jc w:val="center"/>
              <w:outlineLvl w:val="1"/>
              <w:rPr>
                <w:rFonts w:ascii="Times New Roman"/>
                <w:szCs w:val="22"/>
              </w:rPr>
            </w:pPr>
            <w:r>
              <w:rPr>
                <w:rFonts w:hint="eastAsia" w:ascii="Times New Roman"/>
                <w:szCs w:val="22"/>
              </w:rPr>
              <w:t>故障现象</w:t>
            </w:r>
          </w:p>
        </w:tc>
        <w:tc>
          <w:tcPr>
            <w:tcW w:w="6959" w:type="dxa"/>
            <w:gridSpan w:val="2"/>
            <w:tcBorders>
              <w:top w:val="single" w:color="000000" w:sz="4" w:space="0"/>
              <w:left w:val="single" w:color="000000" w:sz="4" w:space="0"/>
              <w:bottom w:val="single" w:color="000000" w:sz="4" w:space="0"/>
              <w:right w:val="single" w:color="auto" w:sz="4" w:space="0"/>
            </w:tcBorders>
            <w:vAlign w:val="center"/>
          </w:tcPr>
          <w:p w14:paraId="77D4AA92">
            <w:pPr>
              <w:pStyle w:val="33"/>
              <w:spacing w:before="156" w:beforeLines="50" w:after="156" w:afterLines="50"/>
              <w:ind w:firstLine="0" w:firstLineChars="0"/>
              <w:jc w:val="center"/>
              <w:outlineLvl w:val="1"/>
              <w:rPr>
                <w:rFonts w:ascii="Times New Roman"/>
                <w:szCs w:val="22"/>
              </w:rPr>
            </w:pPr>
            <w:r>
              <w:rPr>
                <w:rFonts w:hint="eastAsia" w:ascii="Times New Roman"/>
                <w:szCs w:val="22"/>
              </w:rPr>
              <w:t>判定逻辑</w:t>
            </w:r>
          </w:p>
        </w:tc>
      </w:tr>
      <w:tr w14:paraId="313D9930">
        <w:tblPrEx>
          <w:tblCellMar>
            <w:top w:w="0" w:type="dxa"/>
            <w:left w:w="108" w:type="dxa"/>
            <w:bottom w:w="0" w:type="dxa"/>
            <w:right w:w="108" w:type="dxa"/>
          </w:tblCellMar>
        </w:tblPrEx>
        <w:trPr>
          <w:trHeight w:val="153"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vAlign w:val="center"/>
          </w:tcPr>
          <w:p w14:paraId="50C27D9E">
            <w:pPr>
              <w:pStyle w:val="33"/>
              <w:spacing w:before="156" w:beforeLines="50" w:after="156" w:afterLines="50"/>
              <w:ind w:firstLine="0" w:firstLineChars="0"/>
              <w:jc w:val="center"/>
              <w:outlineLvl w:val="1"/>
              <w:rPr>
                <w:rFonts w:ascii="Times New Roman"/>
                <w:szCs w:val="22"/>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B31F5AF">
            <w:pPr>
              <w:pStyle w:val="33"/>
              <w:spacing w:before="156" w:beforeLines="50" w:after="156" w:afterLines="50"/>
              <w:ind w:firstLine="0" w:firstLineChars="0"/>
              <w:jc w:val="center"/>
              <w:outlineLvl w:val="1"/>
              <w:rPr>
                <w:rFonts w:ascii="Times New Roman"/>
                <w:szCs w:val="22"/>
              </w:rPr>
            </w:pPr>
          </w:p>
        </w:tc>
        <w:tc>
          <w:tcPr>
            <w:tcW w:w="3630" w:type="dxa"/>
            <w:tcBorders>
              <w:top w:val="single" w:color="000000" w:sz="4" w:space="0"/>
              <w:left w:val="single" w:color="000000" w:sz="4" w:space="0"/>
              <w:bottom w:val="single" w:color="000000" w:sz="4" w:space="0"/>
              <w:right w:val="single" w:color="auto" w:sz="4" w:space="0"/>
            </w:tcBorders>
            <w:vAlign w:val="center"/>
          </w:tcPr>
          <w:p w14:paraId="4FC015B3">
            <w:pPr>
              <w:pStyle w:val="33"/>
              <w:spacing w:before="156" w:beforeLines="50" w:after="156" w:afterLines="50"/>
              <w:ind w:firstLine="0" w:firstLineChars="0"/>
              <w:jc w:val="center"/>
              <w:outlineLvl w:val="1"/>
              <w:rPr>
                <w:rFonts w:ascii="Times New Roman"/>
                <w:szCs w:val="22"/>
              </w:rPr>
            </w:pPr>
            <w:r>
              <w:rPr>
                <w:rFonts w:hint="eastAsia" w:ascii="Times New Roman"/>
                <w:szCs w:val="22"/>
              </w:rPr>
              <w:t>前置条件</w:t>
            </w:r>
          </w:p>
        </w:tc>
        <w:tc>
          <w:tcPr>
            <w:tcW w:w="3329" w:type="dxa"/>
            <w:tcBorders>
              <w:top w:val="single" w:color="000000" w:sz="4" w:space="0"/>
              <w:left w:val="single" w:color="auto" w:sz="4" w:space="0"/>
              <w:bottom w:val="single" w:color="000000" w:sz="4" w:space="0"/>
              <w:right w:val="single" w:color="auto" w:sz="4" w:space="0"/>
            </w:tcBorders>
            <w:vAlign w:val="center"/>
          </w:tcPr>
          <w:p w14:paraId="1A89E5EF">
            <w:pPr>
              <w:pStyle w:val="33"/>
              <w:spacing w:before="156" w:beforeLines="50" w:after="156" w:afterLines="50"/>
              <w:ind w:firstLine="0" w:firstLineChars="0"/>
              <w:jc w:val="center"/>
              <w:outlineLvl w:val="1"/>
              <w:rPr>
                <w:rFonts w:ascii="Times New Roman"/>
                <w:szCs w:val="22"/>
              </w:rPr>
            </w:pPr>
            <w:r>
              <w:rPr>
                <w:rFonts w:hint="eastAsia" w:ascii="Times New Roman"/>
                <w:szCs w:val="22"/>
              </w:rPr>
              <w:t>非电能表故障原因</w:t>
            </w:r>
          </w:p>
        </w:tc>
      </w:tr>
      <w:tr w14:paraId="1E3DAC55">
        <w:tblPrEx>
          <w:tblCellMar>
            <w:top w:w="0" w:type="dxa"/>
            <w:left w:w="108" w:type="dxa"/>
            <w:bottom w:w="0" w:type="dxa"/>
            <w:right w:w="108" w:type="dxa"/>
          </w:tblCellMar>
        </w:tblPrEx>
        <w:trPr>
          <w:trHeight w:val="676" w:hRule="atLeast"/>
          <w:jc w:val="center"/>
        </w:trPr>
        <w:tc>
          <w:tcPr>
            <w:tcW w:w="722" w:type="dxa"/>
            <w:tcBorders>
              <w:top w:val="single" w:color="000000" w:sz="4" w:space="0"/>
              <w:left w:val="single" w:color="000000" w:sz="4" w:space="0"/>
              <w:right w:val="single" w:color="000000" w:sz="4" w:space="0"/>
            </w:tcBorders>
            <w:shd w:val="clear" w:color="auto" w:fill="FFFFFF"/>
            <w:vAlign w:val="center"/>
          </w:tcPr>
          <w:p w14:paraId="12022CF1">
            <w:pPr>
              <w:pStyle w:val="33"/>
              <w:spacing w:before="156" w:beforeLines="50" w:after="156" w:afterLines="50"/>
              <w:ind w:firstLine="0" w:firstLineChars="0"/>
              <w:jc w:val="center"/>
              <w:outlineLvl w:val="1"/>
              <w:rPr>
                <w:rFonts w:ascii="Times New Roman"/>
                <w:szCs w:val="22"/>
              </w:rPr>
            </w:pPr>
            <w:r>
              <w:rPr>
                <w:rFonts w:hint="eastAsia" w:ascii="Times New Roman"/>
                <w:szCs w:val="22"/>
              </w:rPr>
              <w:t>1</w:t>
            </w:r>
          </w:p>
        </w:tc>
        <w:tc>
          <w:tcPr>
            <w:tcW w:w="1890" w:type="dxa"/>
            <w:gridSpan w:val="2"/>
            <w:tcBorders>
              <w:top w:val="single" w:color="000000" w:sz="4" w:space="0"/>
              <w:left w:val="single" w:color="000000" w:sz="4" w:space="0"/>
              <w:right w:val="single" w:color="000000" w:sz="4" w:space="0"/>
            </w:tcBorders>
            <w:shd w:val="clear" w:color="auto" w:fill="FFFFFF"/>
            <w:vAlign w:val="center"/>
          </w:tcPr>
          <w:p w14:paraId="49565D39">
            <w:pPr>
              <w:pStyle w:val="33"/>
              <w:spacing w:before="156" w:beforeLines="50" w:after="156" w:afterLines="50"/>
              <w:ind w:firstLine="0" w:firstLineChars="0"/>
              <w:outlineLvl w:val="1"/>
              <w:rPr>
                <w:rFonts w:ascii="Times New Roman"/>
                <w:szCs w:val="22"/>
              </w:rPr>
            </w:pPr>
            <w:r>
              <w:rPr>
                <w:rFonts w:hint="eastAsia" w:ascii="Times New Roman"/>
                <w:szCs w:val="22"/>
              </w:rPr>
              <w:t>事件记录异常</w:t>
            </w:r>
          </w:p>
        </w:tc>
        <w:tc>
          <w:tcPr>
            <w:tcW w:w="363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60D2989">
            <w:pPr>
              <w:pStyle w:val="33"/>
              <w:spacing w:before="156" w:beforeLines="50" w:after="156" w:afterLines="50"/>
              <w:ind w:firstLine="0" w:firstLineChars="0"/>
              <w:outlineLvl w:val="1"/>
              <w:rPr>
                <w:rFonts w:ascii="Times New Roman"/>
                <w:szCs w:val="22"/>
              </w:rPr>
            </w:pPr>
            <w:r>
              <w:rPr>
                <w:rFonts w:hint="eastAsia" w:ascii="Times New Roman"/>
                <w:szCs w:val="22"/>
              </w:rPr>
              <w:t>外观损坏、接线端子损坏、烧表、电源供给异常、死机、</w:t>
            </w:r>
            <w:r>
              <w:rPr>
                <w:rFonts w:hint="eastAsia" w:ascii="Times New Roman"/>
                <w:szCs w:val="22"/>
                <w:lang w:val="en-US" w:eastAsia="zh-CN"/>
              </w:rPr>
              <w:t>RS</w:t>
            </w:r>
            <w:r>
              <w:rPr>
                <w:rFonts w:hint="eastAsia" w:ascii="Times New Roman"/>
                <w:szCs w:val="22"/>
              </w:rPr>
              <w:t>485通信失败</w:t>
            </w:r>
          </w:p>
        </w:tc>
        <w:tc>
          <w:tcPr>
            <w:tcW w:w="3329"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C3F6A92">
            <w:pPr>
              <w:pStyle w:val="33"/>
              <w:spacing w:before="156" w:beforeLines="50" w:after="156" w:afterLines="50"/>
              <w:ind w:firstLine="0" w:firstLineChars="0"/>
              <w:outlineLvl w:val="1"/>
              <w:rPr>
                <w:rFonts w:ascii="Times New Roman"/>
                <w:szCs w:val="22"/>
              </w:rPr>
            </w:pPr>
            <w:r>
              <w:rPr>
                <w:rFonts w:hint="eastAsia" w:ascii="Times New Roman"/>
                <w:szCs w:val="22"/>
              </w:rPr>
              <w:t>1.清零事件记录异常，且清零时间为2000-00-00 00:00:00的样表；</w:t>
            </w:r>
          </w:p>
          <w:p w14:paraId="65BC24A7">
            <w:pPr>
              <w:pStyle w:val="33"/>
              <w:spacing w:before="156" w:beforeLines="50" w:after="156" w:afterLines="50"/>
              <w:ind w:firstLine="0" w:firstLineChars="0"/>
              <w:outlineLvl w:val="1"/>
              <w:rPr>
                <w:rFonts w:ascii="Times New Roman"/>
                <w:szCs w:val="22"/>
              </w:rPr>
            </w:pPr>
            <w:r>
              <w:rPr>
                <w:rFonts w:hint="eastAsia" w:ascii="Times New Roman"/>
                <w:szCs w:val="22"/>
              </w:rPr>
              <w:t>2.开盖事件记录异常，开盖次数1～3次，且</w:t>
            </w:r>
            <w:r>
              <w:rPr>
                <w:rFonts w:hint="eastAsia" w:ascii="Times New Roman"/>
                <w:szCs w:val="22"/>
                <w:lang w:val="en-US" w:eastAsia="zh-CN"/>
              </w:rPr>
              <w:t>电能</w:t>
            </w:r>
            <w:r>
              <w:rPr>
                <w:rFonts w:hint="eastAsia" w:ascii="Times New Roman"/>
                <w:szCs w:val="22"/>
              </w:rPr>
              <w:t>基本误差绝对值在10%以上（窃电）；</w:t>
            </w:r>
            <w:r>
              <w:rPr>
                <w:rFonts w:hint="eastAsia" w:ascii="Times New Roman"/>
                <w:szCs w:val="22"/>
              </w:rPr>
              <w:br w:type="textWrapping"/>
            </w:r>
            <w:r>
              <w:rPr>
                <w:rFonts w:hint="eastAsia" w:ascii="Times New Roman"/>
                <w:szCs w:val="22"/>
              </w:rPr>
              <w:t>3.基于四个事件记录结论（清零、掉电、开盖、掉电测试），综合判断事件记录异常是否异常：若仍为异常，则不清除；若正常，则清除。</w:t>
            </w:r>
          </w:p>
        </w:tc>
      </w:tr>
      <w:tr w14:paraId="7F46392F">
        <w:tblPrEx>
          <w:tblCellMar>
            <w:top w:w="0" w:type="dxa"/>
            <w:left w:w="108" w:type="dxa"/>
            <w:bottom w:w="0" w:type="dxa"/>
            <w:right w:w="108" w:type="dxa"/>
          </w:tblCellMar>
        </w:tblPrEx>
        <w:trPr>
          <w:trHeight w:val="676" w:hRule="atLeast"/>
          <w:jc w:val="center"/>
        </w:trPr>
        <w:tc>
          <w:tcPr>
            <w:tcW w:w="722" w:type="dxa"/>
            <w:tcBorders>
              <w:top w:val="single" w:color="000000" w:sz="4" w:space="0"/>
              <w:left w:val="single" w:color="000000" w:sz="4" w:space="0"/>
              <w:right w:val="single" w:color="000000" w:sz="4" w:space="0"/>
            </w:tcBorders>
            <w:shd w:val="clear" w:color="auto" w:fill="FFFFFF"/>
            <w:vAlign w:val="center"/>
          </w:tcPr>
          <w:p w14:paraId="4791B964">
            <w:pPr>
              <w:pStyle w:val="33"/>
              <w:spacing w:before="156" w:beforeLines="50" w:after="156" w:afterLines="50"/>
              <w:ind w:firstLine="0" w:firstLineChars="0"/>
              <w:jc w:val="center"/>
              <w:outlineLvl w:val="1"/>
              <w:rPr>
                <w:rFonts w:ascii="Times New Roman"/>
                <w:szCs w:val="22"/>
              </w:rPr>
            </w:pPr>
            <w:r>
              <w:rPr>
                <w:rFonts w:hint="eastAsia" w:ascii="Times New Roman"/>
                <w:szCs w:val="22"/>
              </w:rPr>
              <w:t>2</w:t>
            </w:r>
          </w:p>
        </w:tc>
        <w:tc>
          <w:tcPr>
            <w:tcW w:w="1890" w:type="dxa"/>
            <w:gridSpan w:val="2"/>
            <w:tcBorders>
              <w:top w:val="single" w:color="000000" w:sz="4" w:space="0"/>
              <w:left w:val="single" w:color="000000" w:sz="4" w:space="0"/>
              <w:right w:val="single" w:color="000000" w:sz="4" w:space="0"/>
            </w:tcBorders>
            <w:shd w:val="clear" w:color="auto" w:fill="FFFFFF"/>
            <w:vAlign w:val="center"/>
          </w:tcPr>
          <w:p w14:paraId="39AA0FC7">
            <w:pPr>
              <w:pStyle w:val="33"/>
              <w:spacing w:before="156" w:beforeLines="50" w:after="156" w:afterLines="50"/>
              <w:ind w:firstLine="0" w:firstLineChars="0"/>
              <w:outlineLvl w:val="1"/>
              <w:rPr>
                <w:rFonts w:ascii="Times New Roman"/>
                <w:szCs w:val="22"/>
              </w:rPr>
            </w:pPr>
            <w:r>
              <w:rPr>
                <w:rFonts w:hint="eastAsia" w:ascii="Times New Roman"/>
                <w:szCs w:val="22"/>
              </w:rPr>
              <w:t>电池欠压</w:t>
            </w:r>
          </w:p>
        </w:tc>
        <w:tc>
          <w:tcPr>
            <w:tcW w:w="363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CF2F47D">
            <w:pPr>
              <w:pStyle w:val="33"/>
              <w:spacing w:before="156" w:beforeLines="50" w:after="156" w:afterLines="50"/>
              <w:ind w:firstLine="0" w:firstLineChars="0"/>
              <w:outlineLvl w:val="1"/>
              <w:rPr>
                <w:rFonts w:ascii="Times New Roman"/>
                <w:szCs w:val="22"/>
              </w:rPr>
            </w:pPr>
            <w:r>
              <w:rPr>
                <w:rFonts w:hint="eastAsia" w:ascii="Times New Roman"/>
                <w:szCs w:val="22"/>
              </w:rPr>
              <w:t>外观损坏、接线端子损坏、烧表、电源供给异常、死机、</w:t>
            </w:r>
            <w:r>
              <w:rPr>
                <w:rFonts w:hint="eastAsia" w:ascii="Times New Roman"/>
                <w:szCs w:val="22"/>
                <w:lang w:val="en-US" w:eastAsia="zh-CN"/>
              </w:rPr>
              <w:t>RS</w:t>
            </w:r>
            <w:r>
              <w:rPr>
                <w:rFonts w:hint="eastAsia" w:ascii="Times New Roman"/>
                <w:szCs w:val="22"/>
              </w:rPr>
              <w:t>485通信失败</w:t>
            </w:r>
          </w:p>
        </w:tc>
        <w:tc>
          <w:tcPr>
            <w:tcW w:w="3329"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6511B7F">
            <w:pPr>
              <w:pStyle w:val="33"/>
              <w:spacing w:before="156" w:beforeLines="50" w:after="156" w:afterLines="50"/>
              <w:ind w:firstLine="0" w:firstLineChars="0"/>
              <w:outlineLvl w:val="1"/>
              <w:rPr>
                <w:rFonts w:ascii="Times New Roman"/>
                <w:szCs w:val="22"/>
              </w:rPr>
            </w:pPr>
            <w:r>
              <w:rPr>
                <w:rFonts w:hint="eastAsia" w:ascii="Times New Roman"/>
                <w:szCs w:val="22"/>
              </w:rPr>
              <w:t>/</w:t>
            </w:r>
          </w:p>
        </w:tc>
      </w:tr>
      <w:tr w14:paraId="2C11803A">
        <w:tblPrEx>
          <w:tblCellMar>
            <w:top w:w="0" w:type="dxa"/>
            <w:left w:w="108" w:type="dxa"/>
            <w:bottom w:w="0" w:type="dxa"/>
            <w:right w:w="108" w:type="dxa"/>
          </w:tblCellMar>
        </w:tblPrEx>
        <w:trPr>
          <w:trHeight w:val="676" w:hRule="atLeast"/>
          <w:jc w:val="center"/>
        </w:trPr>
        <w:tc>
          <w:tcPr>
            <w:tcW w:w="722" w:type="dxa"/>
            <w:tcBorders>
              <w:top w:val="single" w:color="000000" w:sz="4" w:space="0"/>
              <w:left w:val="single" w:color="000000" w:sz="4" w:space="0"/>
              <w:right w:val="single" w:color="000000" w:sz="4" w:space="0"/>
            </w:tcBorders>
            <w:shd w:val="clear" w:color="auto" w:fill="FFFFFF"/>
            <w:vAlign w:val="center"/>
          </w:tcPr>
          <w:p w14:paraId="5D653512">
            <w:pPr>
              <w:pStyle w:val="33"/>
              <w:spacing w:before="156" w:beforeLines="50" w:after="156" w:afterLines="50"/>
              <w:ind w:firstLine="0" w:firstLineChars="0"/>
              <w:jc w:val="center"/>
              <w:outlineLvl w:val="1"/>
              <w:rPr>
                <w:rFonts w:ascii="Times New Roman"/>
                <w:szCs w:val="22"/>
              </w:rPr>
            </w:pPr>
            <w:r>
              <w:rPr>
                <w:rFonts w:hint="eastAsia" w:ascii="Times New Roman"/>
                <w:szCs w:val="22"/>
              </w:rPr>
              <w:t>3</w:t>
            </w:r>
          </w:p>
        </w:tc>
        <w:tc>
          <w:tcPr>
            <w:tcW w:w="1890" w:type="dxa"/>
            <w:gridSpan w:val="2"/>
            <w:tcBorders>
              <w:top w:val="single" w:color="000000" w:sz="4" w:space="0"/>
              <w:left w:val="single" w:color="000000" w:sz="4" w:space="0"/>
              <w:right w:val="single" w:color="000000" w:sz="4" w:space="0"/>
            </w:tcBorders>
            <w:shd w:val="clear" w:color="auto" w:fill="FFFFFF"/>
            <w:vAlign w:val="center"/>
          </w:tcPr>
          <w:p w14:paraId="1F956BBE">
            <w:pPr>
              <w:pStyle w:val="33"/>
              <w:spacing w:before="156" w:beforeLines="50" w:after="156" w:afterLines="50"/>
              <w:ind w:firstLine="0" w:firstLineChars="0"/>
              <w:outlineLvl w:val="1"/>
              <w:rPr>
                <w:rFonts w:ascii="Times New Roman"/>
                <w:szCs w:val="22"/>
              </w:rPr>
            </w:pPr>
            <w:r>
              <w:rPr>
                <w:rFonts w:hint="eastAsia" w:ascii="Times New Roman"/>
                <w:szCs w:val="22"/>
              </w:rPr>
              <w:t>电源供给异常</w:t>
            </w:r>
          </w:p>
        </w:tc>
        <w:tc>
          <w:tcPr>
            <w:tcW w:w="363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69434A6">
            <w:pPr>
              <w:pStyle w:val="33"/>
              <w:spacing w:before="156" w:beforeLines="50" w:after="156" w:afterLines="50"/>
              <w:ind w:firstLine="0" w:firstLineChars="0"/>
              <w:outlineLvl w:val="1"/>
              <w:rPr>
                <w:rFonts w:ascii="Times New Roman"/>
                <w:szCs w:val="22"/>
              </w:rPr>
            </w:pPr>
            <w:r>
              <w:rPr>
                <w:rFonts w:hint="eastAsia" w:ascii="Times New Roman"/>
                <w:szCs w:val="22"/>
              </w:rPr>
              <w:t>外观损坏、接线端子损坏、烧表</w:t>
            </w:r>
          </w:p>
        </w:tc>
        <w:tc>
          <w:tcPr>
            <w:tcW w:w="3329"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4D31780">
            <w:pPr>
              <w:pStyle w:val="33"/>
              <w:spacing w:before="156" w:beforeLines="50" w:after="156" w:afterLines="50"/>
              <w:ind w:firstLine="0" w:firstLineChars="0"/>
              <w:outlineLvl w:val="1"/>
              <w:rPr>
                <w:rFonts w:ascii="Times New Roman"/>
                <w:szCs w:val="22"/>
              </w:rPr>
            </w:pPr>
            <w:r>
              <w:rPr>
                <w:rFonts w:hint="eastAsia" w:ascii="Times New Roman"/>
                <w:szCs w:val="22"/>
              </w:rPr>
              <w:t>/</w:t>
            </w:r>
          </w:p>
        </w:tc>
      </w:tr>
      <w:tr w14:paraId="48541784">
        <w:tblPrEx>
          <w:tblCellMar>
            <w:top w:w="0" w:type="dxa"/>
            <w:left w:w="108" w:type="dxa"/>
            <w:bottom w:w="0" w:type="dxa"/>
            <w:right w:w="108" w:type="dxa"/>
          </w:tblCellMar>
        </w:tblPrEx>
        <w:trPr>
          <w:trHeight w:val="676" w:hRule="atLeast"/>
          <w:jc w:val="center"/>
        </w:trPr>
        <w:tc>
          <w:tcPr>
            <w:tcW w:w="72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69699B">
            <w:pPr>
              <w:pStyle w:val="33"/>
              <w:spacing w:before="156" w:beforeLines="50" w:after="156" w:afterLines="50"/>
              <w:ind w:firstLine="0" w:firstLineChars="0"/>
              <w:jc w:val="center"/>
              <w:outlineLvl w:val="1"/>
              <w:rPr>
                <w:rFonts w:ascii="Times New Roman"/>
                <w:szCs w:val="22"/>
              </w:rPr>
            </w:pPr>
            <w:r>
              <w:rPr>
                <w:rFonts w:hint="eastAsia" w:ascii="Times New Roman"/>
                <w:szCs w:val="22"/>
              </w:rPr>
              <w:t>4</w:t>
            </w:r>
          </w:p>
        </w:tc>
        <w:tc>
          <w:tcPr>
            <w:tcW w:w="1890"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50908C4D">
            <w:pPr>
              <w:pStyle w:val="33"/>
              <w:spacing w:before="156" w:beforeLines="50" w:after="156" w:afterLines="50"/>
              <w:ind w:firstLine="0" w:firstLineChars="0"/>
              <w:outlineLvl w:val="1"/>
              <w:rPr>
                <w:rFonts w:ascii="Times New Roman"/>
                <w:szCs w:val="22"/>
              </w:rPr>
            </w:pPr>
            <w:r>
              <w:rPr>
                <w:rFonts w:hint="eastAsia" w:ascii="Times New Roman"/>
                <w:szCs w:val="22"/>
              </w:rPr>
              <w:t>模块类通信失败</w:t>
            </w:r>
          </w:p>
        </w:tc>
        <w:tc>
          <w:tcPr>
            <w:tcW w:w="363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7961DF9">
            <w:pPr>
              <w:pStyle w:val="33"/>
              <w:spacing w:before="156" w:beforeLines="50" w:after="156" w:afterLines="50"/>
              <w:ind w:firstLine="0" w:firstLineChars="0"/>
              <w:outlineLvl w:val="1"/>
              <w:rPr>
                <w:rFonts w:ascii="Times New Roman"/>
                <w:szCs w:val="22"/>
              </w:rPr>
            </w:pPr>
            <w:r>
              <w:rPr>
                <w:rFonts w:hint="eastAsia" w:ascii="Times New Roman"/>
                <w:szCs w:val="22"/>
              </w:rPr>
              <w:t>外观损坏、接线端子损坏、烧表、电源供给异常、死机</w:t>
            </w:r>
          </w:p>
        </w:tc>
        <w:tc>
          <w:tcPr>
            <w:tcW w:w="3329"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2A73086">
            <w:pPr>
              <w:pStyle w:val="33"/>
              <w:spacing w:before="156" w:beforeLines="50" w:after="156" w:afterLines="50"/>
              <w:ind w:firstLine="0" w:firstLineChars="0"/>
              <w:outlineLvl w:val="1"/>
              <w:rPr>
                <w:rFonts w:ascii="Times New Roman"/>
                <w:szCs w:val="22"/>
              </w:rPr>
            </w:pPr>
            <w:r>
              <w:rPr>
                <w:rFonts w:hint="eastAsia" w:ascii="Times New Roman"/>
                <w:szCs w:val="22"/>
              </w:rPr>
              <w:t>/</w:t>
            </w:r>
          </w:p>
        </w:tc>
      </w:tr>
      <w:tr w14:paraId="53AF1DD8">
        <w:tblPrEx>
          <w:tblCellMar>
            <w:top w:w="0" w:type="dxa"/>
            <w:left w:w="108" w:type="dxa"/>
            <w:bottom w:w="0" w:type="dxa"/>
            <w:right w:w="108" w:type="dxa"/>
          </w:tblCellMar>
        </w:tblPrEx>
        <w:trPr>
          <w:trHeight w:val="676"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B028BF">
            <w:pPr>
              <w:pStyle w:val="33"/>
              <w:spacing w:before="156" w:beforeLines="50" w:after="156" w:afterLines="50"/>
              <w:ind w:firstLine="0" w:firstLineChars="0"/>
              <w:jc w:val="center"/>
              <w:outlineLvl w:val="1"/>
              <w:rPr>
                <w:rFonts w:ascii="Times New Roman"/>
                <w:szCs w:val="22"/>
              </w:rPr>
            </w:pPr>
            <w:r>
              <w:rPr>
                <w:rFonts w:hint="eastAsia" w:ascii="Times New Roman"/>
                <w:szCs w:val="22"/>
              </w:rPr>
              <w:t>5</w:t>
            </w:r>
          </w:p>
        </w:tc>
        <w:tc>
          <w:tcPr>
            <w:tcW w:w="189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EE929D">
            <w:pPr>
              <w:pStyle w:val="33"/>
              <w:spacing w:before="156" w:beforeLines="50" w:after="156" w:afterLines="50"/>
              <w:ind w:firstLine="0" w:firstLineChars="0"/>
              <w:outlineLvl w:val="1"/>
              <w:rPr>
                <w:rFonts w:ascii="Times New Roman"/>
                <w:szCs w:val="22"/>
              </w:rPr>
            </w:pPr>
            <w:r>
              <w:rPr>
                <w:rFonts w:hint="eastAsia" w:ascii="Times New Roman"/>
                <w:szCs w:val="22"/>
              </w:rPr>
              <w:t>时钟错误</w:t>
            </w:r>
          </w:p>
        </w:tc>
        <w:tc>
          <w:tcPr>
            <w:tcW w:w="3630" w:type="dxa"/>
            <w:tcBorders>
              <w:top w:val="single" w:color="000000" w:sz="4" w:space="0"/>
              <w:left w:val="single" w:color="auto" w:sz="4" w:space="0"/>
              <w:bottom w:val="single" w:color="000000" w:sz="4" w:space="0"/>
              <w:right w:val="single" w:color="auto" w:sz="4" w:space="0"/>
            </w:tcBorders>
            <w:shd w:val="clear" w:color="auto" w:fill="FFFFFF"/>
            <w:vAlign w:val="center"/>
          </w:tcPr>
          <w:p w14:paraId="28058092">
            <w:pPr>
              <w:pStyle w:val="33"/>
              <w:spacing w:before="156" w:beforeLines="50" w:after="156" w:afterLines="50"/>
              <w:ind w:firstLine="0" w:firstLineChars="0"/>
              <w:outlineLvl w:val="1"/>
              <w:rPr>
                <w:rFonts w:ascii="Times New Roman"/>
                <w:szCs w:val="22"/>
              </w:rPr>
            </w:pPr>
            <w:r>
              <w:rPr>
                <w:rFonts w:hint="eastAsia" w:ascii="Times New Roman"/>
                <w:szCs w:val="22"/>
              </w:rPr>
              <w:t>外观损坏、接线端子损坏、烧表、电源供给异常、死机</w:t>
            </w:r>
          </w:p>
        </w:tc>
        <w:tc>
          <w:tcPr>
            <w:tcW w:w="3329"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3E6DA45">
            <w:pPr>
              <w:pStyle w:val="33"/>
              <w:spacing w:before="156" w:beforeLines="50" w:after="156" w:afterLines="50"/>
              <w:ind w:firstLine="0" w:firstLineChars="0"/>
              <w:outlineLvl w:val="1"/>
              <w:rPr>
                <w:rFonts w:ascii="Times New Roman"/>
                <w:szCs w:val="22"/>
              </w:rPr>
            </w:pPr>
            <w:r>
              <w:rPr>
                <w:rFonts w:hint="eastAsia" w:ascii="Times New Roman"/>
                <w:szCs w:val="22"/>
              </w:rPr>
              <w:t>日计时超差值为-9999</w:t>
            </w:r>
          </w:p>
        </w:tc>
      </w:tr>
      <w:tr w14:paraId="59473FC1">
        <w:tblPrEx>
          <w:tblCellMar>
            <w:top w:w="0" w:type="dxa"/>
            <w:left w:w="108" w:type="dxa"/>
            <w:bottom w:w="0" w:type="dxa"/>
            <w:right w:w="108" w:type="dxa"/>
          </w:tblCellMar>
        </w:tblPrEx>
        <w:trPr>
          <w:trHeight w:val="676" w:hRule="atLeast"/>
          <w:jc w:val="center"/>
        </w:trPr>
        <w:tc>
          <w:tcPr>
            <w:tcW w:w="722"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7A09FC9A">
            <w:pPr>
              <w:pStyle w:val="33"/>
              <w:spacing w:before="156" w:beforeLines="50" w:after="156" w:afterLines="50"/>
              <w:ind w:firstLine="0" w:firstLineChars="0"/>
              <w:jc w:val="center"/>
              <w:outlineLvl w:val="1"/>
              <w:rPr>
                <w:rFonts w:ascii="Times New Roman"/>
                <w:szCs w:val="22"/>
              </w:rPr>
            </w:pPr>
            <w:r>
              <w:rPr>
                <w:rFonts w:hint="eastAsia" w:ascii="Times New Roman"/>
                <w:szCs w:val="22"/>
              </w:rPr>
              <w:t>6</w:t>
            </w:r>
          </w:p>
        </w:tc>
        <w:tc>
          <w:tcPr>
            <w:tcW w:w="84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5C51F24F">
            <w:pPr>
              <w:pStyle w:val="33"/>
              <w:spacing w:before="156" w:beforeLines="50" w:after="156" w:afterLines="50"/>
              <w:ind w:firstLine="0" w:firstLineChars="0"/>
              <w:outlineLvl w:val="1"/>
              <w:rPr>
                <w:rFonts w:ascii="Times New Roman"/>
                <w:szCs w:val="22"/>
              </w:rPr>
            </w:pPr>
            <w:r>
              <w:rPr>
                <w:rFonts w:hint="eastAsia" w:ascii="Times New Roman"/>
                <w:szCs w:val="22"/>
              </w:rPr>
              <w:t>测量误差超差</w:t>
            </w:r>
          </w:p>
        </w:tc>
        <w:tc>
          <w:tcPr>
            <w:tcW w:w="1050" w:type="dxa"/>
            <w:tcBorders>
              <w:top w:val="single" w:color="auto" w:sz="4" w:space="0"/>
              <w:left w:val="single" w:color="000000" w:sz="4" w:space="0"/>
              <w:bottom w:val="single" w:color="auto" w:sz="4" w:space="0"/>
              <w:right w:val="single" w:color="000000" w:sz="4" w:space="0"/>
            </w:tcBorders>
            <w:shd w:val="clear" w:color="auto" w:fill="FFFFFF"/>
            <w:vAlign w:val="center"/>
          </w:tcPr>
          <w:p w14:paraId="1D091B3D">
            <w:pPr>
              <w:pStyle w:val="33"/>
              <w:spacing w:before="156" w:beforeLines="50" w:after="156" w:afterLines="50"/>
              <w:ind w:firstLine="0" w:firstLineChars="0"/>
              <w:outlineLvl w:val="1"/>
              <w:rPr>
                <w:rFonts w:ascii="Times New Roman"/>
                <w:szCs w:val="22"/>
              </w:rPr>
            </w:pPr>
            <w:r>
              <w:rPr>
                <w:rFonts w:hint="eastAsia" w:ascii="Times New Roman"/>
                <w:szCs w:val="22"/>
                <w:lang w:val="en-US" w:eastAsia="zh-CN"/>
              </w:rPr>
              <w:t>电能</w:t>
            </w:r>
            <w:r>
              <w:rPr>
                <w:rFonts w:hint="eastAsia" w:ascii="Times New Roman"/>
                <w:szCs w:val="22"/>
              </w:rPr>
              <w:t>基本误差超差</w:t>
            </w:r>
          </w:p>
        </w:tc>
        <w:tc>
          <w:tcPr>
            <w:tcW w:w="363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975F632">
            <w:pPr>
              <w:pStyle w:val="33"/>
              <w:spacing w:before="156" w:beforeLines="50" w:after="156" w:afterLines="50"/>
              <w:ind w:firstLine="0" w:firstLineChars="0"/>
              <w:outlineLvl w:val="1"/>
              <w:rPr>
                <w:rFonts w:ascii="Times New Roman"/>
                <w:szCs w:val="22"/>
              </w:rPr>
            </w:pPr>
            <w:r>
              <w:rPr>
                <w:rFonts w:hint="eastAsia" w:ascii="Times New Roman"/>
                <w:szCs w:val="22"/>
              </w:rPr>
              <w:t>外观损坏、接线端子损坏、烧表、电源供给异常、死机</w:t>
            </w:r>
          </w:p>
        </w:tc>
        <w:tc>
          <w:tcPr>
            <w:tcW w:w="3329"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405AB76">
            <w:pPr>
              <w:pStyle w:val="33"/>
              <w:spacing w:before="156" w:beforeLines="50" w:after="156" w:afterLines="50"/>
              <w:ind w:firstLine="0" w:firstLineChars="0"/>
              <w:outlineLvl w:val="1"/>
              <w:rPr>
                <w:rFonts w:ascii="Times New Roman"/>
                <w:szCs w:val="22"/>
              </w:rPr>
            </w:pPr>
            <w:r>
              <w:rPr>
                <w:rFonts w:hint="eastAsia" w:ascii="Times New Roman"/>
                <w:szCs w:val="22"/>
              </w:rPr>
              <w:t>1.开盖次数1～3次，且</w:t>
            </w:r>
            <w:r>
              <w:rPr>
                <w:rFonts w:hint="eastAsia" w:ascii="Times New Roman"/>
                <w:szCs w:val="22"/>
                <w:lang w:val="en-US" w:eastAsia="zh-CN"/>
              </w:rPr>
              <w:t>电能</w:t>
            </w:r>
            <w:r>
              <w:rPr>
                <w:rFonts w:hint="eastAsia" w:ascii="Times New Roman"/>
                <w:szCs w:val="22"/>
              </w:rPr>
              <w:t>基本误差绝对值在10%以上（窃电）；</w:t>
            </w:r>
            <w:r>
              <w:rPr>
                <w:rFonts w:hint="eastAsia" w:ascii="Times New Roman"/>
                <w:szCs w:val="22"/>
              </w:rPr>
              <w:br w:type="textWrapping"/>
            </w:r>
            <w:r>
              <w:rPr>
                <w:rFonts w:hint="eastAsia" w:ascii="Times New Roman"/>
                <w:szCs w:val="22"/>
              </w:rPr>
              <w:t>2.</w:t>
            </w:r>
            <w:r>
              <w:rPr>
                <w:rFonts w:hint="eastAsia" w:ascii="Times New Roman"/>
                <w:szCs w:val="22"/>
                <w:lang w:eastAsia="zh-CN"/>
              </w:rPr>
              <w:t>电能基本误差</w:t>
            </w:r>
            <w:r>
              <w:rPr>
                <w:rFonts w:hint="eastAsia" w:ascii="Times New Roman"/>
                <w:szCs w:val="22"/>
              </w:rPr>
              <w:t>值为-100%</w:t>
            </w:r>
          </w:p>
        </w:tc>
      </w:tr>
      <w:tr w14:paraId="655B92A5">
        <w:tblPrEx>
          <w:tblCellMar>
            <w:top w:w="0" w:type="dxa"/>
            <w:left w:w="108" w:type="dxa"/>
            <w:bottom w:w="0" w:type="dxa"/>
            <w:right w:w="108" w:type="dxa"/>
          </w:tblCellMar>
        </w:tblPrEx>
        <w:trPr>
          <w:trHeight w:val="150" w:hRule="atLeast"/>
          <w:jc w:val="center"/>
        </w:trPr>
        <w:tc>
          <w:tcPr>
            <w:tcW w:w="722"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14:paraId="132440C8">
            <w:pPr>
              <w:pStyle w:val="33"/>
              <w:spacing w:before="156" w:beforeLines="50" w:after="156" w:afterLines="50"/>
              <w:ind w:firstLine="0" w:firstLineChars="0"/>
              <w:jc w:val="center"/>
              <w:outlineLvl w:val="1"/>
              <w:rPr>
                <w:rFonts w:ascii="Times New Roman"/>
                <w:szCs w:val="22"/>
              </w:rPr>
            </w:pPr>
          </w:p>
        </w:tc>
        <w:tc>
          <w:tcPr>
            <w:tcW w:w="840"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14:paraId="6DE52A7B">
            <w:pPr>
              <w:pStyle w:val="33"/>
              <w:spacing w:before="156" w:beforeLines="50" w:after="156" w:afterLines="50"/>
              <w:ind w:firstLine="0" w:firstLineChars="0"/>
              <w:outlineLvl w:val="1"/>
              <w:rPr>
                <w:rFonts w:ascii="Times New Roman"/>
                <w:szCs w:val="22"/>
              </w:rPr>
            </w:pPr>
          </w:p>
        </w:tc>
        <w:tc>
          <w:tcPr>
            <w:tcW w:w="105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D70583E">
            <w:pPr>
              <w:pStyle w:val="33"/>
              <w:spacing w:before="156" w:beforeLines="50" w:after="156" w:afterLines="50"/>
              <w:ind w:firstLine="0" w:firstLineChars="0"/>
              <w:outlineLvl w:val="1"/>
              <w:rPr>
                <w:rFonts w:ascii="Times New Roman"/>
                <w:szCs w:val="22"/>
              </w:rPr>
            </w:pPr>
            <w:r>
              <w:rPr>
                <w:rFonts w:hint="eastAsia" w:ascii="Times New Roman"/>
                <w:szCs w:val="22"/>
              </w:rPr>
              <w:t>电参量示值误差超差</w:t>
            </w:r>
          </w:p>
        </w:tc>
        <w:tc>
          <w:tcPr>
            <w:tcW w:w="363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5CAC196">
            <w:pPr>
              <w:pStyle w:val="33"/>
              <w:spacing w:before="156" w:beforeLines="50" w:after="156" w:afterLines="50"/>
              <w:ind w:firstLine="0" w:firstLineChars="0"/>
              <w:outlineLvl w:val="1"/>
              <w:rPr>
                <w:rFonts w:ascii="Times New Roman"/>
                <w:szCs w:val="22"/>
              </w:rPr>
            </w:pPr>
            <w:r>
              <w:rPr>
                <w:rFonts w:hint="eastAsia" w:ascii="Times New Roman"/>
                <w:szCs w:val="22"/>
              </w:rPr>
              <w:t>外观损坏、接线端子损坏、烧表、电源供给异常、死机、</w:t>
            </w:r>
            <w:r>
              <w:rPr>
                <w:rFonts w:hint="eastAsia" w:ascii="Times New Roman"/>
                <w:szCs w:val="22"/>
                <w:lang w:val="en-US" w:eastAsia="zh-CN"/>
              </w:rPr>
              <w:t>RS</w:t>
            </w:r>
            <w:r>
              <w:rPr>
                <w:rFonts w:hint="eastAsia" w:ascii="Times New Roman"/>
                <w:szCs w:val="22"/>
              </w:rPr>
              <w:t>485通信失败</w:t>
            </w:r>
          </w:p>
        </w:tc>
        <w:tc>
          <w:tcPr>
            <w:tcW w:w="3329"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D0AB58A">
            <w:pPr>
              <w:pStyle w:val="33"/>
              <w:spacing w:before="156" w:beforeLines="50" w:after="156" w:afterLines="50"/>
              <w:ind w:firstLine="0" w:firstLineChars="0"/>
              <w:outlineLvl w:val="1"/>
              <w:rPr>
                <w:rFonts w:ascii="Times New Roman"/>
                <w:szCs w:val="22"/>
              </w:rPr>
            </w:pPr>
            <w:r>
              <w:rPr>
                <w:rFonts w:hint="eastAsia" w:ascii="Times New Roman"/>
                <w:szCs w:val="22"/>
              </w:rPr>
              <w:t>开盖次数1～3次，且</w:t>
            </w:r>
            <w:r>
              <w:rPr>
                <w:rFonts w:hint="eastAsia" w:ascii="Times New Roman"/>
                <w:szCs w:val="22"/>
                <w:lang w:val="en-US" w:eastAsia="zh-CN"/>
              </w:rPr>
              <w:t>电能</w:t>
            </w:r>
            <w:r>
              <w:rPr>
                <w:rFonts w:hint="eastAsia" w:ascii="Times New Roman"/>
                <w:szCs w:val="22"/>
              </w:rPr>
              <w:t>基本误差绝对值在10%以上（窃电）</w:t>
            </w:r>
          </w:p>
        </w:tc>
      </w:tr>
      <w:tr w14:paraId="560FF657">
        <w:tblPrEx>
          <w:tblCellMar>
            <w:top w:w="0" w:type="dxa"/>
            <w:left w:w="108" w:type="dxa"/>
            <w:bottom w:w="0" w:type="dxa"/>
            <w:right w:w="108" w:type="dxa"/>
          </w:tblCellMar>
        </w:tblPrEx>
        <w:trPr>
          <w:trHeight w:val="200"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BCCDA">
            <w:pPr>
              <w:pStyle w:val="33"/>
              <w:spacing w:before="156" w:beforeLines="50" w:after="156" w:afterLines="50"/>
              <w:ind w:firstLine="0" w:firstLineChars="0"/>
              <w:jc w:val="center"/>
              <w:outlineLvl w:val="1"/>
              <w:rPr>
                <w:rFonts w:ascii="Times New Roman"/>
                <w:szCs w:val="22"/>
              </w:rPr>
            </w:pPr>
            <w:r>
              <w:rPr>
                <w:rFonts w:hint="eastAsia" w:ascii="Times New Roman"/>
                <w:szCs w:val="22"/>
              </w:rPr>
              <w:t>7</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A02EFB">
            <w:pPr>
              <w:pStyle w:val="33"/>
              <w:spacing w:before="156" w:beforeLines="50" w:after="156" w:afterLines="50"/>
              <w:ind w:firstLine="0" w:firstLineChars="0"/>
              <w:outlineLvl w:val="1"/>
              <w:rPr>
                <w:rFonts w:ascii="Times New Roman"/>
                <w:szCs w:val="22"/>
              </w:rPr>
            </w:pPr>
            <w:r>
              <w:rPr>
                <w:rFonts w:hint="eastAsia" w:ascii="Times New Roman"/>
                <w:szCs w:val="22"/>
                <w:lang w:val="en-US" w:eastAsia="zh-CN"/>
              </w:rPr>
              <w:t>RS</w:t>
            </w:r>
            <w:r>
              <w:rPr>
                <w:rFonts w:hint="eastAsia" w:ascii="Times New Roman"/>
                <w:szCs w:val="22"/>
              </w:rPr>
              <w:t>485通信失败</w:t>
            </w:r>
          </w:p>
        </w:tc>
        <w:tc>
          <w:tcPr>
            <w:tcW w:w="363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E486AF6">
            <w:pPr>
              <w:pStyle w:val="33"/>
              <w:spacing w:before="156" w:beforeLines="50" w:after="156" w:afterLines="50"/>
              <w:ind w:firstLine="0" w:firstLineChars="0"/>
              <w:outlineLvl w:val="1"/>
              <w:rPr>
                <w:rFonts w:ascii="Times New Roman"/>
                <w:szCs w:val="22"/>
              </w:rPr>
            </w:pPr>
            <w:r>
              <w:rPr>
                <w:rFonts w:hint="eastAsia" w:ascii="Times New Roman"/>
                <w:szCs w:val="22"/>
              </w:rPr>
              <w:t>外观损坏、接线端子损坏、烧表、电源供给异常、死机</w:t>
            </w:r>
          </w:p>
        </w:tc>
        <w:tc>
          <w:tcPr>
            <w:tcW w:w="3329"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225662B">
            <w:pPr>
              <w:pStyle w:val="33"/>
              <w:spacing w:before="156" w:beforeLines="50" w:after="156" w:afterLines="50"/>
              <w:ind w:firstLine="0" w:firstLineChars="0"/>
              <w:outlineLvl w:val="1"/>
              <w:rPr>
                <w:rFonts w:ascii="Times New Roman"/>
                <w:szCs w:val="22"/>
              </w:rPr>
            </w:pPr>
            <w:r>
              <w:rPr>
                <w:rFonts w:hint="eastAsia" w:ascii="Times New Roman"/>
                <w:szCs w:val="22"/>
              </w:rPr>
              <w:t>/</w:t>
            </w:r>
          </w:p>
        </w:tc>
      </w:tr>
    </w:tbl>
    <w:p w14:paraId="7E9E5E9A">
      <w:pPr>
        <w:pStyle w:val="33"/>
        <w:spacing w:before="156" w:beforeLines="50" w:after="156" w:afterLines="50"/>
        <w:ind w:firstLine="0" w:firstLineChars="0"/>
        <w:outlineLvl w:val="2"/>
        <w:rPr>
          <w:rFonts w:ascii="Times New Roman" w:eastAsia="黑体"/>
          <w:szCs w:val="22"/>
        </w:rPr>
      </w:pPr>
      <w:bookmarkStart w:id="138" w:name="_Toc4762"/>
      <w:r>
        <w:rPr>
          <w:rFonts w:hint="eastAsia" w:ascii="Times New Roman" w:eastAsia="黑体"/>
          <w:szCs w:val="22"/>
        </w:rPr>
        <w:t>5.2.1 事件记录异常</w:t>
      </w:r>
      <w:bookmarkEnd w:id="138"/>
    </w:p>
    <w:p w14:paraId="497F9417">
      <w:pPr>
        <w:pStyle w:val="53"/>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outlineLvl w:val="9"/>
        <w:rPr>
          <w:rFonts w:hint="eastAsia" w:ascii="Times New Roman" w:eastAsia="宋体"/>
          <w:szCs w:val="22"/>
          <w:lang w:val="en-US" w:eastAsia="zh-CN"/>
        </w:rPr>
      </w:pPr>
      <w:r>
        <w:rPr>
          <w:rFonts w:hint="eastAsia" w:ascii="Times New Roman"/>
          <w:szCs w:val="22"/>
        </w:rPr>
        <w:t>符合以下任意一条前置条件的不判定为事件记录异常，否则判定为事件记录异常。</w:t>
      </w:r>
      <w:r>
        <w:rPr>
          <w:rFonts w:hint="eastAsia" w:ascii="Times New Roman"/>
          <w:szCs w:val="22"/>
          <w:lang w:val="en-US" w:eastAsia="zh-CN"/>
        </w:rPr>
        <w:t>前置条件如下：</w:t>
      </w:r>
    </w:p>
    <w:p w14:paraId="29F60B38">
      <w:pPr>
        <w:pStyle w:val="53"/>
        <w:keepNext w:val="0"/>
        <w:keepLines w:val="0"/>
        <w:pageBreakBefore w:val="0"/>
        <w:widowControl/>
        <w:numPr>
          <w:ilvl w:val="0"/>
          <w:numId w:val="21"/>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外观损坏；</w:t>
      </w:r>
    </w:p>
    <w:p w14:paraId="074EA76A">
      <w:pPr>
        <w:pStyle w:val="53"/>
        <w:keepNext w:val="0"/>
        <w:keepLines w:val="0"/>
        <w:pageBreakBefore w:val="0"/>
        <w:widowControl/>
        <w:numPr>
          <w:ilvl w:val="0"/>
          <w:numId w:val="21"/>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接线端子损坏；</w:t>
      </w:r>
    </w:p>
    <w:p w14:paraId="18FE1D0F">
      <w:pPr>
        <w:pStyle w:val="53"/>
        <w:keepNext w:val="0"/>
        <w:keepLines w:val="0"/>
        <w:pageBreakBefore w:val="0"/>
        <w:widowControl/>
        <w:numPr>
          <w:ilvl w:val="0"/>
          <w:numId w:val="21"/>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烧表；</w:t>
      </w:r>
    </w:p>
    <w:p w14:paraId="3EA7AAF1">
      <w:pPr>
        <w:pStyle w:val="53"/>
        <w:keepNext w:val="0"/>
        <w:keepLines w:val="0"/>
        <w:pageBreakBefore w:val="0"/>
        <w:widowControl/>
        <w:numPr>
          <w:ilvl w:val="0"/>
          <w:numId w:val="21"/>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电源供给异常；</w:t>
      </w:r>
    </w:p>
    <w:p w14:paraId="45859F8B">
      <w:pPr>
        <w:pStyle w:val="53"/>
        <w:keepNext w:val="0"/>
        <w:keepLines w:val="0"/>
        <w:pageBreakBefore w:val="0"/>
        <w:widowControl/>
        <w:numPr>
          <w:ilvl w:val="0"/>
          <w:numId w:val="21"/>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死机；</w:t>
      </w:r>
    </w:p>
    <w:p w14:paraId="6B092CF7">
      <w:pPr>
        <w:pStyle w:val="53"/>
        <w:keepNext w:val="0"/>
        <w:keepLines w:val="0"/>
        <w:pageBreakBefore w:val="0"/>
        <w:widowControl/>
        <w:numPr>
          <w:ilvl w:val="0"/>
          <w:numId w:val="21"/>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lang w:val="en-US" w:eastAsia="zh-CN"/>
        </w:rPr>
        <w:t>RS</w:t>
      </w:r>
      <w:r>
        <w:rPr>
          <w:rFonts w:hint="eastAsia" w:ascii="Times New Roman"/>
          <w:szCs w:val="22"/>
        </w:rPr>
        <w:t>485通信失败；</w:t>
      </w:r>
    </w:p>
    <w:p w14:paraId="34001F86">
      <w:pPr>
        <w:pStyle w:val="53"/>
        <w:keepNext w:val="0"/>
        <w:keepLines w:val="0"/>
        <w:pageBreakBefore w:val="0"/>
        <w:widowControl/>
        <w:numPr>
          <w:ilvl w:val="0"/>
          <w:numId w:val="21"/>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事件记录异常仅有清零事件记录异常且清零时间为2000-00-00 00:00:00；</w:t>
      </w:r>
    </w:p>
    <w:p w14:paraId="4DCA6C7A">
      <w:pPr>
        <w:pStyle w:val="53"/>
        <w:keepNext w:val="0"/>
        <w:keepLines w:val="0"/>
        <w:pageBreakBefore w:val="0"/>
        <w:widowControl/>
        <w:numPr>
          <w:ilvl w:val="0"/>
          <w:numId w:val="21"/>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事件记录异常仅有开盖事件记录异常且开盖次数1~3次、</w:t>
      </w:r>
      <w:r>
        <w:rPr>
          <w:rFonts w:hint="eastAsia" w:ascii="Times New Roman"/>
          <w:szCs w:val="22"/>
          <w:lang w:val="en-US" w:eastAsia="zh-CN"/>
        </w:rPr>
        <w:t>电能</w:t>
      </w:r>
      <w:r>
        <w:rPr>
          <w:rFonts w:hint="eastAsia" w:ascii="Times New Roman"/>
          <w:szCs w:val="22"/>
        </w:rPr>
        <w:t>基本误差绝对值大于10%。</w:t>
      </w:r>
    </w:p>
    <w:p w14:paraId="06E87E1C">
      <w:pPr>
        <w:pStyle w:val="33"/>
        <w:spacing w:before="156" w:beforeLines="50" w:after="156" w:afterLines="50"/>
        <w:ind w:firstLine="0" w:firstLineChars="0"/>
        <w:outlineLvl w:val="2"/>
        <w:rPr>
          <w:rFonts w:ascii="Times New Roman" w:eastAsia="黑体"/>
          <w:szCs w:val="22"/>
        </w:rPr>
      </w:pPr>
      <w:bookmarkStart w:id="139" w:name="_Toc21710"/>
      <w:bookmarkStart w:id="140" w:name="_Toc29688"/>
      <w:r>
        <w:rPr>
          <w:rFonts w:hint="eastAsia" w:ascii="Times New Roman" w:eastAsia="黑体"/>
          <w:szCs w:val="22"/>
        </w:rPr>
        <w:t>5.2.2 电池欠压</w:t>
      </w:r>
      <w:bookmarkEnd w:id="139"/>
      <w:bookmarkEnd w:id="140"/>
    </w:p>
    <w:p w14:paraId="71153E82">
      <w:pPr>
        <w:pStyle w:val="53"/>
        <w:keepNext w:val="0"/>
        <w:keepLines w:val="0"/>
        <w:pageBreakBefore w:val="0"/>
        <w:widowControl/>
        <w:kinsoku/>
        <w:wordWrap/>
        <w:overflowPunct/>
        <w:topLinePunct w:val="0"/>
        <w:autoSpaceDE/>
        <w:autoSpaceDN/>
        <w:bidi w:val="0"/>
        <w:adjustRightInd/>
        <w:snapToGrid/>
        <w:spacing w:after="0" w:line="240" w:lineRule="auto"/>
        <w:ind w:left="420" w:leftChars="200"/>
        <w:jc w:val="both"/>
        <w:textAlignment w:val="auto"/>
        <w:outlineLvl w:val="9"/>
        <w:rPr>
          <w:rFonts w:ascii="Times New Roman"/>
          <w:szCs w:val="22"/>
        </w:rPr>
      </w:pPr>
      <w:r>
        <w:rPr>
          <w:rFonts w:hint="eastAsia" w:ascii="Times New Roman"/>
          <w:szCs w:val="22"/>
        </w:rPr>
        <w:t>符合以下任意一条前置条件的不判定为电池欠压，否则判定为电池欠压。</w:t>
      </w:r>
      <w:r>
        <w:rPr>
          <w:rFonts w:hint="eastAsia" w:ascii="Times New Roman"/>
          <w:szCs w:val="22"/>
          <w:lang w:val="en-US" w:eastAsia="zh-CN"/>
        </w:rPr>
        <w:t>前置条件如下：</w:t>
      </w:r>
    </w:p>
    <w:p w14:paraId="353E0728">
      <w:pPr>
        <w:pStyle w:val="53"/>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420" w:leftChars="200"/>
        <w:jc w:val="both"/>
        <w:textAlignment w:val="auto"/>
        <w:outlineLvl w:val="9"/>
        <w:rPr>
          <w:rFonts w:ascii="Times New Roman"/>
          <w:szCs w:val="22"/>
        </w:rPr>
      </w:pPr>
      <w:r>
        <w:rPr>
          <w:rFonts w:hint="eastAsia" w:ascii="Times New Roman"/>
          <w:szCs w:val="22"/>
        </w:rPr>
        <w:t>外观损坏；</w:t>
      </w:r>
    </w:p>
    <w:p w14:paraId="77CE762F">
      <w:pPr>
        <w:pStyle w:val="53"/>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420" w:leftChars="200"/>
        <w:jc w:val="both"/>
        <w:textAlignment w:val="auto"/>
        <w:outlineLvl w:val="9"/>
        <w:rPr>
          <w:rFonts w:ascii="Times New Roman"/>
          <w:szCs w:val="22"/>
        </w:rPr>
      </w:pPr>
      <w:r>
        <w:rPr>
          <w:rFonts w:hint="eastAsia" w:ascii="Times New Roman"/>
          <w:szCs w:val="22"/>
        </w:rPr>
        <w:t>接线端子损坏；</w:t>
      </w:r>
    </w:p>
    <w:p w14:paraId="7CE4B98F">
      <w:pPr>
        <w:pStyle w:val="53"/>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420" w:leftChars="200"/>
        <w:jc w:val="both"/>
        <w:textAlignment w:val="auto"/>
        <w:outlineLvl w:val="9"/>
        <w:rPr>
          <w:rFonts w:ascii="Times New Roman"/>
          <w:szCs w:val="22"/>
        </w:rPr>
      </w:pPr>
      <w:r>
        <w:rPr>
          <w:rFonts w:hint="eastAsia" w:ascii="Times New Roman"/>
          <w:szCs w:val="22"/>
        </w:rPr>
        <w:t>烧表；</w:t>
      </w:r>
    </w:p>
    <w:p w14:paraId="3C57B2EE">
      <w:pPr>
        <w:pStyle w:val="53"/>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420" w:leftChars="200"/>
        <w:jc w:val="both"/>
        <w:textAlignment w:val="auto"/>
        <w:outlineLvl w:val="9"/>
        <w:rPr>
          <w:rFonts w:ascii="Times New Roman"/>
          <w:szCs w:val="22"/>
        </w:rPr>
      </w:pPr>
      <w:r>
        <w:rPr>
          <w:rFonts w:hint="eastAsia" w:ascii="Times New Roman"/>
          <w:szCs w:val="22"/>
        </w:rPr>
        <w:t>电源供给异常；</w:t>
      </w:r>
    </w:p>
    <w:p w14:paraId="7FC1A0E3">
      <w:pPr>
        <w:pStyle w:val="53"/>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420" w:leftChars="200"/>
        <w:jc w:val="both"/>
        <w:textAlignment w:val="auto"/>
        <w:outlineLvl w:val="9"/>
        <w:rPr>
          <w:rFonts w:ascii="Times New Roman"/>
          <w:szCs w:val="22"/>
        </w:rPr>
      </w:pPr>
      <w:r>
        <w:rPr>
          <w:rFonts w:hint="eastAsia" w:ascii="Times New Roman"/>
          <w:szCs w:val="22"/>
        </w:rPr>
        <w:t>死机；</w:t>
      </w:r>
    </w:p>
    <w:p w14:paraId="5638E40C">
      <w:pPr>
        <w:pStyle w:val="53"/>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420" w:leftChars="200"/>
        <w:jc w:val="both"/>
        <w:textAlignment w:val="auto"/>
        <w:outlineLvl w:val="9"/>
        <w:rPr>
          <w:rFonts w:ascii="Times New Roman"/>
          <w:szCs w:val="22"/>
        </w:rPr>
      </w:pPr>
      <w:r>
        <w:rPr>
          <w:rFonts w:hint="eastAsia" w:ascii="Times New Roman"/>
          <w:szCs w:val="22"/>
          <w:lang w:val="en-US" w:eastAsia="zh-CN"/>
        </w:rPr>
        <w:t>RS</w:t>
      </w:r>
      <w:r>
        <w:rPr>
          <w:rFonts w:hint="eastAsia" w:ascii="Times New Roman"/>
          <w:szCs w:val="22"/>
        </w:rPr>
        <w:t>485通信失败。</w:t>
      </w:r>
    </w:p>
    <w:p w14:paraId="78FCACE7">
      <w:pPr>
        <w:pStyle w:val="33"/>
        <w:spacing w:before="156" w:beforeLines="50" w:after="156" w:afterLines="50"/>
        <w:ind w:firstLine="0" w:firstLineChars="0"/>
        <w:outlineLvl w:val="2"/>
        <w:rPr>
          <w:rFonts w:ascii="Times New Roman" w:eastAsia="黑体"/>
          <w:szCs w:val="22"/>
        </w:rPr>
      </w:pPr>
      <w:bookmarkStart w:id="141" w:name="_Toc9962"/>
      <w:r>
        <w:rPr>
          <w:rFonts w:hint="eastAsia" w:ascii="Times New Roman" w:eastAsia="黑体"/>
          <w:szCs w:val="22"/>
        </w:rPr>
        <w:t>5.2.3 电源供给异常</w:t>
      </w:r>
      <w:bookmarkEnd w:id="141"/>
    </w:p>
    <w:p w14:paraId="44CC7365">
      <w:pPr>
        <w:pStyle w:val="53"/>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符合以下任意一条前置条件的不判定为电源供给异常，否则判定为电源供给异常。</w:t>
      </w:r>
      <w:r>
        <w:rPr>
          <w:rFonts w:hint="eastAsia" w:ascii="Times New Roman"/>
          <w:szCs w:val="22"/>
          <w:lang w:val="en-US" w:eastAsia="zh-CN"/>
        </w:rPr>
        <w:t>前置条件如下：</w:t>
      </w:r>
    </w:p>
    <w:p w14:paraId="6EA52919">
      <w:pPr>
        <w:pStyle w:val="53"/>
        <w:keepNext w:val="0"/>
        <w:keepLines w:val="0"/>
        <w:pageBreakBefore w:val="0"/>
        <w:widowControl/>
        <w:numPr>
          <w:ilvl w:val="0"/>
          <w:numId w:val="23"/>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外观损坏；</w:t>
      </w:r>
    </w:p>
    <w:p w14:paraId="0212D94C">
      <w:pPr>
        <w:pStyle w:val="53"/>
        <w:keepNext w:val="0"/>
        <w:keepLines w:val="0"/>
        <w:pageBreakBefore w:val="0"/>
        <w:widowControl/>
        <w:numPr>
          <w:ilvl w:val="0"/>
          <w:numId w:val="23"/>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接线端子损坏；</w:t>
      </w:r>
    </w:p>
    <w:p w14:paraId="44769E8D">
      <w:pPr>
        <w:pStyle w:val="53"/>
        <w:keepNext w:val="0"/>
        <w:keepLines w:val="0"/>
        <w:pageBreakBefore w:val="0"/>
        <w:widowControl/>
        <w:numPr>
          <w:ilvl w:val="0"/>
          <w:numId w:val="23"/>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烧表。</w:t>
      </w:r>
    </w:p>
    <w:p w14:paraId="34B6DBFE">
      <w:pPr>
        <w:pStyle w:val="33"/>
        <w:spacing w:before="156" w:beforeLines="50" w:after="156" w:afterLines="50"/>
        <w:ind w:firstLine="0" w:firstLineChars="0"/>
        <w:outlineLvl w:val="2"/>
        <w:rPr>
          <w:rFonts w:ascii="Times New Roman" w:eastAsia="黑体"/>
          <w:szCs w:val="22"/>
        </w:rPr>
      </w:pPr>
      <w:bookmarkStart w:id="142" w:name="_Toc19536"/>
      <w:bookmarkStart w:id="143" w:name="_Toc28283"/>
      <w:r>
        <w:rPr>
          <w:rFonts w:hint="eastAsia" w:ascii="Times New Roman" w:eastAsia="黑体"/>
          <w:szCs w:val="22"/>
        </w:rPr>
        <w:t>5.2.4 模块类通信失败</w:t>
      </w:r>
      <w:bookmarkEnd w:id="142"/>
      <w:bookmarkEnd w:id="143"/>
    </w:p>
    <w:p w14:paraId="4CE9AC83">
      <w:pPr>
        <w:pStyle w:val="53"/>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符合以下任意一条前置条件的不判定为模块类通信失败，否则判定为模块类通信失败。</w:t>
      </w:r>
    </w:p>
    <w:p w14:paraId="11C9665C">
      <w:pPr>
        <w:pStyle w:val="53"/>
        <w:keepNext w:val="0"/>
        <w:keepLines w:val="0"/>
        <w:pageBreakBefore w:val="0"/>
        <w:widowControl/>
        <w:numPr>
          <w:ilvl w:val="0"/>
          <w:numId w:val="24"/>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外观损坏；</w:t>
      </w:r>
    </w:p>
    <w:p w14:paraId="286E64D9">
      <w:pPr>
        <w:pStyle w:val="53"/>
        <w:keepNext w:val="0"/>
        <w:keepLines w:val="0"/>
        <w:pageBreakBefore w:val="0"/>
        <w:widowControl/>
        <w:numPr>
          <w:ilvl w:val="0"/>
          <w:numId w:val="24"/>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接线端子损坏；</w:t>
      </w:r>
    </w:p>
    <w:p w14:paraId="1ADC1C9F">
      <w:pPr>
        <w:pStyle w:val="53"/>
        <w:keepNext w:val="0"/>
        <w:keepLines w:val="0"/>
        <w:pageBreakBefore w:val="0"/>
        <w:widowControl/>
        <w:numPr>
          <w:ilvl w:val="0"/>
          <w:numId w:val="24"/>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烧表；</w:t>
      </w:r>
    </w:p>
    <w:p w14:paraId="7C5B1A42">
      <w:pPr>
        <w:pStyle w:val="53"/>
        <w:keepNext w:val="0"/>
        <w:keepLines w:val="0"/>
        <w:pageBreakBefore w:val="0"/>
        <w:widowControl/>
        <w:numPr>
          <w:ilvl w:val="0"/>
          <w:numId w:val="24"/>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电源供给异常；</w:t>
      </w:r>
    </w:p>
    <w:p w14:paraId="44C3AACB">
      <w:pPr>
        <w:pStyle w:val="53"/>
        <w:keepNext w:val="0"/>
        <w:keepLines w:val="0"/>
        <w:pageBreakBefore w:val="0"/>
        <w:widowControl/>
        <w:numPr>
          <w:ilvl w:val="0"/>
          <w:numId w:val="24"/>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死机。</w:t>
      </w:r>
    </w:p>
    <w:p w14:paraId="5B20B5F8">
      <w:pPr>
        <w:pStyle w:val="33"/>
        <w:spacing w:before="156" w:beforeLines="50" w:after="156" w:afterLines="50"/>
        <w:ind w:firstLine="0" w:firstLineChars="0"/>
        <w:outlineLvl w:val="2"/>
        <w:rPr>
          <w:rFonts w:ascii="Times New Roman" w:eastAsia="黑体"/>
          <w:szCs w:val="22"/>
        </w:rPr>
      </w:pPr>
      <w:bookmarkStart w:id="144" w:name="_Toc24780"/>
      <w:r>
        <w:rPr>
          <w:rFonts w:hint="eastAsia" w:ascii="Times New Roman" w:eastAsia="黑体"/>
          <w:szCs w:val="22"/>
        </w:rPr>
        <w:t>5.2.5 时钟错误</w:t>
      </w:r>
      <w:bookmarkEnd w:id="144"/>
    </w:p>
    <w:p w14:paraId="6B1E41CF">
      <w:pPr>
        <w:pStyle w:val="53"/>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符合以下任意一条前置条件的不判定为时钟错误，否则判定为时钟错误。</w:t>
      </w:r>
      <w:r>
        <w:rPr>
          <w:rFonts w:hint="eastAsia" w:ascii="Times New Roman"/>
          <w:szCs w:val="22"/>
          <w:lang w:val="en-US" w:eastAsia="zh-CN"/>
        </w:rPr>
        <w:t>前置条件如下：</w:t>
      </w:r>
    </w:p>
    <w:p w14:paraId="2A3FBF4B">
      <w:pPr>
        <w:pStyle w:val="53"/>
        <w:keepNext w:val="0"/>
        <w:keepLines w:val="0"/>
        <w:pageBreakBefore w:val="0"/>
        <w:widowControl/>
        <w:numPr>
          <w:ilvl w:val="0"/>
          <w:numId w:val="25"/>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外观损坏；</w:t>
      </w:r>
    </w:p>
    <w:p w14:paraId="11AC2E41">
      <w:pPr>
        <w:pStyle w:val="53"/>
        <w:keepNext w:val="0"/>
        <w:keepLines w:val="0"/>
        <w:pageBreakBefore w:val="0"/>
        <w:widowControl/>
        <w:numPr>
          <w:ilvl w:val="0"/>
          <w:numId w:val="25"/>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接线端子损坏；</w:t>
      </w:r>
    </w:p>
    <w:p w14:paraId="6180BDB0">
      <w:pPr>
        <w:pStyle w:val="53"/>
        <w:keepNext w:val="0"/>
        <w:keepLines w:val="0"/>
        <w:pageBreakBefore w:val="0"/>
        <w:widowControl/>
        <w:numPr>
          <w:ilvl w:val="0"/>
          <w:numId w:val="25"/>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烧表；</w:t>
      </w:r>
    </w:p>
    <w:p w14:paraId="45C3FAD2">
      <w:pPr>
        <w:pStyle w:val="53"/>
        <w:keepNext w:val="0"/>
        <w:keepLines w:val="0"/>
        <w:pageBreakBefore w:val="0"/>
        <w:widowControl/>
        <w:numPr>
          <w:ilvl w:val="0"/>
          <w:numId w:val="25"/>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电源供给异常；</w:t>
      </w:r>
    </w:p>
    <w:p w14:paraId="4E404E2A">
      <w:pPr>
        <w:pStyle w:val="53"/>
        <w:keepNext w:val="0"/>
        <w:keepLines w:val="0"/>
        <w:pageBreakBefore w:val="0"/>
        <w:widowControl/>
        <w:numPr>
          <w:ilvl w:val="0"/>
          <w:numId w:val="25"/>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死机；</w:t>
      </w:r>
    </w:p>
    <w:p w14:paraId="4E126593">
      <w:pPr>
        <w:pStyle w:val="53"/>
        <w:keepNext w:val="0"/>
        <w:keepLines w:val="0"/>
        <w:pageBreakBefore w:val="0"/>
        <w:widowControl/>
        <w:numPr>
          <w:ilvl w:val="0"/>
          <w:numId w:val="25"/>
        </w:numPr>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szCs w:val="22"/>
        </w:rPr>
      </w:pPr>
      <w:r>
        <w:rPr>
          <w:rFonts w:hint="eastAsia" w:ascii="Times New Roman"/>
          <w:szCs w:val="22"/>
        </w:rPr>
        <w:t>仅有日计时超差且示值为-9999。</w:t>
      </w:r>
    </w:p>
    <w:p w14:paraId="69404B72">
      <w:pPr>
        <w:pStyle w:val="33"/>
        <w:spacing w:before="156" w:beforeLines="50" w:after="156" w:afterLines="50"/>
        <w:ind w:firstLine="0" w:firstLineChars="0"/>
        <w:outlineLvl w:val="2"/>
        <w:rPr>
          <w:rFonts w:ascii="Times New Roman" w:eastAsia="黑体"/>
          <w:szCs w:val="22"/>
        </w:rPr>
      </w:pPr>
      <w:r>
        <w:rPr>
          <w:rFonts w:hint="eastAsia" w:ascii="Times New Roman" w:eastAsia="黑体"/>
          <w:szCs w:val="22"/>
        </w:rPr>
        <w:t>5.2.6 测量误差超差</w:t>
      </w:r>
    </w:p>
    <w:p w14:paraId="77763CEC">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 xml:space="preserve">5.2.6.1 </w:t>
      </w:r>
      <w:r>
        <w:rPr>
          <w:rFonts w:hint="eastAsia" w:ascii="Times New Roman" w:eastAsia="黑体"/>
          <w:szCs w:val="22"/>
          <w:lang w:val="en-US" w:eastAsia="zh-CN"/>
        </w:rPr>
        <w:t>电能</w:t>
      </w:r>
      <w:r>
        <w:rPr>
          <w:rFonts w:hint="eastAsia" w:ascii="Times New Roman" w:eastAsia="黑体"/>
          <w:szCs w:val="22"/>
        </w:rPr>
        <w:t>基本误差超差</w:t>
      </w:r>
      <w:bookmarkEnd w:id="136"/>
      <w:bookmarkEnd w:id="137"/>
    </w:p>
    <w:p w14:paraId="529717A9">
      <w:pPr>
        <w:pStyle w:val="53"/>
        <w:keepNext w:val="0"/>
        <w:keepLines w:val="0"/>
        <w:pageBreakBefore w:val="0"/>
        <w:widowControl/>
        <w:kinsoku/>
        <w:wordWrap/>
        <w:overflowPunct/>
        <w:topLinePunct w:val="0"/>
        <w:bidi w:val="0"/>
        <w:adjustRightInd/>
        <w:snapToGrid/>
        <w:spacing w:after="0" w:line="240" w:lineRule="auto"/>
        <w:ind w:firstLine="420" w:firstLineChars="200"/>
        <w:jc w:val="both"/>
        <w:textAlignment w:val="auto"/>
        <w:outlineLvl w:val="9"/>
        <w:rPr>
          <w:rFonts w:ascii="Times New Roman" w:eastAsia="黑体"/>
          <w:szCs w:val="22"/>
        </w:rPr>
      </w:pPr>
      <w:r>
        <w:rPr>
          <w:rFonts w:hint="eastAsia" w:ascii="Times New Roman"/>
          <w:szCs w:val="22"/>
        </w:rPr>
        <w:t>符合以下任意一条前置条件的不判定为</w:t>
      </w:r>
      <w:r>
        <w:rPr>
          <w:rFonts w:hint="eastAsia" w:ascii="Times New Roman"/>
          <w:szCs w:val="22"/>
          <w:lang w:val="en-US" w:eastAsia="zh-CN"/>
        </w:rPr>
        <w:t>电能</w:t>
      </w:r>
      <w:r>
        <w:rPr>
          <w:rFonts w:hint="eastAsia" w:ascii="Times New Roman"/>
          <w:szCs w:val="22"/>
        </w:rPr>
        <w:t>基本误差超差，否则判定为</w:t>
      </w:r>
      <w:r>
        <w:rPr>
          <w:rFonts w:hint="eastAsia" w:ascii="Times New Roman"/>
          <w:szCs w:val="22"/>
          <w:lang w:val="en-US" w:eastAsia="zh-CN"/>
        </w:rPr>
        <w:t>电能</w:t>
      </w:r>
      <w:r>
        <w:rPr>
          <w:rFonts w:hint="eastAsia" w:ascii="Times New Roman"/>
          <w:szCs w:val="22"/>
        </w:rPr>
        <w:t>基本误差超差。</w:t>
      </w:r>
      <w:r>
        <w:rPr>
          <w:rFonts w:hint="eastAsia" w:ascii="Times New Roman"/>
          <w:szCs w:val="22"/>
          <w:lang w:val="en-US" w:eastAsia="zh-CN"/>
        </w:rPr>
        <w:t>前置条件如下：</w:t>
      </w:r>
    </w:p>
    <w:p w14:paraId="3C015F96">
      <w:pPr>
        <w:pStyle w:val="33"/>
        <w:keepNext w:val="0"/>
        <w:keepLines w:val="0"/>
        <w:pageBreakBefore w:val="0"/>
        <w:widowControl/>
        <w:numPr>
          <w:ilvl w:val="0"/>
          <w:numId w:val="26"/>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外观损坏；</w:t>
      </w:r>
    </w:p>
    <w:p w14:paraId="23417447">
      <w:pPr>
        <w:pStyle w:val="33"/>
        <w:keepNext w:val="0"/>
        <w:keepLines w:val="0"/>
        <w:pageBreakBefore w:val="0"/>
        <w:widowControl/>
        <w:numPr>
          <w:ilvl w:val="0"/>
          <w:numId w:val="26"/>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接线端子损坏；</w:t>
      </w:r>
    </w:p>
    <w:p w14:paraId="01A3318B">
      <w:pPr>
        <w:pStyle w:val="33"/>
        <w:keepNext w:val="0"/>
        <w:keepLines w:val="0"/>
        <w:pageBreakBefore w:val="0"/>
        <w:widowControl/>
        <w:numPr>
          <w:ilvl w:val="0"/>
          <w:numId w:val="26"/>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烧表；</w:t>
      </w:r>
    </w:p>
    <w:p w14:paraId="7E8D0E9C">
      <w:pPr>
        <w:pStyle w:val="33"/>
        <w:keepNext w:val="0"/>
        <w:keepLines w:val="0"/>
        <w:pageBreakBefore w:val="0"/>
        <w:widowControl/>
        <w:numPr>
          <w:ilvl w:val="0"/>
          <w:numId w:val="26"/>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电源供给异常；</w:t>
      </w:r>
    </w:p>
    <w:p w14:paraId="1E6E1EB1">
      <w:pPr>
        <w:pStyle w:val="33"/>
        <w:keepNext w:val="0"/>
        <w:keepLines w:val="0"/>
        <w:pageBreakBefore w:val="0"/>
        <w:widowControl/>
        <w:numPr>
          <w:ilvl w:val="0"/>
          <w:numId w:val="26"/>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死机；</w:t>
      </w:r>
    </w:p>
    <w:p w14:paraId="5EB190E6">
      <w:pPr>
        <w:pStyle w:val="33"/>
        <w:keepNext w:val="0"/>
        <w:keepLines w:val="0"/>
        <w:pageBreakBefore w:val="0"/>
        <w:widowControl/>
        <w:kinsoku/>
        <w:wordWrap/>
        <w:overflowPunct/>
        <w:topLinePunct w:val="0"/>
        <w:bidi w:val="0"/>
        <w:adjustRightInd/>
        <w:snapToGrid/>
        <w:spacing w:after="0" w:line="240" w:lineRule="auto"/>
        <w:ind w:left="840" w:leftChars="200" w:hanging="420" w:hangingChars="200"/>
        <w:textAlignment w:val="auto"/>
        <w:outlineLvl w:val="9"/>
        <w:rPr>
          <w:rFonts w:ascii="Times New Roman"/>
          <w:szCs w:val="22"/>
        </w:rPr>
      </w:pPr>
      <w:r>
        <w:rPr>
          <w:rFonts w:hint="eastAsia" w:ascii="Times New Roman"/>
          <w:szCs w:val="22"/>
        </w:rPr>
        <w:t>f) 开盖次数1～3次且</w:t>
      </w:r>
      <w:r>
        <w:rPr>
          <w:rFonts w:hint="eastAsia" w:ascii="Times New Roman"/>
          <w:szCs w:val="22"/>
          <w:lang w:val="en-US" w:eastAsia="zh-CN"/>
        </w:rPr>
        <w:t>电能</w:t>
      </w:r>
      <w:r>
        <w:rPr>
          <w:rFonts w:hint="eastAsia" w:ascii="Times New Roman"/>
          <w:szCs w:val="22"/>
        </w:rPr>
        <w:t>基本误差绝对值大于10%；</w:t>
      </w:r>
    </w:p>
    <w:p w14:paraId="618069A5">
      <w:pPr>
        <w:pStyle w:val="33"/>
        <w:keepNext w:val="0"/>
        <w:keepLines w:val="0"/>
        <w:pageBreakBefore w:val="0"/>
        <w:widowControl/>
        <w:kinsoku/>
        <w:wordWrap/>
        <w:overflowPunct/>
        <w:topLinePunct w:val="0"/>
        <w:bidi w:val="0"/>
        <w:adjustRightInd/>
        <w:snapToGrid/>
        <w:spacing w:after="0" w:line="240" w:lineRule="auto"/>
        <w:ind w:left="840" w:leftChars="200" w:hanging="420" w:hangingChars="200"/>
        <w:textAlignment w:val="auto"/>
        <w:outlineLvl w:val="9"/>
        <w:rPr>
          <w:rFonts w:ascii="Times New Roman"/>
          <w:szCs w:val="22"/>
        </w:rPr>
      </w:pPr>
      <w:r>
        <w:rPr>
          <w:rFonts w:hint="eastAsia" w:ascii="Times New Roman"/>
          <w:szCs w:val="22"/>
        </w:rPr>
        <w:t>g) 电能表无脉冲输出，默认的</w:t>
      </w:r>
      <w:r>
        <w:rPr>
          <w:rFonts w:hint="eastAsia" w:ascii="Times New Roman"/>
          <w:szCs w:val="22"/>
          <w:lang w:val="en-US" w:eastAsia="zh-CN"/>
        </w:rPr>
        <w:t>电能</w:t>
      </w:r>
      <w:r>
        <w:rPr>
          <w:rFonts w:hint="eastAsia" w:ascii="Times New Roman"/>
          <w:szCs w:val="22"/>
        </w:rPr>
        <w:t>基本误差值为</w:t>
      </w:r>
      <w:r>
        <w:rPr>
          <w:rFonts w:ascii="Times New Roman"/>
          <w:szCs w:val="22"/>
        </w:rPr>
        <w:t>-100%</w:t>
      </w:r>
      <w:r>
        <w:rPr>
          <w:rFonts w:hint="eastAsia" w:ascii="Times New Roman"/>
          <w:szCs w:val="22"/>
        </w:rPr>
        <w:t>。</w:t>
      </w:r>
    </w:p>
    <w:p w14:paraId="335ACB60">
      <w:pPr>
        <w:pStyle w:val="33"/>
        <w:keepNext w:val="0"/>
        <w:keepLines w:val="0"/>
        <w:pageBreakBefore w:val="0"/>
        <w:widowControl/>
        <w:kinsoku/>
        <w:wordWrap/>
        <w:overflowPunct/>
        <w:topLinePunct w:val="0"/>
        <w:bidi w:val="0"/>
        <w:adjustRightInd/>
        <w:snapToGrid/>
        <w:spacing w:after="0" w:line="240" w:lineRule="auto"/>
        <w:ind w:left="780" w:leftChars="200" w:hanging="360" w:hangingChars="200"/>
        <w:textAlignment w:val="auto"/>
        <w:outlineLvl w:val="9"/>
        <w:rPr>
          <w:rFonts w:ascii="Times New Roman"/>
          <w:sz w:val="18"/>
          <w:szCs w:val="18"/>
        </w:rPr>
      </w:pPr>
      <w:r>
        <w:rPr>
          <w:rFonts w:hint="eastAsia" w:ascii="Times New Roman"/>
          <w:sz w:val="18"/>
          <w:szCs w:val="18"/>
        </w:rPr>
        <w:t>注：开盖次数1~3次且</w:t>
      </w:r>
      <w:r>
        <w:rPr>
          <w:rFonts w:hint="eastAsia" w:ascii="Times New Roman"/>
          <w:sz w:val="18"/>
          <w:szCs w:val="18"/>
          <w:lang w:val="en-US" w:eastAsia="zh-CN"/>
        </w:rPr>
        <w:t>电能</w:t>
      </w:r>
      <w:r>
        <w:rPr>
          <w:rFonts w:hint="eastAsia" w:ascii="Times New Roman"/>
          <w:sz w:val="18"/>
          <w:szCs w:val="18"/>
        </w:rPr>
        <w:t>基本误差绝对值大于10%的电能表可能存在窃电现象，不单独判定为</w:t>
      </w:r>
      <w:r>
        <w:rPr>
          <w:rFonts w:hint="eastAsia" w:ascii="Times New Roman"/>
          <w:sz w:val="18"/>
          <w:szCs w:val="18"/>
          <w:lang w:val="en-US" w:eastAsia="zh-CN"/>
        </w:rPr>
        <w:t>电能</w:t>
      </w:r>
      <w:r>
        <w:rPr>
          <w:rFonts w:hint="eastAsia" w:ascii="Times New Roman"/>
          <w:sz w:val="18"/>
          <w:szCs w:val="18"/>
        </w:rPr>
        <w:t>基本误差超差。</w:t>
      </w:r>
    </w:p>
    <w:p w14:paraId="17B06164">
      <w:pPr>
        <w:pStyle w:val="33"/>
        <w:spacing w:before="156" w:beforeLines="50" w:after="156" w:afterLines="50"/>
        <w:ind w:firstLine="0" w:firstLineChars="0"/>
        <w:outlineLvl w:val="3"/>
        <w:rPr>
          <w:rFonts w:ascii="Times New Roman" w:eastAsia="黑体"/>
          <w:szCs w:val="22"/>
        </w:rPr>
      </w:pPr>
      <w:bookmarkStart w:id="145" w:name="_Toc17111"/>
      <w:bookmarkStart w:id="146" w:name="_Toc9078"/>
      <w:r>
        <w:rPr>
          <w:rFonts w:hint="eastAsia" w:ascii="Times New Roman" w:eastAsia="黑体"/>
          <w:szCs w:val="22"/>
        </w:rPr>
        <w:t>5.2.6.2 电参量示值</w:t>
      </w:r>
      <w:bookmarkEnd w:id="145"/>
      <w:bookmarkEnd w:id="146"/>
      <w:r>
        <w:rPr>
          <w:rFonts w:hint="eastAsia" w:ascii="Times New Roman" w:eastAsia="黑体"/>
          <w:szCs w:val="22"/>
        </w:rPr>
        <w:t>误差超差</w:t>
      </w:r>
    </w:p>
    <w:p w14:paraId="457C4D61">
      <w:pPr>
        <w:pStyle w:val="53"/>
        <w:keepNext w:val="0"/>
        <w:keepLines w:val="0"/>
        <w:pageBreakBefore w:val="0"/>
        <w:widowControl/>
        <w:kinsoku/>
        <w:wordWrap/>
        <w:overflowPunct/>
        <w:topLinePunct w:val="0"/>
        <w:bidi w:val="0"/>
        <w:adjustRightInd/>
        <w:snapToGrid/>
        <w:spacing w:after="0" w:line="240" w:lineRule="auto"/>
        <w:ind w:firstLine="420" w:firstLineChars="200"/>
        <w:jc w:val="both"/>
        <w:textAlignment w:val="auto"/>
        <w:outlineLvl w:val="9"/>
        <w:rPr>
          <w:rFonts w:ascii="Times New Roman" w:eastAsia="黑体"/>
          <w:szCs w:val="22"/>
        </w:rPr>
      </w:pPr>
      <w:r>
        <w:rPr>
          <w:rFonts w:hint="eastAsia" w:ascii="Times New Roman"/>
          <w:szCs w:val="22"/>
        </w:rPr>
        <w:t>符合以下任意一条前置条件的不判定为电参量示值误差超差，否则判定为电参量示值误差超差。</w:t>
      </w:r>
      <w:r>
        <w:rPr>
          <w:rFonts w:hint="eastAsia" w:ascii="Times New Roman"/>
          <w:szCs w:val="22"/>
          <w:lang w:val="en-US" w:eastAsia="zh-CN"/>
        </w:rPr>
        <w:t>前置条件如下：</w:t>
      </w:r>
    </w:p>
    <w:p w14:paraId="51E9A194">
      <w:pPr>
        <w:pStyle w:val="33"/>
        <w:keepNext w:val="0"/>
        <w:keepLines w:val="0"/>
        <w:pageBreakBefore w:val="0"/>
        <w:widowControl/>
        <w:numPr>
          <w:ilvl w:val="0"/>
          <w:numId w:val="27"/>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外观损坏；</w:t>
      </w:r>
    </w:p>
    <w:p w14:paraId="70EBC303">
      <w:pPr>
        <w:pStyle w:val="33"/>
        <w:keepNext w:val="0"/>
        <w:keepLines w:val="0"/>
        <w:pageBreakBefore w:val="0"/>
        <w:widowControl/>
        <w:numPr>
          <w:ilvl w:val="0"/>
          <w:numId w:val="27"/>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接线端子损坏；</w:t>
      </w:r>
    </w:p>
    <w:p w14:paraId="62A709FF">
      <w:pPr>
        <w:pStyle w:val="33"/>
        <w:keepNext w:val="0"/>
        <w:keepLines w:val="0"/>
        <w:pageBreakBefore w:val="0"/>
        <w:widowControl/>
        <w:numPr>
          <w:ilvl w:val="0"/>
          <w:numId w:val="27"/>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烧表；</w:t>
      </w:r>
    </w:p>
    <w:p w14:paraId="06211440">
      <w:pPr>
        <w:pStyle w:val="33"/>
        <w:keepNext w:val="0"/>
        <w:keepLines w:val="0"/>
        <w:pageBreakBefore w:val="0"/>
        <w:widowControl/>
        <w:numPr>
          <w:ilvl w:val="0"/>
          <w:numId w:val="27"/>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电源供给异常；</w:t>
      </w:r>
    </w:p>
    <w:p w14:paraId="33F0DCCF">
      <w:pPr>
        <w:pStyle w:val="33"/>
        <w:keepNext w:val="0"/>
        <w:keepLines w:val="0"/>
        <w:pageBreakBefore w:val="0"/>
        <w:widowControl/>
        <w:numPr>
          <w:ilvl w:val="0"/>
          <w:numId w:val="27"/>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死机；</w:t>
      </w:r>
    </w:p>
    <w:p w14:paraId="7F4A1740">
      <w:pPr>
        <w:pStyle w:val="33"/>
        <w:keepNext w:val="0"/>
        <w:keepLines w:val="0"/>
        <w:pageBreakBefore w:val="0"/>
        <w:widowControl/>
        <w:numPr>
          <w:ilvl w:val="0"/>
          <w:numId w:val="27"/>
        </w:numPr>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lang w:val="en-US" w:eastAsia="zh-CN"/>
        </w:rPr>
        <w:t>RS</w:t>
      </w:r>
      <w:r>
        <w:rPr>
          <w:rFonts w:hint="eastAsia" w:ascii="Times New Roman"/>
          <w:szCs w:val="22"/>
        </w:rPr>
        <w:t>485通信失败；</w:t>
      </w:r>
    </w:p>
    <w:p w14:paraId="68E2D24B">
      <w:pPr>
        <w:pStyle w:val="33"/>
        <w:keepNext w:val="0"/>
        <w:keepLines w:val="0"/>
        <w:pageBreakBefore w:val="0"/>
        <w:widowControl/>
        <w:kinsoku/>
        <w:wordWrap/>
        <w:overflowPunct/>
        <w:topLinePunct w:val="0"/>
        <w:bidi w:val="0"/>
        <w:adjustRightInd/>
        <w:snapToGrid/>
        <w:spacing w:after="0" w:line="240" w:lineRule="auto"/>
        <w:ind w:left="846" w:leftChars="200" w:hanging="426" w:hangingChars="203"/>
        <w:textAlignment w:val="auto"/>
        <w:outlineLvl w:val="9"/>
        <w:rPr>
          <w:rFonts w:ascii="Times New Roman"/>
          <w:szCs w:val="22"/>
        </w:rPr>
      </w:pPr>
      <w:r>
        <w:rPr>
          <w:rFonts w:hint="eastAsia" w:ascii="Times New Roman"/>
          <w:szCs w:val="22"/>
        </w:rPr>
        <w:t>g) 开盖次数1~3次且</w:t>
      </w:r>
      <w:r>
        <w:rPr>
          <w:rFonts w:hint="eastAsia" w:ascii="Times New Roman"/>
          <w:szCs w:val="22"/>
          <w:lang w:eastAsia="zh-CN"/>
        </w:rPr>
        <w:t>电能基本误差</w:t>
      </w:r>
      <w:r>
        <w:rPr>
          <w:rFonts w:hint="eastAsia" w:ascii="Times New Roman"/>
          <w:szCs w:val="22"/>
        </w:rPr>
        <w:t>绝对值大于10%。</w:t>
      </w:r>
    </w:p>
    <w:p w14:paraId="64150917">
      <w:pPr>
        <w:pStyle w:val="33"/>
        <w:spacing w:before="156" w:beforeLines="50" w:after="156" w:afterLines="50"/>
        <w:ind w:firstLine="0" w:firstLineChars="0"/>
        <w:outlineLvl w:val="2"/>
        <w:rPr>
          <w:rFonts w:ascii="Times New Roman" w:eastAsia="黑体"/>
          <w:szCs w:val="22"/>
        </w:rPr>
      </w:pPr>
      <w:bookmarkStart w:id="147" w:name="_Toc5319"/>
      <w:bookmarkStart w:id="148" w:name="_Toc6447"/>
      <w:bookmarkStart w:id="149" w:name="_Toc17120"/>
      <w:bookmarkStart w:id="150" w:name="_Toc22535"/>
      <w:bookmarkStart w:id="151" w:name="_Toc2511"/>
      <w:r>
        <w:rPr>
          <w:rFonts w:hint="eastAsia" w:ascii="Times New Roman" w:eastAsia="黑体"/>
          <w:szCs w:val="22"/>
        </w:rPr>
        <w:t xml:space="preserve">5.2.7 </w:t>
      </w:r>
      <w:bookmarkEnd w:id="147"/>
      <w:bookmarkEnd w:id="148"/>
      <w:r>
        <w:rPr>
          <w:rFonts w:hint="eastAsia" w:ascii="Times New Roman" w:eastAsia="黑体"/>
          <w:szCs w:val="22"/>
          <w:lang w:val="en-US" w:eastAsia="zh-CN"/>
        </w:rPr>
        <w:t>RS</w:t>
      </w:r>
      <w:r>
        <w:rPr>
          <w:rFonts w:hint="eastAsia" w:ascii="Times New Roman" w:eastAsia="黑体"/>
          <w:szCs w:val="22"/>
        </w:rPr>
        <w:t>485通信失败</w:t>
      </w:r>
    </w:p>
    <w:p w14:paraId="73D3F570">
      <w:pPr>
        <w:pStyle w:val="53"/>
        <w:keepNext w:val="0"/>
        <w:keepLines w:val="0"/>
        <w:pageBreakBefore w:val="0"/>
        <w:widowControl/>
        <w:kinsoku/>
        <w:wordWrap/>
        <w:overflowPunct/>
        <w:topLinePunct w:val="0"/>
        <w:bidi w:val="0"/>
        <w:adjustRightInd/>
        <w:snapToGrid/>
        <w:spacing w:after="0" w:line="240" w:lineRule="auto"/>
        <w:ind w:firstLine="420" w:firstLineChars="200"/>
        <w:jc w:val="both"/>
        <w:textAlignment w:val="auto"/>
        <w:outlineLvl w:val="9"/>
        <w:rPr>
          <w:rFonts w:ascii="Times New Roman" w:eastAsia="黑体"/>
          <w:szCs w:val="22"/>
        </w:rPr>
      </w:pPr>
      <w:r>
        <w:rPr>
          <w:rFonts w:hint="eastAsia" w:ascii="Times New Roman"/>
          <w:szCs w:val="22"/>
        </w:rPr>
        <w:t>符合以下任意一条前置条件的不判定为</w:t>
      </w:r>
      <w:r>
        <w:rPr>
          <w:rFonts w:hint="eastAsia" w:ascii="Times New Roman"/>
          <w:szCs w:val="22"/>
          <w:lang w:val="en-US" w:eastAsia="zh-CN"/>
        </w:rPr>
        <w:t>RS</w:t>
      </w:r>
      <w:r>
        <w:rPr>
          <w:rFonts w:hint="eastAsia" w:ascii="Times New Roman"/>
          <w:szCs w:val="22"/>
        </w:rPr>
        <w:t>485通信失败，否则判定为</w:t>
      </w:r>
      <w:r>
        <w:rPr>
          <w:rFonts w:hint="eastAsia" w:ascii="Times New Roman"/>
          <w:szCs w:val="22"/>
          <w:lang w:val="en-US" w:eastAsia="zh-CN"/>
        </w:rPr>
        <w:t>RS</w:t>
      </w:r>
      <w:r>
        <w:rPr>
          <w:rFonts w:hint="eastAsia" w:ascii="Times New Roman"/>
          <w:szCs w:val="22"/>
        </w:rPr>
        <w:t>485通信失败。</w:t>
      </w:r>
      <w:r>
        <w:rPr>
          <w:rFonts w:hint="eastAsia" w:ascii="Times New Roman"/>
          <w:szCs w:val="22"/>
          <w:lang w:val="en-US" w:eastAsia="zh-CN"/>
        </w:rPr>
        <w:t>前置条件如下：</w:t>
      </w:r>
    </w:p>
    <w:p w14:paraId="3DDA1636">
      <w:pPr>
        <w:pStyle w:val="33"/>
        <w:keepNext w:val="0"/>
        <w:keepLines w:val="0"/>
        <w:pageBreakBefore w:val="0"/>
        <w:widowControl/>
        <w:numPr>
          <w:ilvl w:val="0"/>
          <w:numId w:val="28"/>
        </w:numPr>
        <w:kinsoku/>
        <w:wordWrap/>
        <w:overflowPunct/>
        <w:topLinePunct w:val="0"/>
        <w:bidi w:val="0"/>
        <w:adjustRightInd/>
        <w:snapToGrid/>
        <w:spacing w:after="0" w:line="240" w:lineRule="auto"/>
        <w:textAlignment w:val="auto"/>
        <w:outlineLvl w:val="9"/>
        <w:rPr>
          <w:rFonts w:ascii="Times New Roman"/>
          <w:szCs w:val="22"/>
        </w:rPr>
      </w:pPr>
      <w:r>
        <w:rPr>
          <w:rFonts w:hint="eastAsia" w:ascii="Times New Roman"/>
          <w:szCs w:val="22"/>
        </w:rPr>
        <w:t>外观损坏；</w:t>
      </w:r>
    </w:p>
    <w:p w14:paraId="0CDFD367">
      <w:pPr>
        <w:pStyle w:val="33"/>
        <w:keepNext w:val="0"/>
        <w:keepLines w:val="0"/>
        <w:pageBreakBefore w:val="0"/>
        <w:widowControl/>
        <w:numPr>
          <w:ilvl w:val="0"/>
          <w:numId w:val="28"/>
        </w:numPr>
        <w:kinsoku/>
        <w:wordWrap/>
        <w:overflowPunct/>
        <w:topLinePunct w:val="0"/>
        <w:bidi w:val="0"/>
        <w:adjustRightInd/>
        <w:snapToGrid/>
        <w:spacing w:after="0" w:line="240" w:lineRule="auto"/>
        <w:textAlignment w:val="auto"/>
        <w:outlineLvl w:val="9"/>
        <w:rPr>
          <w:rFonts w:ascii="Times New Roman"/>
          <w:szCs w:val="22"/>
        </w:rPr>
      </w:pPr>
      <w:r>
        <w:rPr>
          <w:rFonts w:hint="eastAsia" w:ascii="Times New Roman"/>
          <w:szCs w:val="22"/>
        </w:rPr>
        <w:t>接线端子损坏；</w:t>
      </w:r>
    </w:p>
    <w:p w14:paraId="5C31FEDD">
      <w:pPr>
        <w:pStyle w:val="33"/>
        <w:keepNext w:val="0"/>
        <w:keepLines w:val="0"/>
        <w:pageBreakBefore w:val="0"/>
        <w:widowControl/>
        <w:numPr>
          <w:ilvl w:val="0"/>
          <w:numId w:val="28"/>
        </w:numPr>
        <w:kinsoku/>
        <w:wordWrap/>
        <w:overflowPunct/>
        <w:topLinePunct w:val="0"/>
        <w:bidi w:val="0"/>
        <w:adjustRightInd/>
        <w:snapToGrid/>
        <w:spacing w:after="0" w:line="240" w:lineRule="auto"/>
        <w:textAlignment w:val="auto"/>
        <w:outlineLvl w:val="9"/>
        <w:rPr>
          <w:rFonts w:ascii="Times New Roman"/>
          <w:szCs w:val="22"/>
        </w:rPr>
      </w:pPr>
      <w:r>
        <w:rPr>
          <w:rFonts w:hint="eastAsia" w:ascii="Times New Roman"/>
          <w:szCs w:val="22"/>
        </w:rPr>
        <w:t>烧表；</w:t>
      </w:r>
    </w:p>
    <w:p w14:paraId="576A9D0D">
      <w:pPr>
        <w:pStyle w:val="33"/>
        <w:keepNext w:val="0"/>
        <w:keepLines w:val="0"/>
        <w:pageBreakBefore w:val="0"/>
        <w:widowControl/>
        <w:numPr>
          <w:ilvl w:val="0"/>
          <w:numId w:val="28"/>
        </w:numPr>
        <w:kinsoku/>
        <w:wordWrap/>
        <w:overflowPunct/>
        <w:topLinePunct w:val="0"/>
        <w:bidi w:val="0"/>
        <w:adjustRightInd/>
        <w:snapToGrid/>
        <w:spacing w:after="0" w:line="240" w:lineRule="auto"/>
        <w:textAlignment w:val="auto"/>
        <w:outlineLvl w:val="9"/>
        <w:rPr>
          <w:rFonts w:ascii="Times New Roman"/>
          <w:szCs w:val="22"/>
        </w:rPr>
      </w:pPr>
      <w:r>
        <w:rPr>
          <w:rFonts w:hint="eastAsia" w:ascii="Times New Roman"/>
          <w:szCs w:val="22"/>
        </w:rPr>
        <w:t>电源供给异常；</w:t>
      </w:r>
    </w:p>
    <w:p w14:paraId="69E7FD7D">
      <w:pPr>
        <w:pStyle w:val="33"/>
        <w:keepNext w:val="0"/>
        <w:keepLines w:val="0"/>
        <w:pageBreakBefore w:val="0"/>
        <w:widowControl/>
        <w:numPr>
          <w:ilvl w:val="0"/>
          <w:numId w:val="28"/>
        </w:numPr>
        <w:kinsoku/>
        <w:wordWrap/>
        <w:overflowPunct/>
        <w:topLinePunct w:val="0"/>
        <w:bidi w:val="0"/>
        <w:adjustRightInd/>
        <w:snapToGrid/>
        <w:spacing w:after="0" w:line="240" w:lineRule="auto"/>
        <w:textAlignment w:val="auto"/>
        <w:outlineLvl w:val="9"/>
        <w:rPr>
          <w:rFonts w:ascii="Times New Roman"/>
          <w:szCs w:val="22"/>
        </w:rPr>
      </w:pPr>
      <w:r>
        <w:rPr>
          <w:rFonts w:hint="eastAsia" w:ascii="Times New Roman"/>
          <w:szCs w:val="22"/>
        </w:rPr>
        <w:t>死机。</w:t>
      </w:r>
    </w:p>
    <w:bookmarkEnd w:id="149"/>
    <w:bookmarkEnd w:id="150"/>
    <w:bookmarkEnd w:id="151"/>
    <w:p w14:paraId="6CA724F6">
      <w:pPr>
        <w:pStyle w:val="33"/>
        <w:spacing w:before="312" w:beforeLines="100" w:after="312" w:afterLines="100"/>
        <w:ind w:firstLine="0" w:firstLineChars="0"/>
        <w:outlineLvl w:val="1"/>
        <w:rPr>
          <w:rFonts w:ascii="Times New Roman" w:eastAsia="黑体"/>
          <w:szCs w:val="22"/>
        </w:rPr>
      </w:pPr>
      <w:bookmarkStart w:id="152" w:name="_Toc32347"/>
      <w:bookmarkStart w:id="153" w:name="_Toc7928"/>
      <w:bookmarkStart w:id="154" w:name="_Toc8570"/>
      <w:bookmarkStart w:id="155" w:name="_Toc11812"/>
      <w:bookmarkStart w:id="156" w:name="_Toc28152"/>
      <w:bookmarkStart w:id="157" w:name="_Toc6007"/>
      <w:bookmarkStart w:id="158" w:name="_Toc11776"/>
      <w:bookmarkStart w:id="159" w:name="_Toc31781"/>
      <w:r>
        <w:rPr>
          <w:rFonts w:hint="eastAsia" w:ascii="Times New Roman" w:eastAsia="黑体"/>
          <w:szCs w:val="22"/>
        </w:rPr>
        <w:t>5.3 评价</w:t>
      </w:r>
      <w:bookmarkEnd w:id="152"/>
      <w:bookmarkEnd w:id="153"/>
      <w:bookmarkEnd w:id="154"/>
      <w:bookmarkEnd w:id="155"/>
      <w:bookmarkEnd w:id="156"/>
      <w:bookmarkEnd w:id="157"/>
      <w:bookmarkEnd w:id="158"/>
      <w:r>
        <w:rPr>
          <w:rFonts w:hint="eastAsia" w:ascii="Times New Roman" w:eastAsia="黑体"/>
          <w:szCs w:val="22"/>
        </w:rPr>
        <w:t>方法</w:t>
      </w:r>
    </w:p>
    <w:p w14:paraId="65AD76D8">
      <w:pPr>
        <w:pStyle w:val="33"/>
        <w:spacing w:before="312" w:beforeLines="100" w:after="312" w:afterLines="100"/>
        <w:ind w:firstLine="0" w:firstLineChars="0"/>
        <w:outlineLvl w:val="2"/>
        <w:rPr>
          <w:rFonts w:ascii="Times New Roman" w:eastAsia="黑体"/>
          <w:szCs w:val="22"/>
        </w:rPr>
      </w:pPr>
      <w:bookmarkStart w:id="160" w:name="_Toc30421"/>
      <w:r>
        <w:rPr>
          <w:rFonts w:hint="eastAsia" w:ascii="Times New Roman" w:eastAsia="黑体"/>
          <w:szCs w:val="22"/>
        </w:rPr>
        <w:t xml:space="preserve">5.3.1 </w:t>
      </w:r>
      <w:bookmarkEnd w:id="159"/>
      <w:bookmarkEnd w:id="160"/>
      <w:r>
        <w:rPr>
          <w:rFonts w:hint="eastAsia" w:ascii="Times New Roman" w:eastAsia="黑体"/>
          <w:szCs w:val="22"/>
        </w:rPr>
        <w:t>评价维度</w:t>
      </w:r>
    </w:p>
    <w:p w14:paraId="2A5DBCE2">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评价维度方式如下：</w:t>
      </w:r>
    </w:p>
    <w:p w14:paraId="614A4276">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ascii="Times New Roman"/>
          <w:szCs w:val="22"/>
        </w:rPr>
      </w:pPr>
      <w:r>
        <w:rPr>
          <w:rFonts w:hint="eastAsia" w:ascii="Times New Roman"/>
        </w:rPr>
        <w:t>按照判定原则统计分析拆回电能表分拣数据，确认拆回电能表故障现象后，</w:t>
      </w:r>
      <w:r>
        <w:rPr>
          <w:rFonts w:hint="eastAsia" w:ascii="Times New Roman"/>
          <w:szCs w:val="22"/>
        </w:rPr>
        <w:t>从总体情况统计分析、多维度重点分析两方面开展生产厂家拆回电能表故障现象分析评价，</w:t>
      </w:r>
      <w:r>
        <w:rPr>
          <w:rFonts w:hint="eastAsia" w:ascii="Times New Roman"/>
        </w:rPr>
        <w:t>输出标准格式的拆回电能表故障现象分析评价报告。</w:t>
      </w:r>
    </w:p>
    <w:p w14:paraId="01DECAFC">
      <w:pPr>
        <w:pStyle w:val="33"/>
        <w:keepNext w:val="0"/>
        <w:keepLines w:val="0"/>
        <w:pageBreakBefore w:val="0"/>
        <w:widowControl/>
        <w:numPr>
          <w:ilvl w:val="0"/>
          <w:numId w:val="29"/>
        </w:numPr>
        <w:kinsoku/>
        <w:wordWrap/>
        <w:overflowPunct/>
        <w:topLinePunct w:val="0"/>
        <w:autoSpaceDE w:val="0"/>
        <w:autoSpaceDN w:val="0"/>
        <w:bidi w:val="0"/>
        <w:adjustRightInd/>
        <w:snapToGrid/>
        <w:spacing w:after="0" w:line="240" w:lineRule="auto"/>
        <w:textAlignment w:val="auto"/>
        <w:outlineLvl w:val="9"/>
        <w:rPr>
          <w:rFonts w:ascii="Times New Roman"/>
          <w:szCs w:val="22"/>
        </w:rPr>
      </w:pPr>
      <w:r>
        <w:rPr>
          <w:rFonts w:hint="eastAsia" w:ascii="Times New Roman"/>
          <w:szCs w:val="22"/>
        </w:rPr>
        <w:t>总体情况统计分析包含：生产厂家总体故障率统计分析、批次维度故障率统计分析、故障率考核指标统计分析。</w:t>
      </w:r>
    </w:p>
    <w:p w14:paraId="3C5D2883">
      <w:pPr>
        <w:pStyle w:val="33"/>
        <w:keepNext w:val="0"/>
        <w:keepLines w:val="0"/>
        <w:pageBreakBefore w:val="0"/>
        <w:widowControl/>
        <w:numPr>
          <w:ilvl w:val="0"/>
          <w:numId w:val="29"/>
        </w:numPr>
        <w:kinsoku/>
        <w:wordWrap/>
        <w:overflowPunct/>
        <w:topLinePunct w:val="0"/>
        <w:autoSpaceDE w:val="0"/>
        <w:autoSpaceDN w:val="0"/>
        <w:bidi w:val="0"/>
        <w:adjustRightInd/>
        <w:snapToGrid/>
        <w:spacing w:after="0" w:line="240" w:lineRule="auto"/>
        <w:textAlignment w:val="auto"/>
        <w:outlineLvl w:val="9"/>
        <w:rPr>
          <w:rFonts w:ascii="Times New Roman"/>
          <w:szCs w:val="22"/>
        </w:rPr>
      </w:pPr>
      <w:r>
        <w:rPr>
          <w:rFonts w:hint="eastAsia" w:ascii="Times New Roman"/>
          <w:szCs w:val="22"/>
        </w:rPr>
        <w:t>多维度重点分析是指对七类故障现象，分别进行生产厂家总体故障率统计分析、批次维度故障率统计分析、运行年限维度故障率统计分析。</w:t>
      </w:r>
    </w:p>
    <w:p w14:paraId="0D3F6F84">
      <w:pPr>
        <w:pStyle w:val="33"/>
        <w:keepNext w:val="0"/>
        <w:keepLines w:val="0"/>
        <w:pageBreakBefore w:val="0"/>
        <w:widowControl/>
        <w:numPr>
          <w:ilvl w:val="0"/>
          <w:numId w:val="29"/>
        </w:numPr>
        <w:kinsoku/>
        <w:wordWrap/>
        <w:overflowPunct/>
        <w:topLinePunct w:val="0"/>
        <w:autoSpaceDE w:val="0"/>
        <w:autoSpaceDN w:val="0"/>
        <w:bidi w:val="0"/>
        <w:adjustRightInd/>
        <w:snapToGrid/>
        <w:spacing w:after="0" w:line="240" w:lineRule="auto"/>
        <w:textAlignment w:val="auto"/>
        <w:outlineLvl w:val="9"/>
        <w:rPr>
          <w:rFonts w:ascii="Times New Roman"/>
          <w:szCs w:val="22"/>
        </w:rPr>
      </w:pPr>
      <w:r>
        <w:rPr>
          <w:rFonts w:hint="eastAsia" w:ascii="Times New Roman"/>
          <w:szCs w:val="22"/>
        </w:rPr>
        <w:t>综合总体情况统计分析、多维度重点分析给出诊断结论及建议。</w:t>
      </w:r>
    </w:p>
    <w:p w14:paraId="787F2315">
      <w:pPr>
        <w:pStyle w:val="33"/>
        <w:spacing w:before="156" w:beforeLines="50" w:after="156" w:afterLines="50"/>
        <w:ind w:firstLine="0" w:firstLineChars="0"/>
        <w:outlineLvl w:val="2"/>
        <w:rPr>
          <w:rFonts w:ascii="Times New Roman" w:eastAsia="黑体"/>
          <w:szCs w:val="22"/>
        </w:rPr>
      </w:pPr>
      <w:bookmarkStart w:id="161" w:name="_Toc9634"/>
      <w:r>
        <w:rPr>
          <w:rFonts w:hint="eastAsia" w:ascii="Times New Roman" w:eastAsia="黑体"/>
          <w:szCs w:val="22"/>
        </w:rPr>
        <w:t>5.3.2 总体情况统计分析</w:t>
      </w:r>
      <w:bookmarkEnd w:id="161"/>
    </w:p>
    <w:p w14:paraId="05219F2D">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总体情况统计分析方式如下：</w:t>
      </w:r>
    </w:p>
    <w:p w14:paraId="3A25D0B0">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ascii="Times New Roman"/>
          <w:szCs w:val="22"/>
        </w:rPr>
      </w:pPr>
      <w:r>
        <w:rPr>
          <w:rFonts w:hint="eastAsia" w:ascii="Times New Roman"/>
          <w:szCs w:val="22"/>
        </w:rPr>
        <w:t>依据拆回电能表分拣时间范围统计电能表分拣数据，分别从“生产厂家总体故障统计分析”、“批次维度故障率统计分析”、“故障率考核指标”对生产厂家进行总体情况统计分析。</w:t>
      </w:r>
    </w:p>
    <w:p w14:paraId="2ACBC6C8">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5.3.2.1 生产厂家总体故障统计分析</w:t>
      </w:r>
    </w:p>
    <w:p w14:paraId="6E841937">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生产厂家总体故障统计分析方式如下：</w:t>
      </w:r>
    </w:p>
    <w:p w14:paraId="2EA0AF94">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a)  按照电能表的不同标准版本，分别统计规定的分拣时间段内所有招标批次下的电能表运行数量、分拣数量、故障数量，计算不同标准版本电能表的故障率，采用图表方式展示各标准版本下的电能表总体故障情况。</w:t>
      </w:r>
    </w:p>
    <w:p w14:paraId="6016717F">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 xml:space="preserve">b)  按照电能表七类故障现象，统计规定的分拣时间段内所有招标批次下的电能表每类故障现象的故障数量和故障率，采用图表方式展示各类故障率总体情况。 </w:t>
      </w:r>
    </w:p>
    <w:p w14:paraId="5DBE182E">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5.3.2.2 批次维度故障率统计分析</w:t>
      </w:r>
    </w:p>
    <w:p w14:paraId="2F283760">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批次维度故障率统计分析方式如下：</w:t>
      </w:r>
    </w:p>
    <w:p w14:paraId="10D0218C">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a)  按照不同标准版本的电能表，分别统计对应招标批次的运行数量、分拣数量、故障数量，计算对应的批次故障率，数据统计结果采用图表方式展示。</w:t>
      </w:r>
    </w:p>
    <w:p w14:paraId="68BB49FA">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b)  按照不同标准版本的电能表、不同的接线方式，分别展示故障率较高的招标批次对应的故障现象，故障现象包含但不限于七类故障现象，数据统计结果采用图表方式展示。</w:t>
      </w:r>
    </w:p>
    <w:p w14:paraId="54154D93">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5.3.2</w:t>
      </w:r>
      <w:r>
        <w:rPr>
          <w:rFonts w:ascii="Times New Roman" w:eastAsia="黑体"/>
          <w:szCs w:val="22"/>
        </w:rPr>
        <w:t>.</w:t>
      </w:r>
      <w:r>
        <w:rPr>
          <w:rFonts w:hint="eastAsia" w:ascii="Times New Roman" w:eastAsia="黑体"/>
          <w:szCs w:val="22"/>
        </w:rPr>
        <w:t>3</w:t>
      </w:r>
      <w:r>
        <w:rPr>
          <w:rFonts w:ascii="Times New Roman" w:eastAsia="黑体"/>
          <w:szCs w:val="22"/>
        </w:rPr>
        <w:t xml:space="preserve"> </w:t>
      </w:r>
      <w:r>
        <w:rPr>
          <w:rFonts w:hint="eastAsia" w:ascii="Times New Roman" w:eastAsia="黑体"/>
          <w:szCs w:val="22"/>
        </w:rPr>
        <w:t>故障率考核指标</w:t>
      </w:r>
    </w:p>
    <w:p w14:paraId="5DF9AEC3">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故障率考核指标方式如下：</w:t>
      </w:r>
    </w:p>
    <w:p w14:paraId="1BA88627">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a)  按运行年限分别统计不同标准版本的电能表故障率。根据不同标准版本分别统计出对应招标批次中的运行数量、分拣数量和对应运行年限的故障数量，以及对应年限的故障率，数据统计结果宜采用图表方式展示。</w:t>
      </w:r>
    </w:p>
    <w:p w14:paraId="4F44EB44">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b)  在同一标准版本下，统计出电能表运行年限较高故障率的招标批次，并依据招标批次统计出对应故障现象的故障数量，故障现象包含但不限于七类故障现象，数据统计结果宜采用图表方式展示。</w:t>
      </w:r>
    </w:p>
    <w:p w14:paraId="5644288A">
      <w:pPr>
        <w:pStyle w:val="33"/>
        <w:spacing w:before="156" w:beforeLines="50" w:after="156" w:afterLines="50"/>
        <w:ind w:firstLine="0" w:firstLineChars="0"/>
        <w:outlineLvl w:val="2"/>
        <w:rPr>
          <w:rFonts w:ascii="Times New Roman" w:eastAsia="黑体"/>
          <w:szCs w:val="22"/>
        </w:rPr>
      </w:pPr>
      <w:bookmarkStart w:id="162" w:name="_Toc29412"/>
      <w:r>
        <w:rPr>
          <w:rFonts w:hint="eastAsia" w:ascii="Times New Roman" w:eastAsia="黑体"/>
          <w:szCs w:val="22"/>
        </w:rPr>
        <w:t>5.3.3 多维度重点分析</w:t>
      </w:r>
      <w:bookmarkEnd w:id="162"/>
    </w:p>
    <w:p w14:paraId="2060D7DF">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5.3.3.1 事件记录异常</w:t>
      </w:r>
    </w:p>
    <w:p w14:paraId="1CFEE15A">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5.3.3.1.1 事件记录异常总体故障统计分析</w:t>
      </w:r>
    </w:p>
    <w:p w14:paraId="5433B4B0">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事件记录异常总体故障统计分析方式如下：</w:t>
      </w:r>
    </w:p>
    <w:p w14:paraId="6B59C16F">
      <w:pPr>
        <w:pStyle w:val="33"/>
        <w:keepNext w:val="0"/>
        <w:keepLines w:val="0"/>
        <w:pageBreakBefore w:val="0"/>
        <w:widowControl/>
        <w:kinsoku/>
        <w:wordWrap/>
        <w:overflowPunct/>
        <w:topLinePunct w:val="0"/>
        <w:autoSpaceDE w:val="0"/>
        <w:autoSpaceDN w:val="0"/>
        <w:bidi w:val="0"/>
        <w:adjustRightInd/>
        <w:snapToGrid/>
        <w:spacing w:after="0" w:line="240" w:lineRule="auto"/>
        <w:ind w:firstLine="417" w:firstLineChars="199"/>
        <w:textAlignment w:val="auto"/>
        <w:outlineLvl w:val="9"/>
        <w:rPr>
          <w:rFonts w:ascii="Times New Roman"/>
          <w:szCs w:val="22"/>
        </w:rPr>
      </w:pPr>
      <w:r>
        <w:rPr>
          <w:rFonts w:hint="eastAsia" w:ascii="Times New Roman"/>
          <w:szCs w:val="22"/>
        </w:rPr>
        <w:t>依据接线方式分别统计不同标准版本的电能表事件记录异常故障中掉电故障、清零故障、开盖故障、掉电测试故障对应的运行数量、故障数量和故障率，确定事件记录异常中掉电故障率、清零故障率、开盖故障率、掉电测试故障率较高的电能表接线方式类型，数据统计结果宜采用图表方式展示。</w:t>
      </w:r>
    </w:p>
    <w:p w14:paraId="0363B1E4">
      <w:pPr>
        <w:pStyle w:val="33"/>
        <w:spacing w:before="156" w:beforeLines="50" w:after="156" w:afterLines="50"/>
        <w:ind w:firstLine="0" w:firstLineChars="0"/>
        <w:outlineLvl w:val="4"/>
        <w:rPr>
          <w:rFonts w:hint="eastAsia" w:ascii="Times New Roman" w:eastAsia="黑体"/>
          <w:szCs w:val="22"/>
        </w:rPr>
      </w:pPr>
      <w:r>
        <w:rPr>
          <w:rFonts w:hint="eastAsia" w:ascii="Times New Roman" w:eastAsia="黑体"/>
          <w:szCs w:val="22"/>
        </w:rPr>
        <w:t>5.3.3.1.2 事件记录异常批次维度故障统计分析</w:t>
      </w:r>
    </w:p>
    <w:p w14:paraId="656BF1D3">
      <w:pPr>
        <w:pStyle w:val="33"/>
        <w:spacing w:before="156" w:beforeLines="50" w:after="156" w:afterLines="50"/>
        <w:ind w:firstLine="0" w:firstLineChars="0"/>
        <w:outlineLvl w:val="4"/>
        <w:rPr>
          <w:rFonts w:hint="default" w:ascii="Times New Roman" w:eastAsia="黑体"/>
          <w:szCs w:val="22"/>
          <w:lang w:val="en-US" w:eastAsia="zh-CN"/>
        </w:rPr>
      </w:pPr>
      <w:r>
        <w:rPr>
          <w:rFonts w:hint="eastAsia" w:ascii="Times New Roman" w:eastAsia="黑体"/>
          <w:szCs w:val="22"/>
          <w:lang w:val="en-US" w:eastAsia="zh-CN"/>
        </w:rPr>
        <w:t>事件记录异常批次维度故障统计分析方式如下：</w:t>
      </w:r>
    </w:p>
    <w:p w14:paraId="63DB05EA">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a)  依据接线方式，按照招标批次分别统计出不同标准版本的电能表事件记录异常中运行数量、故障数量和对应的批次故障率，确定故障率较高的招标批次，数据统计结果宜采用图表方式展示。</w:t>
      </w:r>
    </w:p>
    <w:p w14:paraId="52CB2705">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b)  依据接线方式，按照招标批次分别统计出不同标准版本的电能表中故障率较高的招标批次，针对故障率较高的招标批次统计出对应的运行数量、掉电故障数量、清零故障数量、开盖故障数量、掉电测试异常故障数量和事件记录故障数量，以及对应的掉电故障率、清零故障率、开盖故障率、掉电测试异常故障率和事件记录故障率，确定故障率较高的招标批次，数据统计结果宜采用图表方式展示。</w:t>
      </w:r>
    </w:p>
    <w:p w14:paraId="4824BB0B">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5.3.3.1.3 事件记录异常运行年限维度故障统计分析</w:t>
      </w:r>
    </w:p>
    <w:p w14:paraId="4AC4C278">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事件记录异常运行年限维度故障统计分析方式如下：</w:t>
      </w:r>
    </w:p>
    <w:p w14:paraId="6B206E6D">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ascii="Times New Roman"/>
          <w:szCs w:val="22"/>
        </w:rPr>
      </w:pPr>
      <w:r>
        <w:rPr>
          <w:rFonts w:hint="eastAsia" w:ascii="Times New Roman"/>
          <w:szCs w:val="22"/>
        </w:rPr>
        <w:t>依据接线方式，按照不同标准版本分别统计电能表事件记录异常故障随运行年限分布情况，统计出对应运行年限的掉电故障数量、清零故障数量、开盖故障数量和掉电测试异常故障数量，确定分拣故障率较高的运行年限区间，数据统计结果宜采用图表方式展示。</w:t>
      </w:r>
    </w:p>
    <w:p w14:paraId="1304324F">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5.3.3.1.4 事件记录异常数据区间统计分析</w:t>
      </w:r>
    </w:p>
    <w:p w14:paraId="65CC198A">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事件记录异常数据区间统计分析方式如下：</w:t>
      </w:r>
    </w:p>
    <w:p w14:paraId="0361835E">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ascii="Times New Roman"/>
          <w:szCs w:val="22"/>
        </w:rPr>
      </w:pPr>
      <w:r>
        <w:rPr>
          <w:rFonts w:hint="eastAsia" w:ascii="Times New Roman"/>
          <w:szCs w:val="22"/>
        </w:rPr>
        <w:t>综合分析事件记录异常明细，将事件记录异常包含的四类故障发生次数按区间分类统计，统计出对应区间的故障数量和故障占比，确定故障占比较高的区间，数据统计结果宜采用图表方式展示。</w:t>
      </w:r>
    </w:p>
    <w:p w14:paraId="1D0BDA52">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5.3.3.2 电池欠压故障</w:t>
      </w:r>
    </w:p>
    <w:p w14:paraId="2A772C8D">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5.3.3.2.1 电池欠压故障总体故障统计分析</w:t>
      </w:r>
    </w:p>
    <w:p w14:paraId="33AF6067">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电池欠压故障总体故障统计分析方式如下：</w:t>
      </w:r>
    </w:p>
    <w:p w14:paraId="255462BE">
      <w:pPr>
        <w:pStyle w:val="33"/>
        <w:keepNext w:val="0"/>
        <w:keepLines w:val="0"/>
        <w:pageBreakBefore w:val="0"/>
        <w:widowControl/>
        <w:kinsoku/>
        <w:wordWrap/>
        <w:overflowPunct/>
        <w:topLinePunct w:val="0"/>
        <w:autoSpaceDE w:val="0"/>
        <w:autoSpaceDN w:val="0"/>
        <w:bidi w:val="0"/>
        <w:adjustRightInd/>
        <w:snapToGrid/>
        <w:spacing w:after="0" w:line="240" w:lineRule="auto"/>
        <w:ind w:firstLine="417" w:firstLineChars="199"/>
        <w:textAlignment w:val="auto"/>
        <w:outlineLvl w:val="9"/>
        <w:rPr>
          <w:rFonts w:ascii="Times New Roman"/>
          <w:szCs w:val="22"/>
        </w:rPr>
      </w:pPr>
      <w:r>
        <w:rPr>
          <w:rFonts w:hint="eastAsia" w:ascii="Times New Roman"/>
          <w:szCs w:val="22"/>
        </w:rPr>
        <w:t>依据接线方式分别统计不同标准版本的电能表电池欠压故障中时钟电池欠压和停电抄表电池欠压对应的运行数量、故障数量，并计算出对应的故障率，确定时钟电池欠压和停电抄表电池欠压故障率较高的电能表接线方式类型，数据统计结果宜采用图表方式展示。</w:t>
      </w:r>
    </w:p>
    <w:p w14:paraId="6A4B3461">
      <w:pPr>
        <w:pStyle w:val="33"/>
        <w:spacing w:before="156" w:beforeLines="50" w:after="156" w:afterLines="50"/>
        <w:ind w:firstLine="0" w:firstLineChars="0"/>
        <w:outlineLvl w:val="4"/>
        <w:rPr>
          <w:rFonts w:hint="eastAsia" w:ascii="Times New Roman" w:eastAsia="黑体"/>
          <w:szCs w:val="22"/>
        </w:rPr>
      </w:pPr>
      <w:r>
        <w:rPr>
          <w:rFonts w:hint="eastAsia" w:ascii="Times New Roman" w:eastAsia="黑体"/>
          <w:szCs w:val="22"/>
        </w:rPr>
        <w:t>5.3.3.2.2 电池欠压故障批次维度故障统计分析</w:t>
      </w:r>
    </w:p>
    <w:p w14:paraId="47667732">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电池欠压故障批次维度故障统计分析方式如下：</w:t>
      </w:r>
    </w:p>
    <w:p w14:paraId="43245A30">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a)  依据接线方式，按照招标批次分别统计出不同标准版本的电能表电池欠压中运行数量、故障数量，以及对应的批次故障率，确定故障率较高的招标批次，数据统计结果宜采用图表方式展示。</w:t>
      </w:r>
    </w:p>
    <w:p w14:paraId="0985A204">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b)  依据接线方式，按照招标批次分别统计出不同标准版本的电能表中故障率较高的招标批次，针对故障率较高的招标批次统计出对应的运行数量、时钟电池故障数量、抄表电池故障数量和电池欠压故障数量，以及对应的时钟电池故障率、抄表电池故障率和电池欠压故障率，确定电池欠压中时钟电池和停抄电池故障率较高的电能表接线方式类型，数据统计结果宜采用图表方式展示。</w:t>
      </w:r>
    </w:p>
    <w:p w14:paraId="68E87BCE">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5.3.3.2.3 电池欠压故障运行年限维度故障统计分析</w:t>
      </w:r>
    </w:p>
    <w:p w14:paraId="0B03C110">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电池欠压故障运行年限维度故障统计分析方式如下：</w:t>
      </w:r>
    </w:p>
    <w:p w14:paraId="4ACD7761">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ascii="Times New Roman"/>
          <w:szCs w:val="22"/>
        </w:rPr>
      </w:pPr>
      <w:r>
        <w:rPr>
          <w:rFonts w:hint="eastAsia" w:ascii="Times New Roman"/>
          <w:szCs w:val="22"/>
        </w:rPr>
        <w:t>依据接线方式，按照不同标准版本分别统计电能表电池欠压故障随运行年限分布情况，统计出对应运行年限的分拣数量、故障数量和故障率，确定故障率较高的运行年限区间，数据统计结果宜采用图表方式展示。</w:t>
      </w:r>
    </w:p>
    <w:p w14:paraId="79F71E7E">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5.3.3.3 电源供给异常</w:t>
      </w:r>
    </w:p>
    <w:p w14:paraId="3B2FD1D7">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5.3.3.3.1 电源供给异常总体故障统计分析</w:t>
      </w:r>
    </w:p>
    <w:p w14:paraId="3AADB2D8">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电源供给异常总体故障统计分析方式如下：</w:t>
      </w:r>
    </w:p>
    <w:p w14:paraId="46F69092">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ascii="Times New Roman"/>
          <w:szCs w:val="22"/>
        </w:rPr>
      </w:pPr>
      <w:r>
        <w:rPr>
          <w:rFonts w:hint="eastAsia" w:ascii="Times New Roman"/>
          <w:szCs w:val="22"/>
        </w:rPr>
        <w:t>依据接线方式分别统计不同标准版本的电能表电源供给异常故障中对应的运行数量、故障数量和故障率，数据统计结果宜采用图表方式展示。</w:t>
      </w:r>
    </w:p>
    <w:p w14:paraId="4086AC32">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5.3.3.3.2 电源供给异常批次维度故障统计分析</w:t>
      </w:r>
    </w:p>
    <w:p w14:paraId="08EEED8E">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电源供给异常批次维度故障统计分析方式如下：</w:t>
      </w:r>
    </w:p>
    <w:p w14:paraId="22980C5C">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依据接线方式，按照招标批次分别统计出不同标准版本的电能表电源供给异常故障中运行数量、故障数量和对应的批次故障率，确定故障率较高的招标批次，数据统计结果宜采用图表方式展示。</w:t>
      </w:r>
    </w:p>
    <w:p w14:paraId="108D642E">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5.3.3.3.3 电源供给异常运行年限维度故障统计分析</w:t>
      </w:r>
    </w:p>
    <w:p w14:paraId="1FEC21EA">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电源供给异常运行年限维度故障统计分析方式如下：</w:t>
      </w:r>
    </w:p>
    <w:p w14:paraId="24AF3269">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接线方式，按照不同标准版本分别统计电能表电源供给异常故障随运行年限分布情况，统计出对应运行年限的分拣数量、故障数量和故障率，确定故障率较高的运行年限区间，数据统计结果宜采用图表方式展示。</w:t>
      </w:r>
    </w:p>
    <w:p w14:paraId="620680E6">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5.3.3.4 模块类通信故障</w:t>
      </w:r>
    </w:p>
    <w:p w14:paraId="0D891192">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5.3.3.4.1 模块类通信总体故障统计分析</w:t>
      </w:r>
    </w:p>
    <w:p w14:paraId="63DC7DC7">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模块类通信总体故障统计分析方式如下：</w:t>
      </w:r>
    </w:p>
    <w:p w14:paraId="72F6AB35">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依据接线方式分别统计不同标准版本的电能表模块类通信故障中对应的运行数量、故障数量和故障率，数据统计结果宜采用图表方式展示。</w:t>
      </w:r>
    </w:p>
    <w:p w14:paraId="2436AB85">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5.3.3.4.2 模块类通信批次维度故障统计分析</w:t>
      </w:r>
    </w:p>
    <w:p w14:paraId="6342842C">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模块类通信批次维度故障统计分析方式如下：</w:t>
      </w:r>
    </w:p>
    <w:p w14:paraId="23265203">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依据接线方式，按照招标批次分别统计出不同标准版本的电能表模块类通信故障中运行数量、故障数量和对应的批次故障率，确定故障率较高的招标批次，数据统计结果宜采用图表方式展示。</w:t>
      </w:r>
    </w:p>
    <w:p w14:paraId="2A551D9B">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5.3.3.4.3 模块类通信运行年限维度故障统计分析</w:t>
      </w:r>
    </w:p>
    <w:p w14:paraId="7CEBD64D">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模块类通信运行年限维度故障统计分析方式如下：</w:t>
      </w:r>
    </w:p>
    <w:p w14:paraId="7B6FF74F">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接线方式，按照不同标准版本分别统计电能表模块类通信故障随运行年限分布情况，统计出对应运行年限的分拣数量、故障数量和故障率，确定故障率较高的运行年限区间，数据统计结果宜采用图表方式展示。</w:t>
      </w:r>
    </w:p>
    <w:p w14:paraId="1B66E1B6">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5.3.3.5 时钟错误</w:t>
      </w:r>
    </w:p>
    <w:p w14:paraId="2EF3D3FE">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5.3.3.5.1 时钟错误总体故障统计分析</w:t>
      </w:r>
    </w:p>
    <w:p w14:paraId="1FCDBB1A">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时钟错误总体故障统计分析方式如下：</w:t>
      </w:r>
    </w:p>
    <w:p w14:paraId="7A2DE2A3">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时钟错误包含时钟示值误差超差、日计时误差超差和时钟乱码。依据接线方式分别统计不同标准版本的电能表时钟错误故障中对应的运行数量、时钟示值误差超差故障数量、日计时误差超差故障数量、时钟乱码故障数量和时钟错误故障数量，以及对应的时钟示值误差超差故障率、日计时误差超差故障率、时钟乱码故障率和时钟错误故障率，确定故障率较高的电能表的接线方式类型，数据统计结果宜采用图表方式展示。</w:t>
      </w:r>
    </w:p>
    <w:p w14:paraId="01F9E988">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5.3.3.5.2 时钟错误批次维度故障统计分析</w:t>
      </w:r>
    </w:p>
    <w:p w14:paraId="73526CFD">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时钟错误批次维度故障统计分析方式如下：</w:t>
      </w:r>
    </w:p>
    <w:p w14:paraId="437D57BF">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a)  依据接线方式，按照招标批次分别统计出不同标准版本的电能表时钟错误中运行数量、故障数量和对应的批次故障率，确定故障率较高的招标批次，数据统计结果宜采用图表方式展示。</w:t>
      </w:r>
    </w:p>
    <w:p w14:paraId="5FE0DBE6">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b)  依据接线方式，按照招标批次分别统计出不同标准版本的电能表中故障率较高的招标批次，针对故障率较高的招标批次统计出对应的运行数量、时钟示值误差超差故障数量、日计时误差超差故障数量、时钟乱码故障数量和时钟错误故障数量，以及对应的时钟示值误差超差故障率、日计时误差超差故障率、时钟乱码故障率和时钟错误故障率，确定故障率较高的电能表接线方式类型，数据统计结果宜采用图表方式展示。</w:t>
      </w:r>
    </w:p>
    <w:p w14:paraId="6C9839BD">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5.3.3.5.3 时钟错误运行年限维度故障统计分析</w:t>
      </w:r>
    </w:p>
    <w:p w14:paraId="5792E089">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时钟错误运行年限维度故障统计分析方式如下：</w:t>
      </w:r>
    </w:p>
    <w:p w14:paraId="16D3BCE0">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依据接线方式，按照不同标准版本分别统计电能表时钟错误故障随运行年限分布情况，统计出对应运行年限的分拣数量、故障数量和故障率，确定故障率较高的运行年限区间，数据统计结果宜采用图表方式展示。</w:t>
      </w:r>
    </w:p>
    <w:p w14:paraId="0E8470CB">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5.3.3.5.4 时钟错误故障明细统计分析</w:t>
      </w:r>
    </w:p>
    <w:p w14:paraId="10ABB341">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时钟错误故障明细统计分析方式如下：</w:t>
      </w:r>
    </w:p>
    <w:p w14:paraId="7C91D634">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综合分析时钟示值误差超差数值和日计时误差数值明细，将时钟示值误差超差和日计时误差发生数值按区间分类统计，统计出对应区间的故障数量和故障占比，确定故障占比较高的区间，数据统计结果宜采用图表方式展示。</w:t>
      </w:r>
    </w:p>
    <w:p w14:paraId="574C2353">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5.3.3.6 测量误差超差</w:t>
      </w:r>
    </w:p>
    <w:p w14:paraId="2A8797FD">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5.3.3.6.1 测量误差超差总体故障统计分析</w:t>
      </w:r>
    </w:p>
    <w:p w14:paraId="397DC206">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测量误差超差总体故障统计分析方式如下：</w:t>
      </w:r>
    </w:p>
    <w:p w14:paraId="744F288F">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依据接线方式分别统计不同标准版本的电能表</w:t>
      </w:r>
      <w:r>
        <w:rPr>
          <w:rFonts w:hint="eastAsia" w:ascii="Times New Roman"/>
          <w:szCs w:val="22"/>
          <w:lang w:eastAsia="zh-CN"/>
        </w:rPr>
        <w:t>电能基本误差</w:t>
      </w:r>
      <w:r>
        <w:rPr>
          <w:rFonts w:hint="eastAsia" w:ascii="Times New Roman"/>
          <w:szCs w:val="22"/>
        </w:rPr>
        <w:t>超差、电参量示值误差超差、测量误差超差对应的运行数量、分拣数量、故障数量，以及对应的故障率，确定</w:t>
      </w:r>
      <w:r>
        <w:rPr>
          <w:rFonts w:hint="eastAsia" w:ascii="Times New Roman"/>
          <w:szCs w:val="22"/>
          <w:lang w:eastAsia="zh-CN"/>
        </w:rPr>
        <w:t>电能基本误差</w:t>
      </w:r>
      <w:r>
        <w:rPr>
          <w:rFonts w:hint="eastAsia" w:ascii="Times New Roman"/>
          <w:szCs w:val="22"/>
        </w:rPr>
        <w:t>超差/电参量示值误差超差故障率较高的电能表接线方式类型，数据统计结果宜采用图表方式展示。</w:t>
      </w:r>
    </w:p>
    <w:p w14:paraId="4D29DAB2">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5.3.3.6.2 测量误差超差批次维度故障统计分析</w:t>
      </w:r>
    </w:p>
    <w:p w14:paraId="329EEB0E">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测量误差超差批次维度故障统计分析方式如下：</w:t>
      </w:r>
    </w:p>
    <w:p w14:paraId="3C0358AE">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a)  依据接线方式，按照招标批次分别统计出不同标准版本的电能表测量误差超差中运行数量、分拣数量、故障数量，以及对应的批次故障率，判断故障率较高的招标批次，数据统计结果宜采用图表方式展示。</w:t>
      </w:r>
    </w:p>
    <w:p w14:paraId="0FFDB220">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b)  依据接线方式，按照招标批次分别统计出不同标准版本的电能表中故障率较高的招标批次，并统计出对应的运行数量、分拣数量、</w:t>
      </w:r>
      <w:r>
        <w:rPr>
          <w:rFonts w:hint="eastAsia" w:ascii="Times New Roman"/>
          <w:szCs w:val="22"/>
          <w:lang w:eastAsia="zh-CN"/>
        </w:rPr>
        <w:t>电能基本误差</w:t>
      </w:r>
      <w:r>
        <w:rPr>
          <w:rFonts w:hint="eastAsia" w:ascii="Times New Roman"/>
          <w:szCs w:val="22"/>
        </w:rPr>
        <w:t>超差故障数量、电参量示值误差超差故障数量和测量误差超差故障数量，以及对应的</w:t>
      </w:r>
      <w:r>
        <w:rPr>
          <w:rFonts w:hint="eastAsia" w:ascii="Times New Roman"/>
          <w:szCs w:val="22"/>
          <w:lang w:eastAsia="zh-CN"/>
        </w:rPr>
        <w:t>电能基本误差</w:t>
      </w:r>
      <w:r>
        <w:rPr>
          <w:rFonts w:hint="eastAsia" w:ascii="Times New Roman"/>
          <w:szCs w:val="22"/>
        </w:rPr>
        <w:t>超差故障率、电参量示值误差超差故障率和测量误差超差故障率，确定</w:t>
      </w:r>
      <w:r>
        <w:rPr>
          <w:rFonts w:hint="eastAsia" w:ascii="Times New Roman"/>
          <w:szCs w:val="22"/>
          <w:lang w:eastAsia="zh-CN"/>
        </w:rPr>
        <w:t>电能基本误差</w:t>
      </w:r>
      <w:r>
        <w:rPr>
          <w:rFonts w:hint="eastAsia" w:ascii="Times New Roman"/>
          <w:szCs w:val="22"/>
        </w:rPr>
        <w:t>超差/电参量示值误差超差故障率较高的电能表接线方式类型，数据统计结果宜采用图表方式展示。</w:t>
      </w:r>
    </w:p>
    <w:p w14:paraId="1C983B53">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w:t>
      </w:r>
      <w:r>
        <w:rPr>
          <w:rFonts w:ascii="Times New Roman" w:eastAsia="黑体"/>
          <w:szCs w:val="22"/>
        </w:rPr>
        <w:t>.</w:t>
      </w:r>
      <w:r>
        <w:rPr>
          <w:rFonts w:hint="eastAsia" w:ascii="Times New Roman" w:eastAsia="黑体"/>
          <w:szCs w:val="22"/>
        </w:rPr>
        <w:t>6</w:t>
      </w:r>
      <w:r>
        <w:rPr>
          <w:rFonts w:ascii="Times New Roman" w:eastAsia="黑体"/>
          <w:szCs w:val="22"/>
        </w:rPr>
        <w:t xml:space="preserve">.3 </w:t>
      </w:r>
      <w:r>
        <w:rPr>
          <w:rFonts w:hint="eastAsia" w:ascii="Times New Roman" w:eastAsia="黑体"/>
          <w:szCs w:val="22"/>
        </w:rPr>
        <w:t>测量误差超差运行年限维度故障统计分析</w:t>
      </w:r>
    </w:p>
    <w:p w14:paraId="42DCD150">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测量误差超差运行年限维度故障统计分析方式如下：</w:t>
      </w:r>
    </w:p>
    <w:p w14:paraId="74DDB0B7">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接线方式，按照不同标准版本分别统计电能表测量误差超差故障随运行年限分布情况，统计出对应运行年限的分拣数量、故障数量和故障率，判断故障率较高的运行年限区间，数据统计结果宜采用图表方式展示。</w:t>
      </w:r>
    </w:p>
    <w:p w14:paraId="7BC3A786">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5.3.3.6.4 测量误差超差示值分布统计分析</w:t>
      </w:r>
    </w:p>
    <w:p w14:paraId="735F1344">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测量误差超差示值分布统计分析方式如下：</w:t>
      </w:r>
    </w:p>
    <w:p w14:paraId="0DC64292">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a)  依据单/三相表统计检测点（10Itr，1.0）和（10Itr，0.5L）的</w:t>
      </w:r>
      <w:r>
        <w:rPr>
          <w:rFonts w:hint="eastAsia" w:ascii="Times New Roman"/>
          <w:szCs w:val="22"/>
          <w:lang w:eastAsia="zh-CN"/>
        </w:rPr>
        <w:t>电能基本误差</w:t>
      </w:r>
      <w:r>
        <w:rPr>
          <w:rFonts w:hint="eastAsia" w:ascii="Times New Roman"/>
          <w:szCs w:val="22"/>
        </w:rPr>
        <w:t>明细，针对不同标准版本的电能表按照分拣时间及单/三相分类统计</w:t>
      </w:r>
      <w:r>
        <w:rPr>
          <w:rFonts w:hint="eastAsia" w:ascii="Times New Roman"/>
          <w:szCs w:val="22"/>
          <w:lang w:eastAsia="zh-CN"/>
        </w:rPr>
        <w:t>电能基本误差</w:t>
      </w:r>
      <w:r>
        <w:rPr>
          <w:rFonts w:hint="eastAsia" w:ascii="Times New Roman"/>
          <w:szCs w:val="22"/>
        </w:rPr>
        <w:t>分布，综合分析测量误差故障中</w:t>
      </w:r>
      <w:r>
        <w:rPr>
          <w:rFonts w:hint="eastAsia" w:ascii="Times New Roman"/>
          <w:szCs w:val="22"/>
          <w:lang w:eastAsia="zh-CN"/>
        </w:rPr>
        <w:t>电能基本误差</w:t>
      </w:r>
      <w:r>
        <w:rPr>
          <w:rFonts w:hint="eastAsia" w:ascii="Times New Roman"/>
          <w:szCs w:val="22"/>
        </w:rPr>
        <w:t>区间分布，数据统计结果宜采用图表方式展示。</w:t>
      </w:r>
    </w:p>
    <w:p w14:paraId="48FD2FC8">
      <w:pPr>
        <w:pStyle w:val="33"/>
        <w:keepNext w:val="0"/>
        <w:keepLines w:val="0"/>
        <w:pageBreakBefore w:val="0"/>
        <w:widowControl/>
        <w:kinsoku/>
        <w:wordWrap/>
        <w:overflowPunct/>
        <w:topLinePunct w:val="0"/>
        <w:autoSpaceDE w:val="0"/>
        <w:autoSpaceDN w:val="0"/>
        <w:bidi w:val="0"/>
        <w:adjustRightInd/>
        <w:snapToGrid/>
        <w:spacing w:after="0" w:line="240" w:lineRule="auto"/>
        <w:textAlignment w:val="auto"/>
        <w:outlineLvl w:val="9"/>
        <w:rPr>
          <w:rFonts w:hint="eastAsia" w:ascii="Times New Roman"/>
          <w:szCs w:val="22"/>
        </w:rPr>
      </w:pPr>
      <w:r>
        <w:rPr>
          <w:rFonts w:hint="eastAsia" w:ascii="Times New Roman"/>
          <w:szCs w:val="22"/>
        </w:rPr>
        <w:t>b)  依据接线方式分别统计出不同标准版本的电能表电参量示值误差超差中电压、电流、有功功率、功率因数等故障数量，排除有功功率不合格，确定电参量示值误差超差中电压、电流、功率因数故障率较高的电能表接线方式类型，数据统计结果宜采用图表方式展示。</w:t>
      </w:r>
    </w:p>
    <w:p w14:paraId="0588122C">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 xml:space="preserve">5.3.3.7 </w:t>
      </w:r>
      <w:r>
        <w:rPr>
          <w:rFonts w:hint="eastAsia" w:ascii="Times New Roman" w:eastAsia="黑体"/>
          <w:szCs w:val="22"/>
          <w:lang w:eastAsia="zh-CN"/>
        </w:rPr>
        <w:t>RS485</w:t>
      </w:r>
      <w:r>
        <w:rPr>
          <w:rFonts w:hint="eastAsia" w:ascii="Times New Roman" w:eastAsia="黑体"/>
          <w:szCs w:val="22"/>
        </w:rPr>
        <w:t>通信失败</w:t>
      </w:r>
    </w:p>
    <w:p w14:paraId="00053CA2">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 xml:space="preserve">5.3.3.7.1 </w:t>
      </w:r>
      <w:r>
        <w:rPr>
          <w:rFonts w:hint="eastAsia" w:ascii="Times New Roman" w:eastAsia="黑体"/>
          <w:szCs w:val="22"/>
          <w:lang w:eastAsia="zh-CN"/>
        </w:rPr>
        <w:t>RS485</w:t>
      </w:r>
      <w:r>
        <w:rPr>
          <w:rFonts w:hint="eastAsia" w:ascii="Times New Roman" w:eastAsia="黑体"/>
          <w:szCs w:val="22"/>
        </w:rPr>
        <w:t>通信失败总体故障统计分析</w:t>
      </w:r>
    </w:p>
    <w:p w14:paraId="1BC2A2A5">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RS485通信失败总体故障统计分析方式如下：</w:t>
      </w:r>
    </w:p>
    <w:p w14:paraId="6141AFE8">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ascii="Times New Roman"/>
          <w:szCs w:val="22"/>
        </w:rPr>
      </w:pPr>
      <w:r>
        <w:rPr>
          <w:rFonts w:hint="eastAsia" w:ascii="Times New Roman"/>
          <w:szCs w:val="22"/>
        </w:rPr>
        <w:t>依据接线方式分别统计不同标准版本的电能表</w:t>
      </w:r>
      <w:r>
        <w:rPr>
          <w:rFonts w:hint="eastAsia" w:ascii="Times New Roman"/>
          <w:szCs w:val="22"/>
          <w:lang w:eastAsia="zh-CN"/>
        </w:rPr>
        <w:t>RS485</w:t>
      </w:r>
      <w:r>
        <w:rPr>
          <w:rFonts w:hint="eastAsia" w:ascii="Times New Roman"/>
          <w:szCs w:val="22"/>
        </w:rPr>
        <w:t>通信失败中对应的运行数量、分拣数量、故障数量和故障率，数据统计结果宜采用图表方式展示。</w:t>
      </w:r>
    </w:p>
    <w:p w14:paraId="4FF2F1E4">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 xml:space="preserve">5.3.3.7.2 </w:t>
      </w:r>
      <w:r>
        <w:rPr>
          <w:rFonts w:hint="eastAsia" w:ascii="Times New Roman" w:eastAsia="黑体"/>
          <w:szCs w:val="22"/>
          <w:lang w:eastAsia="zh-CN"/>
        </w:rPr>
        <w:t>RS485</w:t>
      </w:r>
      <w:r>
        <w:rPr>
          <w:rFonts w:hint="eastAsia" w:ascii="Times New Roman" w:eastAsia="黑体"/>
          <w:szCs w:val="22"/>
        </w:rPr>
        <w:t>通信失败批次维度故障统计分析</w:t>
      </w:r>
    </w:p>
    <w:p w14:paraId="4207F766">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RS485通信失败批次维度故障统计分析方式如下：</w:t>
      </w:r>
    </w:p>
    <w:p w14:paraId="7D57E983">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依据接线方式，按照招标批次分别统计出不同标准版本的电能表</w:t>
      </w:r>
      <w:r>
        <w:rPr>
          <w:rFonts w:hint="eastAsia" w:ascii="Times New Roman"/>
          <w:szCs w:val="22"/>
          <w:lang w:eastAsia="zh-CN"/>
        </w:rPr>
        <w:t>RS485</w:t>
      </w:r>
      <w:r>
        <w:rPr>
          <w:rFonts w:hint="eastAsia" w:ascii="Times New Roman"/>
          <w:szCs w:val="22"/>
        </w:rPr>
        <w:t>通信失败中运行数量、分拣数量、故障数量和批次故障率，确定故障率较高的招标批次，数据统计结果宜采用图表方式展示。</w:t>
      </w:r>
    </w:p>
    <w:p w14:paraId="1D2193FD">
      <w:pPr>
        <w:pStyle w:val="33"/>
        <w:spacing w:before="156" w:beforeLines="50" w:after="156" w:afterLines="50"/>
        <w:ind w:firstLine="0" w:firstLineChars="0"/>
        <w:outlineLvl w:val="4"/>
        <w:rPr>
          <w:rFonts w:ascii="Times New Roman" w:eastAsia="黑体"/>
          <w:szCs w:val="22"/>
        </w:rPr>
      </w:pPr>
      <w:r>
        <w:rPr>
          <w:rFonts w:hint="eastAsia" w:ascii="Times New Roman" w:eastAsia="黑体"/>
          <w:szCs w:val="22"/>
        </w:rPr>
        <w:t>5.3.3</w:t>
      </w:r>
      <w:r>
        <w:rPr>
          <w:rFonts w:ascii="Times New Roman" w:eastAsia="黑体"/>
          <w:szCs w:val="22"/>
        </w:rPr>
        <w:t>.</w:t>
      </w:r>
      <w:r>
        <w:rPr>
          <w:rFonts w:hint="eastAsia" w:ascii="Times New Roman" w:eastAsia="黑体"/>
          <w:szCs w:val="22"/>
        </w:rPr>
        <w:t>7</w:t>
      </w:r>
      <w:r>
        <w:rPr>
          <w:rFonts w:ascii="Times New Roman" w:eastAsia="黑体"/>
          <w:szCs w:val="22"/>
        </w:rPr>
        <w:t xml:space="preserve">.3 </w:t>
      </w:r>
      <w:r>
        <w:rPr>
          <w:rFonts w:hint="eastAsia" w:ascii="Times New Roman" w:eastAsia="黑体"/>
          <w:szCs w:val="22"/>
          <w:lang w:eastAsia="zh-CN"/>
        </w:rPr>
        <w:t>RS485</w:t>
      </w:r>
      <w:r>
        <w:rPr>
          <w:rFonts w:hint="eastAsia" w:ascii="Times New Roman" w:eastAsia="黑体"/>
          <w:szCs w:val="22"/>
        </w:rPr>
        <w:t>通信失败</w:t>
      </w:r>
      <w:r>
        <w:rPr>
          <w:rFonts w:hint="eastAsia" w:ascii="Times New Roman"/>
          <w:szCs w:val="22"/>
        </w:rPr>
        <w:t>运行年限</w:t>
      </w:r>
      <w:r>
        <w:rPr>
          <w:rFonts w:hint="eastAsia" w:ascii="Times New Roman" w:eastAsia="黑体"/>
          <w:szCs w:val="22"/>
        </w:rPr>
        <w:t>维度故障统计分析</w:t>
      </w:r>
    </w:p>
    <w:p w14:paraId="007D041E">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RS485通信失败运行年限维度故障统计分析方式如下：</w:t>
      </w:r>
    </w:p>
    <w:p w14:paraId="2F16F9DE">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依据接线方式，按照不同标准版本分别统计电能表</w:t>
      </w:r>
      <w:r>
        <w:rPr>
          <w:rFonts w:hint="eastAsia" w:ascii="Times New Roman"/>
          <w:szCs w:val="22"/>
          <w:lang w:eastAsia="zh-CN"/>
        </w:rPr>
        <w:t>RS485</w:t>
      </w:r>
      <w:r>
        <w:rPr>
          <w:rFonts w:hint="eastAsia" w:ascii="Times New Roman"/>
          <w:szCs w:val="22"/>
        </w:rPr>
        <w:t>通信失败随运行年限分布情况，统计出对应运行年限的分拣数量、故障数量和故障率，确定故障率较高的运行年限，数据统计结果宜采用图表方式展示。</w:t>
      </w:r>
    </w:p>
    <w:p w14:paraId="3111A65C">
      <w:pPr>
        <w:pStyle w:val="33"/>
        <w:spacing w:before="156" w:beforeLines="50" w:after="156" w:afterLines="50"/>
        <w:ind w:firstLine="0" w:firstLineChars="0"/>
        <w:outlineLvl w:val="2"/>
        <w:rPr>
          <w:rFonts w:ascii="Times New Roman" w:eastAsia="黑体"/>
          <w:szCs w:val="22"/>
        </w:rPr>
      </w:pPr>
      <w:bookmarkStart w:id="163" w:name="_Toc7022"/>
      <w:r>
        <w:rPr>
          <w:rFonts w:hint="eastAsia" w:ascii="Times New Roman" w:eastAsia="黑体"/>
          <w:szCs w:val="22"/>
        </w:rPr>
        <w:t>5.4.4 诊断结论及建议</w:t>
      </w:r>
      <w:bookmarkEnd w:id="163"/>
    </w:p>
    <w:p w14:paraId="38602A76">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5.4.4.1 诊断结论</w:t>
      </w:r>
    </w:p>
    <w:p w14:paraId="0167F35F">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诊断结论方式如下：</w:t>
      </w:r>
    </w:p>
    <w:p w14:paraId="340E32B7">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依据“5.3.3 多维度重点分析”中七类故障现象，统计不同标准版本的电能表故障率，数据统计结果宜采用图表方式展示。</w:t>
      </w:r>
    </w:p>
    <w:p w14:paraId="26F18CEB">
      <w:pPr>
        <w:pStyle w:val="33"/>
        <w:spacing w:before="156" w:beforeLines="50" w:after="156" w:afterLines="50"/>
        <w:ind w:firstLine="0" w:firstLineChars="0"/>
        <w:outlineLvl w:val="3"/>
        <w:rPr>
          <w:rFonts w:ascii="Times New Roman" w:eastAsia="黑体"/>
          <w:szCs w:val="22"/>
        </w:rPr>
      </w:pPr>
      <w:r>
        <w:rPr>
          <w:rFonts w:hint="eastAsia" w:ascii="Times New Roman" w:eastAsia="黑体"/>
          <w:szCs w:val="22"/>
        </w:rPr>
        <w:t>5.4.4.2 诊断建议</w:t>
      </w:r>
    </w:p>
    <w:p w14:paraId="1EC1ADDF">
      <w:pPr>
        <w:pStyle w:val="33"/>
        <w:spacing w:before="156" w:beforeLines="50" w:after="156" w:afterLines="50"/>
        <w:ind w:firstLine="0" w:firstLineChars="0"/>
        <w:outlineLvl w:val="4"/>
        <w:rPr>
          <w:rFonts w:hint="eastAsia" w:ascii="Times New Roman" w:eastAsia="黑体"/>
          <w:szCs w:val="22"/>
          <w:lang w:val="en-US" w:eastAsia="zh-CN"/>
        </w:rPr>
      </w:pPr>
      <w:r>
        <w:rPr>
          <w:rFonts w:hint="eastAsia" w:ascii="Times New Roman" w:eastAsia="黑体"/>
          <w:szCs w:val="22"/>
          <w:lang w:val="en-US" w:eastAsia="zh-CN"/>
        </w:rPr>
        <w:t>诊断建议方式如下：</w:t>
      </w:r>
    </w:p>
    <w:p w14:paraId="626A6D7C">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lang w:eastAsia="zh-CN"/>
        </w:rPr>
        <w:t>基于拆回电能表故障现象分析的电能表质量评价方法</w:t>
      </w:r>
      <w:r>
        <w:rPr>
          <w:rFonts w:hint="eastAsia" w:ascii="Times New Roman"/>
          <w:szCs w:val="22"/>
        </w:rPr>
        <w:t>是</w:t>
      </w:r>
      <w:r>
        <w:rPr>
          <w:rFonts w:hint="eastAsia" w:ascii="Times New Roman"/>
          <w:szCs w:val="22"/>
          <w:lang w:val="en-US" w:eastAsia="zh-CN"/>
        </w:rPr>
        <w:t>根据</w:t>
      </w:r>
      <w:r>
        <w:rPr>
          <w:rFonts w:hint="eastAsia" w:ascii="Times New Roman"/>
          <w:szCs w:val="22"/>
        </w:rPr>
        <w:t>分拣故障现象开展的数据统计透视，对应统计分析的批次故障现象或典型故障现象，建议取部分故障样品进行失效分析。</w:t>
      </w:r>
    </w:p>
    <w:p w14:paraId="565F2A2C">
      <w:pPr>
        <w:pStyle w:val="33"/>
        <w:spacing w:before="312" w:beforeLines="100" w:after="312" w:afterLines="100"/>
        <w:ind w:firstLine="0" w:firstLineChars="0"/>
        <w:outlineLvl w:val="0"/>
        <w:rPr>
          <w:rFonts w:ascii="Times New Roman" w:eastAsia="黑体"/>
          <w:szCs w:val="22"/>
        </w:rPr>
      </w:pPr>
      <w:bookmarkStart w:id="164" w:name="_Toc6481"/>
      <w:bookmarkStart w:id="165" w:name="_Toc25990"/>
      <w:r>
        <w:rPr>
          <w:rFonts w:hint="eastAsia" w:ascii="Times New Roman" w:eastAsia="黑体"/>
          <w:szCs w:val="22"/>
        </w:rPr>
        <w:t xml:space="preserve">6 </w:t>
      </w:r>
      <w:bookmarkEnd w:id="164"/>
      <w:r>
        <w:rPr>
          <w:rFonts w:hint="eastAsia" w:ascii="Times New Roman" w:eastAsia="黑体"/>
          <w:szCs w:val="22"/>
        </w:rPr>
        <w:t>评价</w:t>
      </w:r>
      <w:bookmarkEnd w:id="165"/>
      <w:r>
        <w:rPr>
          <w:rFonts w:hint="eastAsia" w:ascii="Times New Roman" w:eastAsia="黑体"/>
          <w:szCs w:val="22"/>
        </w:rPr>
        <w:t>结果形成规则</w:t>
      </w:r>
    </w:p>
    <w:p w14:paraId="04FADADB">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szCs w:val="22"/>
        </w:rPr>
      </w:pPr>
      <w:r>
        <w:rPr>
          <w:rFonts w:hint="eastAsia" w:ascii="Times New Roman"/>
          <w:szCs w:val="22"/>
        </w:rPr>
        <w:t>拆回电能表故障现象确定后，应按照技术要求统计分析拆回电能表分拣数据，输出标准格式的</w:t>
      </w:r>
      <w:r>
        <w:rPr>
          <w:rFonts w:hint="eastAsia" w:ascii="Times New Roman"/>
          <w:szCs w:val="22"/>
          <w:lang w:eastAsia="zh-CN"/>
        </w:rPr>
        <w:t>基于拆回电能表故障现象分析的电能表质量评价方法</w:t>
      </w:r>
      <w:r>
        <w:rPr>
          <w:rFonts w:hint="eastAsia" w:ascii="Times New Roman"/>
          <w:szCs w:val="22"/>
        </w:rPr>
        <w:t>报告。</w:t>
      </w:r>
    </w:p>
    <w:p w14:paraId="4597DCF2">
      <w:pPr>
        <w:pStyle w:val="33"/>
        <w:spacing w:before="156" w:beforeLines="50" w:after="156" w:afterLines="50"/>
        <w:ind w:firstLine="0" w:firstLineChars="0"/>
        <w:outlineLvl w:val="1"/>
        <w:rPr>
          <w:rFonts w:ascii="Times New Roman" w:eastAsia="黑体"/>
          <w:szCs w:val="22"/>
        </w:rPr>
      </w:pPr>
      <w:bookmarkStart w:id="166" w:name="_Toc32722"/>
      <w:r>
        <w:rPr>
          <w:rFonts w:hint="eastAsia" w:ascii="Times New Roman" w:eastAsia="黑体"/>
          <w:szCs w:val="22"/>
        </w:rPr>
        <w:t>6</w:t>
      </w:r>
      <w:r>
        <w:rPr>
          <w:rFonts w:ascii="Times New Roman" w:eastAsia="黑体"/>
          <w:szCs w:val="22"/>
        </w:rPr>
        <w:t xml:space="preserve">.1 </w:t>
      </w:r>
      <w:r>
        <w:rPr>
          <w:rFonts w:hint="eastAsia" w:ascii="Times New Roman" w:eastAsia="黑体"/>
          <w:szCs w:val="22"/>
          <w:lang w:eastAsia="zh-CN"/>
        </w:rPr>
        <w:t>基于拆回电能表故障现象分析的电能表质量评价方法</w:t>
      </w:r>
      <w:r>
        <w:rPr>
          <w:rFonts w:hint="eastAsia" w:ascii="Times New Roman" w:eastAsia="黑体"/>
          <w:szCs w:val="22"/>
        </w:rPr>
        <w:t>报告编写原则</w:t>
      </w:r>
      <w:bookmarkEnd w:id="166"/>
    </w:p>
    <w:p w14:paraId="613B820D">
      <w:pPr>
        <w:pStyle w:val="33"/>
        <w:keepNext w:val="0"/>
        <w:keepLines w:val="0"/>
        <w:pageBreakBefore w:val="0"/>
        <w:widowControl/>
        <w:kinsoku/>
        <w:wordWrap/>
        <w:overflowPunct/>
        <w:topLinePunct w:val="0"/>
        <w:autoSpaceDE w:val="0"/>
        <w:autoSpaceDN w:val="0"/>
        <w:bidi w:val="0"/>
        <w:adjustRightInd/>
        <w:snapToGrid/>
        <w:spacing w:after="0" w:line="240" w:lineRule="auto"/>
        <w:ind w:firstLine="420" w:firstLineChars="200"/>
        <w:textAlignment w:val="auto"/>
        <w:outlineLvl w:val="9"/>
        <w:rPr>
          <w:rFonts w:hint="eastAsia" w:ascii="Times New Roman"/>
          <w:color w:val="FF0000"/>
          <w:szCs w:val="22"/>
          <w:highlight w:val="yellow"/>
        </w:rPr>
      </w:pPr>
      <w:r>
        <w:rPr>
          <w:rFonts w:hint="eastAsia" w:ascii="Times New Roman"/>
          <w:szCs w:val="22"/>
          <w:lang w:eastAsia="zh-CN"/>
        </w:rPr>
        <w:t>基于拆回电能表故障现象分析的电能表质量评价方法</w:t>
      </w:r>
      <w:r>
        <w:rPr>
          <w:rFonts w:hint="eastAsia" w:ascii="Times New Roman"/>
          <w:szCs w:val="22"/>
        </w:rPr>
        <w:t>报告的编写应遵循实事求是、严谨认真的原则。</w:t>
      </w:r>
      <w:bookmarkStart w:id="168" w:name="_GoBack"/>
      <w:bookmarkEnd w:id="168"/>
    </w:p>
    <w:p w14:paraId="78175E50">
      <w:pPr>
        <w:pStyle w:val="33"/>
        <w:spacing w:before="156" w:beforeLines="50" w:after="156" w:afterLines="50"/>
        <w:ind w:firstLine="0" w:firstLineChars="0"/>
        <w:outlineLvl w:val="1"/>
        <w:rPr>
          <w:rFonts w:ascii="Times New Roman" w:eastAsia="黑体"/>
          <w:szCs w:val="22"/>
        </w:rPr>
      </w:pPr>
      <w:bookmarkStart w:id="167" w:name="_Toc6081"/>
      <w:r>
        <w:rPr>
          <w:rFonts w:hint="eastAsia" w:ascii="Times New Roman"/>
        </w:rPr>
        <w:t>6</w:t>
      </w:r>
      <w:r>
        <w:rPr>
          <w:rFonts w:ascii="Times New Roman"/>
        </w:rPr>
        <w:t xml:space="preserve">.2 </w:t>
      </w:r>
      <w:r>
        <w:rPr>
          <w:rFonts w:hint="eastAsia" w:ascii="Times New Roman" w:eastAsia="黑体"/>
          <w:szCs w:val="22"/>
          <w:lang w:eastAsia="zh-CN"/>
        </w:rPr>
        <w:t>基于拆回电能表故障现象分析的电能表质量评价方法</w:t>
      </w:r>
      <w:r>
        <w:rPr>
          <w:rFonts w:hint="eastAsia" w:ascii="Times New Roman" w:eastAsia="黑体"/>
          <w:szCs w:val="22"/>
        </w:rPr>
        <w:t>报告标准模板</w:t>
      </w:r>
      <w:bookmarkEnd w:id="167"/>
    </w:p>
    <w:p w14:paraId="5F243745">
      <w:pPr>
        <w:pStyle w:val="83"/>
        <w:ind w:firstLine="420" w:firstLineChars="200"/>
        <w:rPr>
          <w:rFonts w:hint="eastAsia" w:ascii="Times New Roman" w:hAnsi="Calibri" w:eastAsia="宋体" w:cs="Times New Roman"/>
          <w:sz w:val="21"/>
          <w:szCs w:val="22"/>
          <w:lang w:val="en-US" w:eastAsia="zh-CN" w:bidi="ar-SA"/>
        </w:rPr>
      </w:pPr>
      <w:r>
        <w:rPr>
          <w:rFonts w:hint="eastAsia" w:ascii="Times New Roman" w:cs="Times New Roman"/>
          <w:sz w:val="21"/>
          <w:szCs w:val="22"/>
          <w:lang w:val="en-US" w:eastAsia="zh-CN" w:bidi="ar-SA"/>
        </w:rPr>
        <w:t>基于拆回电能表故障现象分析的电能表质量评价方法</w:t>
      </w:r>
      <w:r>
        <w:rPr>
          <w:rFonts w:hint="eastAsia" w:ascii="Times New Roman" w:hAnsi="Calibri" w:eastAsia="宋体" w:cs="Times New Roman"/>
          <w:sz w:val="21"/>
          <w:szCs w:val="22"/>
          <w:lang w:val="en-US" w:eastAsia="zh-CN" w:bidi="ar-SA"/>
        </w:rPr>
        <w:t>报告应包含厂家名字、报告使用的分拣数据统计范围、总体情况统计分析、多维度重点分析、诊断结论及建议、针对电能表故障现象分类及分拣软件的判定标准、拆回电能表故障现象的判定规则等内容，标准模板应符下列目录的规定。</w:t>
      </w:r>
    </w:p>
    <w:p w14:paraId="79A21D71">
      <w:pPr>
        <w:pStyle w:val="83"/>
        <w:ind w:firstLine="420" w:firstLineChars="200"/>
        <w:rPr>
          <w:rFonts w:ascii="Times New Roman" w:eastAsia="黑体"/>
          <w:szCs w:val="22"/>
          <w:highlight w:val="yellow"/>
        </w:rPr>
      </w:pPr>
    </w:p>
    <w:sdt>
      <w:sdtPr>
        <w:rPr>
          <w:rFonts w:hint="eastAsia" w:ascii="Times New Roman" w:eastAsia="黑体"/>
          <w:szCs w:val="22"/>
          <w:highlight w:val="yellow"/>
        </w:rPr>
        <w:id w:val="147477727"/>
        <w15:color w:val="DBDBDB"/>
        <w:docPartObj>
          <w:docPartGallery w:val="Table of Contents"/>
          <w:docPartUnique/>
        </w:docPartObj>
      </w:sdtPr>
      <w:sdtEndPr>
        <w:rPr>
          <w:rFonts w:hint="eastAsia" w:ascii="Times New Roman" w:eastAsia="黑体"/>
          <w:szCs w:val="22"/>
          <w:highlight w:val="yellow"/>
        </w:rPr>
      </w:sdtEndPr>
      <w:sdtContent>
        <w:p w14:paraId="670183CB">
          <w:pPr>
            <w:pStyle w:val="83"/>
            <w:ind w:firstLine="420" w:firstLineChars="200"/>
            <w:rPr>
              <w:rFonts w:ascii="Times New Roman" w:eastAsia="黑体"/>
              <w:szCs w:val="22"/>
            </w:rPr>
          </w:pPr>
          <w:r>
            <w:rPr>
              <w:rFonts w:hint="eastAsia" w:ascii="Times New Roman" w:eastAsia="黑体"/>
              <w:szCs w:val="22"/>
            </w:rPr>
            <w:t>目录</w:t>
          </w:r>
        </w:p>
        <w:p w14:paraId="07E07DB4">
          <w:pPr>
            <w:pStyle w:val="83"/>
            <w:ind w:firstLine="420" w:firstLineChars="200"/>
            <w:rPr>
              <w:rFonts w:ascii="Times New Roman" w:eastAsia="黑体"/>
              <w:szCs w:val="22"/>
            </w:rPr>
          </w:pPr>
          <w:r>
            <w:rPr>
              <w:rFonts w:hint="eastAsia" w:ascii="Times New Roman" w:eastAsia="黑体"/>
              <w:szCs w:val="22"/>
            </w:rPr>
            <w:fldChar w:fldCharType="begin"/>
          </w:r>
          <w:r>
            <w:rPr>
              <w:rFonts w:hint="eastAsia" w:ascii="Times New Roman" w:eastAsia="黑体"/>
              <w:szCs w:val="22"/>
            </w:rPr>
            <w:instrText xml:space="preserve">TOC \o "1-2" \h \u </w:instrText>
          </w:r>
          <w:r>
            <w:rPr>
              <w:rFonts w:hint="eastAsia" w:ascii="Times New Roman" w:eastAsia="黑体"/>
              <w:szCs w:val="22"/>
            </w:rPr>
            <w:fldChar w:fldCharType="separate"/>
          </w:r>
          <w:r>
            <w:fldChar w:fldCharType="begin"/>
          </w:r>
          <w:r>
            <w:instrText xml:space="preserve"> HYPERLINK \l "_Toc13645" </w:instrText>
          </w:r>
          <w:r>
            <w:fldChar w:fldCharType="separate"/>
          </w:r>
          <w:r>
            <w:rPr>
              <w:rFonts w:hint="eastAsia" w:ascii="Times New Roman" w:eastAsia="黑体"/>
              <w:szCs w:val="22"/>
            </w:rPr>
            <w:t>一、分析思路</w:t>
          </w:r>
          <w:r>
            <w:rPr>
              <w:rFonts w:hint="eastAsia" w:ascii="Times New Roman" w:eastAsia="黑体"/>
              <w:szCs w:val="22"/>
            </w:rPr>
            <w:fldChar w:fldCharType="end"/>
          </w:r>
        </w:p>
        <w:p w14:paraId="747B0825">
          <w:pPr>
            <w:pStyle w:val="83"/>
            <w:ind w:firstLine="420" w:firstLineChars="200"/>
            <w:rPr>
              <w:rFonts w:ascii="Times New Roman" w:eastAsia="黑体"/>
              <w:szCs w:val="22"/>
            </w:rPr>
          </w:pPr>
          <w:r>
            <w:fldChar w:fldCharType="begin"/>
          </w:r>
          <w:r>
            <w:instrText xml:space="preserve"> HYPERLINK \l "_Toc17258" </w:instrText>
          </w:r>
          <w:r>
            <w:fldChar w:fldCharType="separate"/>
          </w:r>
          <w:r>
            <w:rPr>
              <w:rFonts w:hint="eastAsia" w:ascii="Times New Roman" w:eastAsia="黑体"/>
              <w:szCs w:val="22"/>
            </w:rPr>
            <w:t>二、总体情况统计分析</w:t>
          </w:r>
          <w:r>
            <w:rPr>
              <w:rFonts w:hint="eastAsia" w:ascii="Times New Roman" w:eastAsia="黑体"/>
              <w:szCs w:val="22"/>
            </w:rPr>
            <w:fldChar w:fldCharType="end"/>
          </w:r>
        </w:p>
        <w:p w14:paraId="5020C63D">
          <w:pPr>
            <w:pStyle w:val="83"/>
            <w:ind w:firstLine="420" w:firstLineChars="200"/>
            <w:rPr>
              <w:rFonts w:ascii="Times New Roman" w:eastAsia="黑体"/>
              <w:szCs w:val="22"/>
            </w:rPr>
          </w:pPr>
          <w:r>
            <w:fldChar w:fldCharType="begin"/>
          </w:r>
          <w:r>
            <w:instrText xml:space="preserve"> HYPERLINK \l "_Toc14579" </w:instrText>
          </w:r>
          <w:r>
            <w:fldChar w:fldCharType="separate"/>
          </w:r>
          <w:r>
            <w:rPr>
              <w:rFonts w:hint="eastAsia" w:ascii="Times New Roman" w:eastAsia="黑体"/>
              <w:szCs w:val="22"/>
            </w:rPr>
            <w:t>（一）厂家总体故障统计</w:t>
          </w:r>
          <w:r>
            <w:rPr>
              <w:rFonts w:hint="eastAsia" w:ascii="Times New Roman" w:eastAsia="黑体"/>
              <w:szCs w:val="22"/>
            </w:rPr>
            <w:fldChar w:fldCharType="end"/>
          </w:r>
        </w:p>
        <w:p w14:paraId="662D36FA">
          <w:pPr>
            <w:pStyle w:val="83"/>
            <w:ind w:firstLine="420" w:firstLineChars="200"/>
            <w:rPr>
              <w:rFonts w:ascii="Times New Roman" w:eastAsia="黑体"/>
              <w:szCs w:val="22"/>
            </w:rPr>
          </w:pPr>
          <w:r>
            <w:fldChar w:fldCharType="begin"/>
          </w:r>
          <w:r>
            <w:instrText xml:space="preserve"> HYPERLINK \l "_Toc10855" </w:instrText>
          </w:r>
          <w:r>
            <w:fldChar w:fldCharType="separate"/>
          </w:r>
          <w:r>
            <w:rPr>
              <w:rFonts w:hint="eastAsia" w:ascii="Times New Roman" w:eastAsia="黑体"/>
              <w:szCs w:val="22"/>
            </w:rPr>
            <w:t>（二）批次维度故障率统计分析</w:t>
          </w:r>
          <w:r>
            <w:rPr>
              <w:rFonts w:hint="eastAsia" w:ascii="Times New Roman" w:eastAsia="黑体"/>
              <w:szCs w:val="22"/>
            </w:rPr>
            <w:fldChar w:fldCharType="end"/>
          </w:r>
        </w:p>
        <w:p w14:paraId="4534DF2C">
          <w:pPr>
            <w:pStyle w:val="83"/>
            <w:ind w:firstLine="420" w:firstLineChars="200"/>
            <w:rPr>
              <w:rFonts w:ascii="Times New Roman" w:eastAsia="黑体"/>
              <w:szCs w:val="22"/>
            </w:rPr>
          </w:pPr>
          <w:r>
            <w:fldChar w:fldCharType="begin"/>
          </w:r>
          <w:r>
            <w:instrText xml:space="preserve"> HYPERLINK \l "_Toc2670" </w:instrText>
          </w:r>
          <w:r>
            <w:fldChar w:fldCharType="separate"/>
          </w:r>
          <w:r>
            <w:rPr>
              <w:rFonts w:hint="eastAsia" w:ascii="Times New Roman" w:eastAsia="黑体"/>
              <w:szCs w:val="22"/>
            </w:rPr>
            <w:t>（三）故障率考核指标</w:t>
          </w:r>
          <w:r>
            <w:rPr>
              <w:rFonts w:hint="eastAsia" w:ascii="Times New Roman" w:eastAsia="黑体"/>
              <w:szCs w:val="22"/>
            </w:rPr>
            <w:fldChar w:fldCharType="end"/>
          </w:r>
        </w:p>
        <w:p w14:paraId="531954CD">
          <w:pPr>
            <w:pStyle w:val="83"/>
            <w:ind w:firstLine="420" w:firstLineChars="200"/>
            <w:rPr>
              <w:rFonts w:ascii="Times New Roman" w:eastAsia="黑体"/>
              <w:szCs w:val="22"/>
            </w:rPr>
          </w:pPr>
          <w:r>
            <w:fldChar w:fldCharType="begin"/>
          </w:r>
          <w:r>
            <w:instrText xml:space="preserve"> HYPERLINK \l "_Toc11122" </w:instrText>
          </w:r>
          <w:r>
            <w:fldChar w:fldCharType="separate"/>
          </w:r>
          <w:r>
            <w:rPr>
              <w:rFonts w:hint="eastAsia" w:ascii="Times New Roman" w:eastAsia="黑体"/>
              <w:szCs w:val="22"/>
            </w:rPr>
            <w:t>三、多维度重点分析</w:t>
          </w:r>
          <w:r>
            <w:rPr>
              <w:rFonts w:hint="eastAsia" w:ascii="Times New Roman" w:eastAsia="黑体"/>
              <w:szCs w:val="22"/>
            </w:rPr>
            <w:fldChar w:fldCharType="end"/>
          </w:r>
        </w:p>
        <w:p w14:paraId="648D78F2">
          <w:pPr>
            <w:pStyle w:val="83"/>
            <w:ind w:firstLine="420" w:firstLineChars="200"/>
            <w:rPr>
              <w:rFonts w:ascii="Times New Roman" w:eastAsia="黑体"/>
              <w:szCs w:val="22"/>
            </w:rPr>
          </w:pPr>
          <w:r>
            <w:fldChar w:fldCharType="begin"/>
          </w:r>
          <w:r>
            <w:instrText xml:space="preserve"> HYPERLINK \l "_Toc8593" </w:instrText>
          </w:r>
          <w:r>
            <w:fldChar w:fldCharType="separate"/>
          </w:r>
          <w:r>
            <w:rPr>
              <w:rFonts w:hint="eastAsia" w:ascii="Times New Roman" w:eastAsia="黑体"/>
              <w:szCs w:val="22"/>
            </w:rPr>
            <w:t>（一）事件记录异常</w:t>
          </w:r>
          <w:r>
            <w:rPr>
              <w:rFonts w:hint="eastAsia" w:ascii="Times New Roman" w:eastAsia="黑体"/>
              <w:szCs w:val="22"/>
            </w:rPr>
            <w:fldChar w:fldCharType="end"/>
          </w:r>
        </w:p>
        <w:p w14:paraId="1034EA3C">
          <w:pPr>
            <w:pStyle w:val="83"/>
            <w:ind w:firstLine="420" w:firstLineChars="200"/>
            <w:rPr>
              <w:rFonts w:ascii="Times New Roman" w:eastAsia="黑体"/>
              <w:szCs w:val="22"/>
            </w:rPr>
          </w:pPr>
          <w:r>
            <w:fldChar w:fldCharType="begin"/>
          </w:r>
          <w:r>
            <w:instrText xml:space="preserve"> HYPERLINK \l "_Toc18846" </w:instrText>
          </w:r>
          <w:r>
            <w:fldChar w:fldCharType="separate"/>
          </w:r>
          <w:r>
            <w:rPr>
              <w:rFonts w:hint="eastAsia" w:ascii="Times New Roman" w:eastAsia="黑体"/>
              <w:szCs w:val="22"/>
            </w:rPr>
            <w:t>（二）电池欠压故障</w:t>
          </w:r>
          <w:r>
            <w:rPr>
              <w:rFonts w:hint="eastAsia" w:ascii="Times New Roman" w:eastAsia="黑体"/>
              <w:szCs w:val="22"/>
            </w:rPr>
            <w:fldChar w:fldCharType="end"/>
          </w:r>
        </w:p>
        <w:p w14:paraId="1B5DD0DF">
          <w:pPr>
            <w:pStyle w:val="83"/>
            <w:ind w:firstLine="420" w:firstLineChars="200"/>
            <w:rPr>
              <w:rFonts w:ascii="Times New Roman" w:eastAsia="黑体"/>
              <w:szCs w:val="22"/>
            </w:rPr>
          </w:pPr>
          <w:r>
            <w:fldChar w:fldCharType="begin"/>
          </w:r>
          <w:r>
            <w:instrText xml:space="preserve"> HYPERLINK \l "_Toc12395" </w:instrText>
          </w:r>
          <w:r>
            <w:fldChar w:fldCharType="separate"/>
          </w:r>
          <w:r>
            <w:rPr>
              <w:rFonts w:hint="eastAsia" w:ascii="Times New Roman" w:eastAsia="黑体"/>
              <w:szCs w:val="22"/>
            </w:rPr>
            <w:t>（三）电源供给异常</w:t>
          </w:r>
          <w:r>
            <w:rPr>
              <w:rFonts w:hint="eastAsia" w:ascii="Times New Roman" w:eastAsia="黑体"/>
              <w:szCs w:val="22"/>
            </w:rPr>
            <w:fldChar w:fldCharType="end"/>
          </w:r>
        </w:p>
        <w:p w14:paraId="7CA1FBB6">
          <w:pPr>
            <w:pStyle w:val="83"/>
            <w:ind w:firstLine="420" w:firstLineChars="200"/>
            <w:rPr>
              <w:rFonts w:ascii="Times New Roman" w:eastAsia="黑体"/>
              <w:szCs w:val="22"/>
            </w:rPr>
          </w:pPr>
          <w:r>
            <w:fldChar w:fldCharType="begin"/>
          </w:r>
          <w:r>
            <w:instrText xml:space="preserve"> HYPERLINK \l "_Toc9372" </w:instrText>
          </w:r>
          <w:r>
            <w:fldChar w:fldCharType="separate"/>
          </w:r>
          <w:r>
            <w:rPr>
              <w:rFonts w:hint="eastAsia" w:ascii="Times New Roman" w:eastAsia="黑体"/>
              <w:szCs w:val="22"/>
            </w:rPr>
            <w:t>（四）模块类</w:t>
          </w:r>
          <w:r>
            <w:rPr>
              <w:rFonts w:hint="eastAsia" w:ascii="Times New Roman" w:eastAsia="黑体"/>
              <w:szCs w:val="22"/>
            </w:rPr>
            <w:fldChar w:fldCharType="end"/>
          </w:r>
          <w:r>
            <w:rPr>
              <w:rFonts w:hint="eastAsia" w:ascii="Times New Roman" w:eastAsia="黑体"/>
              <w:szCs w:val="22"/>
            </w:rPr>
            <w:t>通信故障</w:t>
          </w:r>
        </w:p>
        <w:p w14:paraId="39747EDC">
          <w:pPr>
            <w:pStyle w:val="83"/>
            <w:ind w:firstLine="420" w:firstLineChars="200"/>
            <w:rPr>
              <w:rFonts w:ascii="Times New Roman" w:eastAsia="黑体"/>
              <w:szCs w:val="22"/>
            </w:rPr>
          </w:pPr>
          <w:r>
            <w:fldChar w:fldCharType="begin"/>
          </w:r>
          <w:r>
            <w:instrText xml:space="preserve"> HYPERLINK \l "_Toc15856" </w:instrText>
          </w:r>
          <w:r>
            <w:fldChar w:fldCharType="separate"/>
          </w:r>
          <w:r>
            <w:rPr>
              <w:rFonts w:hint="eastAsia" w:ascii="Times New Roman" w:eastAsia="黑体"/>
              <w:szCs w:val="22"/>
            </w:rPr>
            <w:t>（五）时钟</w:t>
          </w:r>
          <w:r>
            <w:rPr>
              <w:rFonts w:hint="eastAsia" w:ascii="Times New Roman" w:eastAsia="黑体"/>
              <w:szCs w:val="22"/>
            </w:rPr>
            <w:fldChar w:fldCharType="end"/>
          </w:r>
          <w:r>
            <w:rPr>
              <w:rFonts w:hint="eastAsia" w:ascii="Times New Roman" w:eastAsia="黑体"/>
              <w:szCs w:val="22"/>
            </w:rPr>
            <w:t>错误</w:t>
          </w:r>
        </w:p>
        <w:p w14:paraId="1274B2BC">
          <w:pPr>
            <w:pStyle w:val="83"/>
            <w:ind w:firstLine="420" w:firstLineChars="200"/>
            <w:rPr>
              <w:rFonts w:ascii="Times New Roman" w:eastAsia="黑体"/>
              <w:szCs w:val="22"/>
            </w:rPr>
          </w:pPr>
          <w:r>
            <w:fldChar w:fldCharType="begin"/>
          </w:r>
          <w:r>
            <w:instrText xml:space="preserve"> HYPERLINK \l "_Toc300" </w:instrText>
          </w:r>
          <w:r>
            <w:fldChar w:fldCharType="separate"/>
          </w:r>
          <w:r>
            <w:rPr>
              <w:rFonts w:hint="eastAsia" w:ascii="Times New Roman" w:eastAsia="黑体"/>
              <w:szCs w:val="22"/>
            </w:rPr>
            <w:t>（六）测量</w:t>
          </w:r>
          <w:r>
            <w:rPr>
              <w:rFonts w:hint="eastAsia" w:ascii="Times New Roman" w:eastAsia="黑体"/>
              <w:szCs w:val="22"/>
            </w:rPr>
            <w:fldChar w:fldCharType="end"/>
          </w:r>
          <w:r>
            <w:rPr>
              <w:rFonts w:hint="eastAsia" w:ascii="Times New Roman" w:eastAsia="黑体"/>
              <w:szCs w:val="22"/>
            </w:rPr>
            <w:t>误差超差</w:t>
          </w:r>
        </w:p>
        <w:p w14:paraId="750BAF6A">
          <w:pPr>
            <w:pStyle w:val="83"/>
            <w:ind w:firstLine="420" w:firstLineChars="200"/>
            <w:rPr>
              <w:rFonts w:ascii="Times New Roman" w:eastAsia="黑体"/>
              <w:szCs w:val="22"/>
            </w:rPr>
          </w:pPr>
          <w:r>
            <w:fldChar w:fldCharType="begin"/>
          </w:r>
          <w:r>
            <w:instrText xml:space="preserve"> HYPERLINK \l "_Toc30460" </w:instrText>
          </w:r>
          <w:r>
            <w:fldChar w:fldCharType="separate"/>
          </w:r>
          <w:r>
            <w:rPr>
              <w:rFonts w:hint="eastAsia" w:ascii="Times New Roman" w:eastAsia="黑体"/>
              <w:szCs w:val="22"/>
            </w:rPr>
            <w:t>（七）RS485通信故障</w:t>
          </w:r>
          <w:r>
            <w:rPr>
              <w:rFonts w:hint="eastAsia" w:ascii="Times New Roman" w:eastAsia="黑体"/>
              <w:szCs w:val="22"/>
            </w:rPr>
            <w:fldChar w:fldCharType="end"/>
          </w:r>
        </w:p>
        <w:p w14:paraId="3C812956">
          <w:pPr>
            <w:pStyle w:val="83"/>
            <w:ind w:firstLine="420" w:firstLineChars="200"/>
            <w:rPr>
              <w:rFonts w:ascii="Times New Roman" w:eastAsia="黑体"/>
              <w:szCs w:val="22"/>
            </w:rPr>
          </w:pPr>
          <w:r>
            <w:fldChar w:fldCharType="begin"/>
          </w:r>
          <w:r>
            <w:instrText xml:space="preserve"> HYPERLINK \l "_Toc20339" </w:instrText>
          </w:r>
          <w:r>
            <w:fldChar w:fldCharType="separate"/>
          </w:r>
          <w:r>
            <w:rPr>
              <w:rFonts w:hint="eastAsia" w:ascii="Times New Roman" w:eastAsia="黑体"/>
              <w:szCs w:val="22"/>
            </w:rPr>
            <w:t>四、诊断结论及建议</w:t>
          </w:r>
          <w:r>
            <w:rPr>
              <w:rFonts w:hint="eastAsia" w:ascii="Times New Roman" w:eastAsia="黑体"/>
              <w:szCs w:val="22"/>
            </w:rPr>
            <w:fldChar w:fldCharType="end"/>
          </w:r>
        </w:p>
        <w:p w14:paraId="55D7B49E">
          <w:pPr>
            <w:pStyle w:val="83"/>
            <w:ind w:firstLine="420" w:firstLineChars="200"/>
            <w:rPr>
              <w:rFonts w:ascii="Times New Roman" w:eastAsia="黑体"/>
              <w:szCs w:val="22"/>
            </w:rPr>
          </w:pPr>
          <w:r>
            <w:fldChar w:fldCharType="begin"/>
          </w:r>
          <w:r>
            <w:instrText xml:space="preserve"> HYPERLINK \l "_Toc28427" </w:instrText>
          </w:r>
          <w:r>
            <w:fldChar w:fldCharType="separate"/>
          </w:r>
          <w:r>
            <w:rPr>
              <w:rFonts w:hint="eastAsia" w:ascii="Times New Roman" w:eastAsia="黑体"/>
              <w:szCs w:val="22"/>
            </w:rPr>
            <w:t>附录：</w:t>
          </w:r>
          <w:r>
            <w:rPr>
              <w:rFonts w:hint="eastAsia" w:ascii="Times New Roman" w:eastAsia="黑体"/>
              <w:szCs w:val="22"/>
            </w:rPr>
            <w:fldChar w:fldCharType="end"/>
          </w:r>
        </w:p>
        <w:p w14:paraId="17849EB2">
          <w:pPr>
            <w:pStyle w:val="83"/>
            <w:ind w:firstLine="420" w:firstLineChars="200"/>
          </w:pPr>
          <w:r>
            <w:rPr>
              <w:rFonts w:hint="eastAsia" w:ascii="Times New Roman" w:eastAsia="黑体"/>
              <w:szCs w:val="22"/>
            </w:rPr>
            <w:fldChar w:fldCharType="end"/>
          </w:r>
        </w:p>
      </w:sdtContent>
    </w:sdt>
    <w:p w14:paraId="2F938712">
      <w:pPr>
        <w:pStyle w:val="83"/>
        <w:ind w:firstLine="562" w:firstLineChars="200"/>
        <w:jc w:val="center"/>
        <w:rPr>
          <w:rFonts w:ascii="黑体" w:hAnsi="Times New Roman" w:eastAsia="黑体"/>
          <w:b/>
          <w:sz w:val="28"/>
          <w:szCs w:val="28"/>
        </w:rPr>
      </w:pPr>
      <w:r>
        <w:rPr>
          <w:rFonts w:hint="eastAsia" w:ascii="黑体" w:hAnsi="Times New Roman" w:eastAsia="黑体"/>
          <w:b/>
          <w:sz w:val="28"/>
          <w:szCs w:val="28"/>
        </w:rPr>
        <w:t>------------------</w:t>
      </w:r>
    </w:p>
    <w:sectPr>
      <w:headerReference r:id="rId8" w:type="default"/>
      <w:pgSz w:w="11906" w:h="16838"/>
      <w:pgMar w:top="567" w:right="1134" w:bottom="1134" w:left="1417"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_x000B_..">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黑体-简">
    <w:altName w:val="黑体"/>
    <w:panose1 w:val="00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BDB46">
    <w:pPr>
      <w:wordWrap w:val="0"/>
      <w:spacing w:before="240" w:beforeLines="100" w:line="180" w:lineRule="exact"/>
      <w:ind w:right="210"/>
      <w:jc w:val="right"/>
      <w:rPr>
        <w:rFonts w:hint="eastAsia" w:ascii="等线" w:hAnsi="等线"/>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412753"/>
    </w:sdtPr>
    <w:sdtContent>
      <w:p w14:paraId="3D28EB0E">
        <w:pPr>
          <w:pStyle w:val="27"/>
          <w:jc w:val="center"/>
        </w:pPr>
        <w:r>
          <w:fldChar w:fldCharType="begin"/>
        </w:r>
        <w:r>
          <w:instrText xml:space="preserve">PAGE   \* MERGEFORMAT</w:instrText>
        </w:r>
        <w:r>
          <w:fldChar w:fldCharType="separate"/>
        </w:r>
        <w:r>
          <w:rPr>
            <w:lang w:val="zh-CN"/>
          </w:rPr>
          <w:t>2</w:t>
        </w:r>
        <w:r>
          <w:fldChar w:fldCharType="end"/>
        </w:r>
      </w:p>
    </w:sdtContent>
  </w:sdt>
  <w:p w14:paraId="1D057A9F">
    <w:pPr>
      <w:pStyle w:val="27"/>
      <w:wordWrap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AB7F">
    <w:pPr>
      <w:pStyle w:val="172"/>
      <w:rPr>
        <w:rFonts w:hint="eastAsia" w:eastAsia="黑体"/>
        <w:lang w:val="en-US" w:eastAsia="zh-CN"/>
      </w:rPr>
    </w:pPr>
    <w:r>
      <w:rPr>
        <w:rFonts w:hint="eastAsia"/>
      </w:rPr>
      <w:t>T/CIMA 0156—202</w:t>
    </w:r>
    <w:r>
      <w:rPr>
        <w:rFonts w:hint="eastAsia"/>
        <w:lang w:val="en-US" w:eastAsia="zh-CN"/>
      </w:rPr>
      <w:t>X</w:t>
    </w:r>
  </w:p>
  <w:p w14:paraId="18C6D330">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31753">
    <w:pPr>
      <w:pStyle w:val="172"/>
      <w:rPr>
        <w:rFonts w:hint="eastAsia" w:eastAsia="黑体"/>
        <w:lang w:val="en-US" w:eastAsia="zh-CN"/>
      </w:rPr>
    </w:pPr>
    <w:r>
      <w:rPr>
        <w:rFonts w:hint="eastAsia"/>
      </w:rPr>
      <w:t>T/CIMA 0156—202</w:t>
    </w:r>
    <w:r>
      <w:rPr>
        <w:rFonts w:hint="eastAsia"/>
        <w:lang w:val="en-US" w:eastAsia="zh-CN"/>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1DDF9"/>
    <w:multiLevelType w:val="singleLevel"/>
    <w:tmpl w:val="8A11DDF9"/>
    <w:lvl w:ilvl="0" w:tentative="0">
      <w:start w:val="1"/>
      <w:numFmt w:val="lowerLetter"/>
      <w:suff w:val="space"/>
      <w:lvlText w:val="%1)"/>
      <w:lvlJc w:val="left"/>
    </w:lvl>
  </w:abstractNum>
  <w:abstractNum w:abstractNumId="1">
    <w:nsid w:val="9B7D85F7"/>
    <w:multiLevelType w:val="singleLevel"/>
    <w:tmpl w:val="9B7D85F7"/>
    <w:lvl w:ilvl="0" w:tentative="0">
      <w:start w:val="1"/>
      <w:numFmt w:val="lowerLetter"/>
      <w:suff w:val="space"/>
      <w:lvlText w:val="%1)"/>
      <w:lvlJc w:val="left"/>
    </w:lvl>
  </w:abstractNum>
  <w:abstractNum w:abstractNumId="2">
    <w:nsid w:val="C3F6AFC8"/>
    <w:multiLevelType w:val="singleLevel"/>
    <w:tmpl w:val="C3F6AFC8"/>
    <w:lvl w:ilvl="0" w:tentative="0">
      <w:start w:val="1"/>
      <w:numFmt w:val="lowerLetter"/>
      <w:suff w:val="space"/>
      <w:lvlText w:val="%1)"/>
      <w:lvlJc w:val="left"/>
    </w:lvl>
  </w:abstractNum>
  <w:abstractNum w:abstractNumId="3">
    <w:nsid w:val="DB7A9612"/>
    <w:multiLevelType w:val="singleLevel"/>
    <w:tmpl w:val="DB7A9612"/>
    <w:lvl w:ilvl="0" w:tentative="0">
      <w:start w:val="1"/>
      <w:numFmt w:val="lowerLetter"/>
      <w:suff w:val="space"/>
      <w:lvlText w:val="%1)"/>
      <w:lvlJc w:val="left"/>
    </w:lvl>
  </w:abstractNum>
  <w:abstractNum w:abstractNumId="4">
    <w:nsid w:val="E28DED2A"/>
    <w:multiLevelType w:val="singleLevel"/>
    <w:tmpl w:val="E28DED2A"/>
    <w:lvl w:ilvl="0" w:tentative="0">
      <w:start w:val="1"/>
      <w:numFmt w:val="lowerLetter"/>
      <w:suff w:val="space"/>
      <w:lvlText w:val="%1)"/>
      <w:lvlJc w:val="left"/>
    </w:lvl>
  </w:abstractNum>
  <w:abstractNum w:abstractNumId="5">
    <w:nsid w:val="079102AD"/>
    <w:multiLevelType w:val="multilevel"/>
    <w:tmpl w:val="079102AD"/>
    <w:lvl w:ilvl="0" w:tentative="0">
      <w:start w:val="1"/>
      <w:numFmt w:val="decimal"/>
      <w:pStyle w:val="10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CF182A"/>
    <w:multiLevelType w:val="singleLevel"/>
    <w:tmpl w:val="07CF182A"/>
    <w:lvl w:ilvl="0" w:tentative="0">
      <w:start w:val="1"/>
      <w:numFmt w:val="lowerLetter"/>
      <w:suff w:val="space"/>
      <w:lvlText w:val="%1)"/>
      <w:lvlJc w:val="left"/>
    </w:lvl>
  </w:abstractNum>
  <w:abstractNum w:abstractNumId="7">
    <w:nsid w:val="093C6778"/>
    <w:multiLevelType w:val="multilevel"/>
    <w:tmpl w:val="093C6778"/>
    <w:lvl w:ilvl="0" w:tentative="0">
      <w:start w:val="1"/>
      <w:numFmt w:val="decimal"/>
      <w:pStyle w:val="8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AE367E9"/>
    <w:multiLevelType w:val="multilevel"/>
    <w:tmpl w:val="0AE367E9"/>
    <w:lvl w:ilvl="0" w:tentative="0">
      <w:start w:val="1"/>
      <w:numFmt w:val="none"/>
      <w:pStyle w:val="19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DDE2B46"/>
    <w:multiLevelType w:val="multilevel"/>
    <w:tmpl w:val="0DDE2B46"/>
    <w:lvl w:ilvl="0" w:tentative="0">
      <w:start w:val="1"/>
      <w:numFmt w:val="lowerLetter"/>
      <w:pStyle w:val="14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0">
    <w:nsid w:val="1568A745"/>
    <w:multiLevelType w:val="singleLevel"/>
    <w:tmpl w:val="1568A745"/>
    <w:lvl w:ilvl="0" w:tentative="0">
      <w:start w:val="1"/>
      <w:numFmt w:val="lowerLetter"/>
      <w:suff w:val="space"/>
      <w:lvlText w:val="%1)"/>
      <w:lvlJc w:val="left"/>
    </w:lvl>
  </w:abstractNum>
  <w:abstractNum w:abstractNumId="11">
    <w:nsid w:val="16EB57C2"/>
    <w:multiLevelType w:val="multilevel"/>
    <w:tmpl w:val="16EB57C2"/>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rPr>
        <w:rFonts w:hint="eastAsia" w:ascii="黑体" w:eastAsia="黑体"/>
        <w:b/>
      </w:rPr>
    </w:lvl>
    <w:lvl w:ilvl="3" w:tentative="0">
      <w:start w:val="1"/>
      <w:numFmt w:val="decimal"/>
      <w:pStyle w:val="5"/>
      <w:lvlText w:val="%1.%2.%3.%4"/>
      <w:lvlJc w:val="left"/>
      <w:pPr>
        <w:tabs>
          <w:tab w:val="left" w:pos="864"/>
        </w:tabs>
        <w:ind w:left="864" w:hanging="864"/>
      </w:pPr>
      <w:rPr>
        <w:b/>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2">
    <w:nsid w:val="1DBF583A"/>
    <w:multiLevelType w:val="multilevel"/>
    <w:tmpl w:val="1DBF583A"/>
    <w:lvl w:ilvl="0" w:tentative="0">
      <w:start w:val="1"/>
      <w:numFmt w:val="decimal"/>
      <w:pStyle w:val="9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3">
    <w:nsid w:val="1FC91163"/>
    <w:multiLevelType w:val="multilevel"/>
    <w:tmpl w:val="1FC91163"/>
    <w:lvl w:ilvl="0" w:tentative="0">
      <w:start w:val="1"/>
      <w:numFmt w:val="decimal"/>
      <w:pStyle w:val="17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6"/>
      <w:suff w:val="nothing"/>
      <w:lvlText w:val="%1.%2.%3　"/>
      <w:lvlJc w:val="left"/>
      <w:pPr>
        <w:ind w:left="0" w:firstLine="0"/>
      </w:pPr>
      <w:rPr>
        <w:rFonts w:hint="eastAsia" w:ascii="黑体" w:hAnsi="Times New Roman" w:eastAsia="黑体"/>
        <w:b w:val="0"/>
        <w:i w:val="0"/>
        <w:sz w:val="21"/>
      </w:rPr>
    </w:lvl>
    <w:lvl w:ilvl="3" w:tentative="0">
      <w:start w:val="1"/>
      <w:numFmt w:val="decimal"/>
      <w:pStyle w:val="75"/>
      <w:suff w:val="nothing"/>
      <w:lvlText w:val="%1.%2.%3.%4　"/>
      <w:lvlJc w:val="left"/>
      <w:pPr>
        <w:ind w:left="0" w:firstLine="0"/>
      </w:pPr>
      <w:rPr>
        <w:rFonts w:hint="eastAsia" w:ascii="黑体" w:hAnsi="Times New Roman" w:eastAsia="黑体"/>
        <w:b w:val="0"/>
        <w:i w:val="0"/>
        <w:sz w:val="21"/>
      </w:rPr>
    </w:lvl>
    <w:lvl w:ilvl="4" w:tentative="0">
      <w:start w:val="1"/>
      <w:numFmt w:val="decimal"/>
      <w:pStyle w:val="117"/>
      <w:suff w:val="nothing"/>
      <w:lvlText w:val="%1.%2.%3.%4.%5　"/>
      <w:lvlJc w:val="left"/>
      <w:pPr>
        <w:ind w:left="0" w:firstLine="0"/>
      </w:pPr>
      <w:rPr>
        <w:rFonts w:hint="eastAsia" w:ascii="黑体" w:hAnsi="Times New Roman" w:eastAsia="黑体"/>
        <w:b w:val="0"/>
        <w:i w:val="0"/>
        <w:sz w:val="21"/>
      </w:rPr>
    </w:lvl>
    <w:lvl w:ilvl="5" w:tentative="0">
      <w:start w:val="1"/>
      <w:numFmt w:val="decimal"/>
      <w:pStyle w:val="13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A8F7113"/>
    <w:multiLevelType w:val="multilevel"/>
    <w:tmpl w:val="2A8F7113"/>
    <w:lvl w:ilvl="0" w:tentative="0">
      <w:start w:val="1"/>
      <w:numFmt w:val="upperLetter"/>
      <w:pStyle w:val="147"/>
      <w:suff w:val="space"/>
      <w:lvlText w:val="%1"/>
      <w:lvlJc w:val="left"/>
      <w:pPr>
        <w:ind w:left="623" w:hanging="425"/>
      </w:pPr>
      <w:rPr>
        <w:rFonts w:hint="eastAsia"/>
      </w:rPr>
    </w:lvl>
    <w:lvl w:ilvl="1" w:tentative="0">
      <w:start w:val="1"/>
      <w:numFmt w:val="decimal"/>
      <w:pStyle w:val="18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C5917C3"/>
    <w:multiLevelType w:val="multilevel"/>
    <w:tmpl w:val="2C5917C3"/>
    <w:lvl w:ilvl="0" w:tentative="0">
      <w:start w:val="1"/>
      <w:numFmt w:val="none"/>
      <w:pStyle w:val="81"/>
      <w:suff w:val="nothing"/>
      <w:lvlText w:val="%1——"/>
      <w:lvlJc w:val="left"/>
      <w:pPr>
        <w:ind w:left="833" w:hanging="408"/>
      </w:pPr>
      <w:rPr>
        <w:rFonts w:hint="eastAsia"/>
      </w:rPr>
    </w:lvl>
    <w:lvl w:ilvl="1" w:tentative="0">
      <w:start w:val="1"/>
      <w:numFmt w:val="bullet"/>
      <w:pStyle w:val="187"/>
      <w:lvlText w:val=""/>
      <w:lvlJc w:val="left"/>
      <w:pPr>
        <w:tabs>
          <w:tab w:val="left" w:pos="760"/>
        </w:tabs>
        <w:ind w:left="1264" w:hanging="413"/>
      </w:pPr>
      <w:rPr>
        <w:rFonts w:hint="default" w:ascii="Symbol" w:hAnsi="Symbol"/>
        <w:color w:val="auto"/>
      </w:rPr>
    </w:lvl>
    <w:lvl w:ilvl="2" w:tentative="0">
      <w:start w:val="1"/>
      <w:numFmt w:val="bullet"/>
      <w:pStyle w:val="14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66F14CA"/>
    <w:multiLevelType w:val="singleLevel"/>
    <w:tmpl w:val="366F14CA"/>
    <w:lvl w:ilvl="0" w:tentative="0">
      <w:start w:val="1"/>
      <w:numFmt w:val="lowerLetter"/>
      <w:suff w:val="space"/>
      <w:lvlText w:val="%1)"/>
      <w:lvlJc w:val="left"/>
    </w:lvl>
  </w:abstractNum>
  <w:abstractNum w:abstractNumId="17">
    <w:nsid w:val="3D733618"/>
    <w:multiLevelType w:val="multilevel"/>
    <w:tmpl w:val="3D733618"/>
    <w:lvl w:ilvl="0" w:tentative="0">
      <w:start w:val="1"/>
      <w:numFmt w:val="decimal"/>
      <w:pStyle w:val="3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9">
    <w:nsid w:val="4B733A5F"/>
    <w:multiLevelType w:val="multilevel"/>
    <w:tmpl w:val="4B733A5F"/>
    <w:lvl w:ilvl="0" w:tentative="0">
      <w:start w:val="1"/>
      <w:numFmt w:val="decimal"/>
      <w:pStyle w:val="17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0">
    <w:nsid w:val="557C2AF5"/>
    <w:multiLevelType w:val="multilevel"/>
    <w:tmpl w:val="557C2AF5"/>
    <w:lvl w:ilvl="0" w:tentative="0">
      <w:start w:val="1"/>
      <w:numFmt w:val="decimal"/>
      <w:pStyle w:val="17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0266FC6"/>
    <w:multiLevelType w:val="multilevel"/>
    <w:tmpl w:val="60266FC6"/>
    <w:lvl w:ilvl="0" w:tentative="0">
      <w:start w:val="1"/>
      <w:numFmt w:val="upperLetter"/>
      <w:pStyle w:val="22"/>
      <w:suff w:val="space"/>
      <w:lvlText w:val="Annex %1"/>
      <w:lvlJc w:val="left"/>
      <w:pPr>
        <w:ind w:left="0" w:firstLine="0"/>
      </w:pPr>
    </w:lvl>
    <w:lvl w:ilvl="1" w:tentative="0">
      <w:start w:val="1"/>
      <w:numFmt w:val="decimal"/>
      <w:lvlText w:val="%1.%2"/>
      <w:lvlJc w:val="left"/>
      <w:pPr>
        <w:tabs>
          <w:tab w:val="left" w:pos="680"/>
        </w:tabs>
        <w:ind w:left="680" w:hanging="680"/>
      </w:pPr>
    </w:lvl>
    <w:lvl w:ilvl="2" w:tentative="0">
      <w:start w:val="1"/>
      <w:numFmt w:val="decimal"/>
      <w:pStyle w:val="138"/>
      <w:lvlText w:val="%1.%2.%3"/>
      <w:lvlJc w:val="left"/>
      <w:pPr>
        <w:tabs>
          <w:tab w:val="left" w:pos="907"/>
        </w:tabs>
        <w:ind w:left="907" w:hanging="907"/>
      </w:pPr>
    </w:lvl>
    <w:lvl w:ilvl="3" w:tentative="0">
      <w:start w:val="1"/>
      <w:numFmt w:val="decimal"/>
      <w:pStyle w:val="139"/>
      <w:lvlText w:val="%1.%2.%3.%4"/>
      <w:lvlJc w:val="left"/>
      <w:pPr>
        <w:tabs>
          <w:tab w:val="left" w:pos="1134"/>
        </w:tabs>
        <w:ind w:left="1134" w:hanging="1134"/>
      </w:pPr>
    </w:lvl>
    <w:lvl w:ilvl="4" w:tentative="0">
      <w:start w:val="1"/>
      <w:numFmt w:val="decimal"/>
      <w:pStyle w:val="189"/>
      <w:lvlText w:val="%1.%2.%3.%4.%5"/>
      <w:lvlJc w:val="left"/>
      <w:pPr>
        <w:tabs>
          <w:tab w:val="left" w:pos="1361"/>
        </w:tabs>
        <w:ind w:left="1361" w:hanging="1361"/>
      </w:pPr>
    </w:lvl>
    <w:lvl w:ilvl="5" w:tentative="0">
      <w:start w:val="1"/>
      <w:numFmt w:val="decimal"/>
      <w:pStyle w:val="157"/>
      <w:lvlText w:val="%1.%2.%3.%4.%5.%6"/>
      <w:lvlJc w:val="left"/>
      <w:pPr>
        <w:tabs>
          <w:tab w:val="left" w:pos="1588"/>
        </w:tabs>
        <w:ind w:left="1588" w:hanging="1588"/>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22">
    <w:nsid w:val="60B55DC2"/>
    <w:multiLevelType w:val="multilevel"/>
    <w:tmpl w:val="60B55DC2"/>
    <w:lvl w:ilvl="0" w:tentative="0">
      <w:start w:val="1"/>
      <w:numFmt w:val="upperLetter"/>
      <w:pStyle w:val="198"/>
      <w:lvlText w:val="%1"/>
      <w:lvlJc w:val="left"/>
      <w:pPr>
        <w:tabs>
          <w:tab w:val="left" w:pos="0"/>
        </w:tabs>
        <w:ind w:left="0" w:hanging="425"/>
      </w:pPr>
      <w:rPr>
        <w:rFonts w:hint="eastAsia"/>
      </w:rPr>
    </w:lvl>
    <w:lvl w:ilvl="1" w:tentative="0">
      <w:start w:val="1"/>
      <w:numFmt w:val="decimal"/>
      <w:pStyle w:val="16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3">
    <w:nsid w:val="646260FA"/>
    <w:multiLevelType w:val="multilevel"/>
    <w:tmpl w:val="646260FA"/>
    <w:lvl w:ilvl="0" w:tentative="0">
      <w:start w:val="1"/>
      <w:numFmt w:val="decimal"/>
      <w:pStyle w:val="16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57D3FBC"/>
    <w:multiLevelType w:val="multilevel"/>
    <w:tmpl w:val="657D3FBC"/>
    <w:lvl w:ilvl="0" w:tentative="0">
      <w:start w:val="1"/>
      <w:numFmt w:val="upperLetter"/>
      <w:pStyle w:val="18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99"/>
      <w:suff w:val="nothing"/>
      <w:lvlText w:val="%1.%2.%3.%4　"/>
      <w:lvlJc w:val="left"/>
      <w:pPr>
        <w:ind w:left="0" w:firstLine="0"/>
      </w:pPr>
      <w:rPr>
        <w:rFonts w:hint="eastAsia" w:ascii="黑体" w:hAnsi="Times New Roman" w:eastAsia="黑体"/>
        <w:b w:val="0"/>
        <w:i w:val="0"/>
        <w:sz w:val="21"/>
      </w:rPr>
    </w:lvl>
    <w:lvl w:ilvl="4" w:tentative="0">
      <w:start w:val="1"/>
      <w:numFmt w:val="decimal"/>
      <w:pStyle w:val="120"/>
      <w:suff w:val="nothing"/>
      <w:lvlText w:val="%1.%2.%3.%4.%5　"/>
      <w:lvlJc w:val="left"/>
      <w:pPr>
        <w:ind w:left="0" w:firstLine="0"/>
      </w:pPr>
      <w:rPr>
        <w:rFonts w:hint="eastAsia" w:ascii="黑体" w:hAnsi="Times New Roman" w:eastAsia="黑体"/>
        <w:b w:val="0"/>
        <w:i w:val="0"/>
        <w:sz w:val="21"/>
      </w:rPr>
    </w:lvl>
    <w:lvl w:ilvl="5" w:tentative="0">
      <w:start w:val="1"/>
      <w:numFmt w:val="decimal"/>
      <w:pStyle w:val="134"/>
      <w:suff w:val="nothing"/>
      <w:lvlText w:val="%1.%2.%3.%4.%5.%6　"/>
      <w:lvlJc w:val="left"/>
      <w:pPr>
        <w:ind w:left="0" w:firstLine="0"/>
      </w:pPr>
      <w:rPr>
        <w:rFonts w:hint="eastAsia" w:ascii="黑体" w:hAnsi="Times New Roman" w:eastAsia="黑体"/>
        <w:b w:val="0"/>
        <w:i w:val="0"/>
        <w:sz w:val="21"/>
      </w:rPr>
    </w:lvl>
    <w:lvl w:ilvl="6" w:tentative="0">
      <w:start w:val="1"/>
      <w:numFmt w:val="decimal"/>
      <w:pStyle w:val="19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D6C07CD"/>
    <w:multiLevelType w:val="multilevel"/>
    <w:tmpl w:val="6D6C07CD"/>
    <w:lvl w:ilvl="0" w:tentative="0">
      <w:start w:val="1"/>
      <w:numFmt w:val="lowerLetter"/>
      <w:pStyle w:val="154"/>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6">
    <w:nsid w:val="6DBF04F4"/>
    <w:multiLevelType w:val="multilevel"/>
    <w:tmpl w:val="6DBF04F4"/>
    <w:lvl w:ilvl="0" w:tentative="0">
      <w:start w:val="1"/>
      <w:numFmt w:val="none"/>
      <w:pStyle w:val="11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7">
    <w:nsid w:val="7142C6D4"/>
    <w:multiLevelType w:val="singleLevel"/>
    <w:tmpl w:val="7142C6D4"/>
    <w:lvl w:ilvl="0" w:tentative="0">
      <w:start w:val="1"/>
      <w:numFmt w:val="lowerLetter"/>
      <w:suff w:val="space"/>
      <w:lvlText w:val="%1)"/>
      <w:lvlJc w:val="left"/>
    </w:lvl>
  </w:abstractNum>
  <w:abstractNum w:abstractNumId="28">
    <w:nsid w:val="761444B2"/>
    <w:multiLevelType w:val="singleLevel"/>
    <w:tmpl w:val="761444B2"/>
    <w:lvl w:ilvl="0" w:tentative="0">
      <w:start w:val="1"/>
      <w:numFmt w:val="lowerLetter"/>
      <w:suff w:val="space"/>
      <w:lvlText w:val="%1)"/>
      <w:lvlJc w:val="left"/>
    </w:lvl>
  </w:abstractNum>
  <w:num w:numId="1">
    <w:abstractNumId w:val="11"/>
  </w:num>
  <w:num w:numId="2">
    <w:abstractNumId w:val="21"/>
  </w:num>
  <w:num w:numId="3">
    <w:abstractNumId w:val="17"/>
  </w:num>
  <w:num w:numId="4">
    <w:abstractNumId w:val="18"/>
  </w:num>
  <w:num w:numId="5">
    <w:abstractNumId w:val="13"/>
  </w:num>
  <w:num w:numId="6">
    <w:abstractNumId w:val="15"/>
  </w:num>
  <w:num w:numId="7">
    <w:abstractNumId w:val="7"/>
  </w:num>
  <w:num w:numId="8">
    <w:abstractNumId w:val="25"/>
  </w:num>
  <w:num w:numId="9">
    <w:abstractNumId w:val="12"/>
  </w:num>
  <w:num w:numId="10">
    <w:abstractNumId w:val="24"/>
  </w:num>
  <w:num w:numId="11">
    <w:abstractNumId w:val="5"/>
  </w:num>
  <w:num w:numId="12">
    <w:abstractNumId w:val="26"/>
  </w:num>
  <w:num w:numId="13">
    <w:abstractNumId w:val="9"/>
  </w:num>
  <w:num w:numId="14">
    <w:abstractNumId w:val="14"/>
  </w:num>
  <w:num w:numId="15">
    <w:abstractNumId w:val="22"/>
  </w:num>
  <w:num w:numId="16">
    <w:abstractNumId w:val="23"/>
  </w:num>
  <w:num w:numId="17">
    <w:abstractNumId w:val="20"/>
  </w:num>
  <w:num w:numId="18">
    <w:abstractNumId w:val="19"/>
  </w:num>
  <w:num w:numId="19">
    <w:abstractNumId w:val="8"/>
  </w:num>
  <w:num w:numId="20">
    <w:abstractNumId w:val="0"/>
  </w:num>
  <w:num w:numId="21">
    <w:abstractNumId w:val="3"/>
  </w:num>
  <w:num w:numId="22">
    <w:abstractNumId w:val="6"/>
  </w:num>
  <w:num w:numId="23">
    <w:abstractNumId w:val="27"/>
  </w:num>
  <w:num w:numId="24">
    <w:abstractNumId w:val="10"/>
  </w:num>
  <w:num w:numId="25">
    <w:abstractNumId w:val="4"/>
  </w:num>
  <w:num w:numId="26">
    <w:abstractNumId w:val="2"/>
  </w:num>
  <w:num w:numId="27">
    <w:abstractNumId w:val="16"/>
  </w:num>
  <w:num w:numId="28">
    <w:abstractNumId w:val="2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mNTA5MmZkMDQ5NTJhMGZkYzAxN2U2NGNmOWFhYjEifQ=="/>
  </w:docVars>
  <w:rsids>
    <w:rsidRoot w:val="00035925"/>
    <w:rsid w:val="00000244"/>
    <w:rsid w:val="0000185F"/>
    <w:rsid w:val="0000586F"/>
    <w:rsid w:val="00006D61"/>
    <w:rsid w:val="00006DE9"/>
    <w:rsid w:val="000109F7"/>
    <w:rsid w:val="00013D86"/>
    <w:rsid w:val="00013E02"/>
    <w:rsid w:val="00013F0C"/>
    <w:rsid w:val="0001728E"/>
    <w:rsid w:val="00020A12"/>
    <w:rsid w:val="0002143C"/>
    <w:rsid w:val="00025A65"/>
    <w:rsid w:val="00025FCC"/>
    <w:rsid w:val="00026C31"/>
    <w:rsid w:val="00027280"/>
    <w:rsid w:val="00030444"/>
    <w:rsid w:val="000320A7"/>
    <w:rsid w:val="00034B13"/>
    <w:rsid w:val="00035925"/>
    <w:rsid w:val="00036E3F"/>
    <w:rsid w:val="00042354"/>
    <w:rsid w:val="00042BE1"/>
    <w:rsid w:val="00043C6B"/>
    <w:rsid w:val="000444CB"/>
    <w:rsid w:val="00047B50"/>
    <w:rsid w:val="00052895"/>
    <w:rsid w:val="00054675"/>
    <w:rsid w:val="000563A3"/>
    <w:rsid w:val="00056CD7"/>
    <w:rsid w:val="00063AAD"/>
    <w:rsid w:val="00067CDF"/>
    <w:rsid w:val="00074FBE"/>
    <w:rsid w:val="000767F4"/>
    <w:rsid w:val="00077852"/>
    <w:rsid w:val="000807EA"/>
    <w:rsid w:val="000820D5"/>
    <w:rsid w:val="00083A09"/>
    <w:rsid w:val="00083F71"/>
    <w:rsid w:val="00084659"/>
    <w:rsid w:val="0008534E"/>
    <w:rsid w:val="0008598D"/>
    <w:rsid w:val="0009005E"/>
    <w:rsid w:val="000900A6"/>
    <w:rsid w:val="000904D4"/>
    <w:rsid w:val="00090967"/>
    <w:rsid w:val="00091425"/>
    <w:rsid w:val="00092857"/>
    <w:rsid w:val="00092D02"/>
    <w:rsid w:val="00093465"/>
    <w:rsid w:val="000953C5"/>
    <w:rsid w:val="0009656A"/>
    <w:rsid w:val="00096F21"/>
    <w:rsid w:val="000A20A9"/>
    <w:rsid w:val="000A28ED"/>
    <w:rsid w:val="000A48B1"/>
    <w:rsid w:val="000A5A62"/>
    <w:rsid w:val="000A5CAD"/>
    <w:rsid w:val="000A795D"/>
    <w:rsid w:val="000B0041"/>
    <w:rsid w:val="000B3143"/>
    <w:rsid w:val="000B5CD0"/>
    <w:rsid w:val="000B61DA"/>
    <w:rsid w:val="000B6BF7"/>
    <w:rsid w:val="000C13A4"/>
    <w:rsid w:val="000C1C49"/>
    <w:rsid w:val="000C1DE6"/>
    <w:rsid w:val="000C32B4"/>
    <w:rsid w:val="000C5F10"/>
    <w:rsid w:val="000C671D"/>
    <w:rsid w:val="000C6B05"/>
    <w:rsid w:val="000C6DD6"/>
    <w:rsid w:val="000C73D4"/>
    <w:rsid w:val="000D3D4C"/>
    <w:rsid w:val="000D4F51"/>
    <w:rsid w:val="000D567D"/>
    <w:rsid w:val="000D718B"/>
    <w:rsid w:val="000E0C46"/>
    <w:rsid w:val="000E21E7"/>
    <w:rsid w:val="000E38A0"/>
    <w:rsid w:val="000E4BA8"/>
    <w:rsid w:val="000E5C81"/>
    <w:rsid w:val="000E6739"/>
    <w:rsid w:val="000F030C"/>
    <w:rsid w:val="000F129C"/>
    <w:rsid w:val="000F6B45"/>
    <w:rsid w:val="000F7C12"/>
    <w:rsid w:val="000F7FE0"/>
    <w:rsid w:val="0010276D"/>
    <w:rsid w:val="00104513"/>
    <w:rsid w:val="00104FC4"/>
    <w:rsid w:val="001056DE"/>
    <w:rsid w:val="00106199"/>
    <w:rsid w:val="00106EE4"/>
    <w:rsid w:val="0011114F"/>
    <w:rsid w:val="001124C0"/>
    <w:rsid w:val="0011281F"/>
    <w:rsid w:val="0011372D"/>
    <w:rsid w:val="0011522B"/>
    <w:rsid w:val="00115E52"/>
    <w:rsid w:val="0012018F"/>
    <w:rsid w:val="001207AC"/>
    <w:rsid w:val="00125360"/>
    <w:rsid w:val="0012736D"/>
    <w:rsid w:val="00130E5F"/>
    <w:rsid w:val="0013175F"/>
    <w:rsid w:val="00132DB7"/>
    <w:rsid w:val="001331FA"/>
    <w:rsid w:val="001353F6"/>
    <w:rsid w:val="001356A0"/>
    <w:rsid w:val="00136FA4"/>
    <w:rsid w:val="00136FA9"/>
    <w:rsid w:val="00137A3A"/>
    <w:rsid w:val="001414F5"/>
    <w:rsid w:val="00141628"/>
    <w:rsid w:val="00144561"/>
    <w:rsid w:val="00145F46"/>
    <w:rsid w:val="00146396"/>
    <w:rsid w:val="00150ACE"/>
    <w:rsid w:val="001512B4"/>
    <w:rsid w:val="00151F0A"/>
    <w:rsid w:val="001534FD"/>
    <w:rsid w:val="00155B15"/>
    <w:rsid w:val="00160FB1"/>
    <w:rsid w:val="001620A5"/>
    <w:rsid w:val="00164E53"/>
    <w:rsid w:val="001661B7"/>
    <w:rsid w:val="0016699D"/>
    <w:rsid w:val="00170ED0"/>
    <w:rsid w:val="00171ABA"/>
    <w:rsid w:val="00174903"/>
    <w:rsid w:val="00175159"/>
    <w:rsid w:val="00176208"/>
    <w:rsid w:val="00176A21"/>
    <w:rsid w:val="0018211B"/>
    <w:rsid w:val="001840D3"/>
    <w:rsid w:val="00185858"/>
    <w:rsid w:val="001900F8"/>
    <w:rsid w:val="00190944"/>
    <w:rsid w:val="00191258"/>
    <w:rsid w:val="00191899"/>
    <w:rsid w:val="00192680"/>
    <w:rsid w:val="00193037"/>
    <w:rsid w:val="00193A2C"/>
    <w:rsid w:val="001952CB"/>
    <w:rsid w:val="00195C95"/>
    <w:rsid w:val="00196C0C"/>
    <w:rsid w:val="001A0ECA"/>
    <w:rsid w:val="001A1701"/>
    <w:rsid w:val="001A1889"/>
    <w:rsid w:val="001A288E"/>
    <w:rsid w:val="001A70C9"/>
    <w:rsid w:val="001B042A"/>
    <w:rsid w:val="001B4748"/>
    <w:rsid w:val="001B48B0"/>
    <w:rsid w:val="001B4CB7"/>
    <w:rsid w:val="001B6DC2"/>
    <w:rsid w:val="001B7F71"/>
    <w:rsid w:val="001C149C"/>
    <w:rsid w:val="001C21AC"/>
    <w:rsid w:val="001C47BA"/>
    <w:rsid w:val="001C59EA"/>
    <w:rsid w:val="001D138A"/>
    <w:rsid w:val="001D406C"/>
    <w:rsid w:val="001D41EE"/>
    <w:rsid w:val="001D70AA"/>
    <w:rsid w:val="001E0380"/>
    <w:rsid w:val="001E03FD"/>
    <w:rsid w:val="001E13B1"/>
    <w:rsid w:val="001E375C"/>
    <w:rsid w:val="001E3CE1"/>
    <w:rsid w:val="001E7C70"/>
    <w:rsid w:val="001F1711"/>
    <w:rsid w:val="001F3A19"/>
    <w:rsid w:val="001F4236"/>
    <w:rsid w:val="00201347"/>
    <w:rsid w:val="00202EFF"/>
    <w:rsid w:val="00204D2E"/>
    <w:rsid w:val="0020792B"/>
    <w:rsid w:val="0021703C"/>
    <w:rsid w:val="00230EA8"/>
    <w:rsid w:val="002331E0"/>
    <w:rsid w:val="00234467"/>
    <w:rsid w:val="0023505E"/>
    <w:rsid w:val="0023728A"/>
    <w:rsid w:val="00237D8D"/>
    <w:rsid w:val="00241DA2"/>
    <w:rsid w:val="002428F4"/>
    <w:rsid w:val="0024348A"/>
    <w:rsid w:val="0024604F"/>
    <w:rsid w:val="00247FEE"/>
    <w:rsid w:val="00250E7D"/>
    <w:rsid w:val="002532A1"/>
    <w:rsid w:val="00254F3A"/>
    <w:rsid w:val="002565D5"/>
    <w:rsid w:val="002616B2"/>
    <w:rsid w:val="002622C0"/>
    <w:rsid w:val="0026305C"/>
    <w:rsid w:val="0026327D"/>
    <w:rsid w:val="002658FE"/>
    <w:rsid w:val="002668C8"/>
    <w:rsid w:val="00271D48"/>
    <w:rsid w:val="00273200"/>
    <w:rsid w:val="002755F5"/>
    <w:rsid w:val="0027609E"/>
    <w:rsid w:val="00276D39"/>
    <w:rsid w:val="0027771A"/>
    <w:rsid w:val="002778AE"/>
    <w:rsid w:val="002809EF"/>
    <w:rsid w:val="0028269A"/>
    <w:rsid w:val="00282EEE"/>
    <w:rsid w:val="00283590"/>
    <w:rsid w:val="00284A76"/>
    <w:rsid w:val="00284EE8"/>
    <w:rsid w:val="00285D2C"/>
    <w:rsid w:val="00286973"/>
    <w:rsid w:val="00290DF4"/>
    <w:rsid w:val="002923AB"/>
    <w:rsid w:val="002925E4"/>
    <w:rsid w:val="0029308A"/>
    <w:rsid w:val="0029447B"/>
    <w:rsid w:val="00294E70"/>
    <w:rsid w:val="00297E8A"/>
    <w:rsid w:val="002A0759"/>
    <w:rsid w:val="002A0AA9"/>
    <w:rsid w:val="002A1924"/>
    <w:rsid w:val="002A2428"/>
    <w:rsid w:val="002A56BD"/>
    <w:rsid w:val="002A7420"/>
    <w:rsid w:val="002A7BD9"/>
    <w:rsid w:val="002A7E10"/>
    <w:rsid w:val="002B0558"/>
    <w:rsid w:val="002B0F12"/>
    <w:rsid w:val="002B1308"/>
    <w:rsid w:val="002B4554"/>
    <w:rsid w:val="002B5D04"/>
    <w:rsid w:val="002B6F6E"/>
    <w:rsid w:val="002B7137"/>
    <w:rsid w:val="002C0A52"/>
    <w:rsid w:val="002C376E"/>
    <w:rsid w:val="002C72D8"/>
    <w:rsid w:val="002D11FA"/>
    <w:rsid w:val="002D19F4"/>
    <w:rsid w:val="002D5127"/>
    <w:rsid w:val="002D5554"/>
    <w:rsid w:val="002D67FE"/>
    <w:rsid w:val="002E0DDF"/>
    <w:rsid w:val="002E2906"/>
    <w:rsid w:val="002E5635"/>
    <w:rsid w:val="002E64C3"/>
    <w:rsid w:val="002E6A2C"/>
    <w:rsid w:val="002E7A41"/>
    <w:rsid w:val="002F0A97"/>
    <w:rsid w:val="002F1D8C"/>
    <w:rsid w:val="002F21DA"/>
    <w:rsid w:val="002F5A0E"/>
    <w:rsid w:val="002F7A26"/>
    <w:rsid w:val="00301F39"/>
    <w:rsid w:val="0030648A"/>
    <w:rsid w:val="00315E1A"/>
    <w:rsid w:val="003162BA"/>
    <w:rsid w:val="0031732F"/>
    <w:rsid w:val="00317EB5"/>
    <w:rsid w:val="00321EA7"/>
    <w:rsid w:val="00322FEC"/>
    <w:rsid w:val="0032408C"/>
    <w:rsid w:val="0032543C"/>
    <w:rsid w:val="00325926"/>
    <w:rsid w:val="00326280"/>
    <w:rsid w:val="00327A8A"/>
    <w:rsid w:val="0033092F"/>
    <w:rsid w:val="00332B7A"/>
    <w:rsid w:val="00332F9A"/>
    <w:rsid w:val="0033646E"/>
    <w:rsid w:val="0033647F"/>
    <w:rsid w:val="00336610"/>
    <w:rsid w:val="0034248A"/>
    <w:rsid w:val="003431DA"/>
    <w:rsid w:val="00343F73"/>
    <w:rsid w:val="00344A10"/>
    <w:rsid w:val="00345060"/>
    <w:rsid w:val="00345579"/>
    <w:rsid w:val="00351E34"/>
    <w:rsid w:val="00352102"/>
    <w:rsid w:val="003529AE"/>
    <w:rsid w:val="0035323B"/>
    <w:rsid w:val="00354969"/>
    <w:rsid w:val="00357184"/>
    <w:rsid w:val="003609D2"/>
    <w:rsid w:val="003621E3"/>
    <w:rsid w:val="00363F22"/>
    <w:rsid w:val="00367CFB"/>
    <w:rsid w:val="00372985"/>
    <w:rsid w:val="00375564"/>
    <w:rsid w:val="00383191"/>
    <w:rsid w:val="00386DED"/>
    <w:rsid w:val="003912E7"/>
    <w:rsid w:val="0039171A"/>
    <w:rsid w:val="00393947"/>
    <w:rsid w:val="00393E11"/>
    <w:rsid w:val="00393FA4"/>
    <w:rsid w:val="00395E17"/>
    <w:rsid w:val="00396F8B"/>
    <w:rsid w:val="003A0385"/>
    <w:rsid w:val="003A2275"/>
    <w:rsid w:val="003A39C4"/>
    <w:rsid w:val="003A3A1F"/>
    <w:rsid w:val="003A69F4"/>
    <w:rsid w:val="003A6A4F"/>
    <w:rsid w:val="003A7088"/>
    <w:rsid w:val="003A7805"/>
    <w:rsid w:val="003B00DF"/>
    <w:rsid w:val="003B033B"/>
    <w:rsid w:val="003B0541"/>
    <w:rsid w:val="003B1275"/>
    <w:rsid w:val="003B1778"/>
    <w:rsid w:val="003B1AC2"/>
    <w:rsid w:val="003B3CF9"/>
    <w:rsid w:val="003B5DAE"/>
    <w:rsid w:val="003C11CB"/>
    <w:rsid w:val="003C2503"/>
    <w:rsid w:val="003C5492"/>
    <w:rsid w:val="003C5C70"/>
    <w:rsid w:val="003C6BDF"/>
    <w:rsid w:val="003C74E7"/>
    <w:rsid w:val="003C75F3"/>
    <w:rsid w:val="003C78A3"/>
    <w:rsid w:val="003C7C14"/>
    <w:rsid w:val="003D0E7B"/>
    <w:rsid w:val="003D1785"/>
    <w:rsid w:val="003D523B"/>
    <w:rsid w:val="003D6A13"/>
    <w:rsid w:val="003E1867"/>
    <w:rsid w:val="003E1E52"/>
    <w:rsid w:val="003E32FA"/>
    <w:rsid w:val="003E4F9C"/>
    <w:rsid w:val="003E5729"/>
    <w:rsid w:val="003E58C9"/>
    <w:rsid w:val="003F0110"/>
    <w:rsid w:val="003F0907"/>
    <w:rsid w:val="003F0B6D"/>
    <w:rsid w:val="003F4EE0"/>
    <w:rsid w:val="003F504F"/>
    <w:rsid w:val="003F6271"/>
    <w:rsid w:val="004015C8"/>
    <w:rsid w:val="00401C11"/>
    <w:rsid w:val="00402153"/>
    <w:rsid w:val="00402E06"/>
    <w:rsid w:val="00402FC1"/>
    <w:rsid w:val="00405EBF"/>
    <w:rsid w:val="00406451"/>
    <w:rsid w:val="00417B62"/>
    <w:rsid w:val="00425082"/>
    <w:rsid w:val="004251EA"/>
    <w:rsid w:val="00426306"/>
    <w:rsid w:val="00426836"/>
    <w:rsid w:val="00427C34"/>
    <w:rsid w:val="00431A34"/>
    <w:rsid w:val="00431DEB"/>
    <w:rsid w:val="00432CC9"/>
    <w:rsid w:val="00434E9C"/>
    <w:rsid w:val="004368F0"/>
    <w:rsid w:val="004371AA"/>
    <w:rsid w:val="00437337"/>
    <w:rsid w:val="00442753"/>
    <w:rsid w:val="00443A1A"/>
    <w:rsid w:val="004449FD"/>
    <w:rsid w:val="00445CF1"/>
    <w:rsid w:val="00446B29"/>
    <w:rsid w:val="004529E7"/>
    <w:rsid w:val="00453F9A"/>
    <w:rsid w:val="0045425D"/>
    <w:rsid w:val="00457BF1"/>
    <w:rsid w:val="00460E90"/>
    <w:rsid w:val="00461BC2"/>
    <w:rsid w:val="00465D69"/>
    <w:rsid w:val="004666DB"/>
    <w:rsid w:val="004708A0"/>
    <w:rsid w:val="00471E91"/>
    <w:rsid w:val="00474675"/>
    <w:rsid w:val="0047470C"/>
    <w:rsid w:val="004859DF"/>
    <w:rsid w:val="00485E6A"/>
    <w:rsid w:val="0049419D"/>
    <w:rsid w:val="004963B4"/>
    <w:rsid w:val="00497A52"/>
    <w:rsid w:val="004A35F9"/>
    <w:rsid w:val="004B0B45"/>
    <w:rsid w:val="004B19EA"/>
    <w:rsid w:val="004B24C1"/>
    <w:rsid w:val="004B2EFC"/>
    <w:rsid w:val="004B682E"/>
    <w:rsid w:val="004C292F"/>
    <w:rsid w:val="004C48D9"/>
    <w:rsid w:val="004C76BB"/>
    <w:rsid w:val="004D1AA5"/>
    <w:rsid w:val="004D3B50"/>
    <w:rsid w:val="004D6CD4"/>
    <w:rsid w:val="004D7AA7"/>
    <w:rsid w:val="004E674C"/>
    <w:rsid w:val="004E7A18"/>
    <w:rsid w:val="00500A8D"/>
    <w:rsid w:val="00500FB8"/>
    <w:rsid w:val="0050266C"/>
    <w:rsid w:val="0050480A"/>
    <w:rsid w:val="0050604C"/>
    <w:rsid w:val="00507348"/>
    <w:rsid w:val="00507EED"/>
    <w:rsid w:val="00510280"/>
    <w:rsid w:val="005107AC"/>
    <w:rsid w:val="00511C44"/>
    <w:rsid w:val="00513D73"/>
    <w:rsid w:val="00514A43"/>
    <w:rsid w:val="00517290"/>
    <w:rsid w:val="005174E5"/>
    <w:rsid w:val="0052143E"/>
    <w:rsid w:val="00522393"/>
    <w:rsid w:val="00522620"/>
    <w:rsid w:val="00523B5A"/>
    <w:rsid w:val="0052404A"/>
    <w:rsid w:val="00524211"/>
    <w:rsid w:val="00525583"/>
    <w:rsid w:val="00525656"/>
    <w:rsid w:val="00525944"/>
    <w:rsid w:val="00527890"/>
    <w:rsid w:val="00530375"/>
    <w:rsid w:val="00534C02"/>
    <w:rsid w:val="0053735D"/>
    <w:rsid w:val="00537ABF"/>
    <w:rsid w:val="00537EE6"/>
    <w:rsid w:val="00541CE1"/>
    <w:rsid w:val="0054264B"/>
    <w:rsid w:val="00543282"/>
    <w:rsid w:val="00543786"/>
    <w:rsid w:val="0054611C"/>
    <w:rsid w:val="00550E6B"/>
    <w:rsid w:val="005533D7"/>
    <w:rsid w:val="005535D0"/>
    <w:rsid w:val="00554814"/>
    <w:rsid w:val="0055753C"/>
    <w:rsid w:val="00560233"/>
    <w:rsid w:val="00560C13"/>
    <w:rsid w:val="00562E14"/>
    <w:rsid w:val="00563CBD"/>
    <w:rsid w:val="005703DE"/>
    <w:rsid w:val="0057340B"/>
    <w:rsid w:val="00573AEF"/>
    <w:rsid w:val="00575016"/>
    <w:rsid w:val="00580841"/>
    <w:rsid w:val="0058298E"/>
    <w:rsid w:val="0058360C"/>
    <w:rsid w:val="005838B2"/>
    <w:rsid w:val="0058464E"/>
    <w:rsid w:val="005860BC"/>
    <w:rsid w:val="005867CD"/>
    <w:rsid w:val="00587CA9"/>
    <w:rsid w:val="005935E3"/>
    <w:rsid w:val="00594758"/>
    <w:rsid w:val="0059489A"/>
    <w:rsid w:val="0059630F"/>
    <w:rsid w:val="00596D58"/>
    <w:rsid w:val="005972B2"/>
    <w:rsid w:val="005A01CB"/>
    <w:rsid w:val="005A182E"/>
    <w:rsid w:val="005A1D86"/>
    <w:rsid w:val="005A272A"/>
    <w:rsid w:val="005A4803"/>
    <w:rsid w:val="005A53E3"/>
    <w:rsid w:val="005A58FF"/>
    <w:rsid w:val="005A5EAF"/>
    <w:rsid w:val="005A611E"/>
    <w:rsid w:val="005A64C0"/>
    <w:rsid w:val="005A75C8"/>
    <w:rsid w:val="005A7A73"/>
    <w:rsid w:val="005B3C11"/>
    <w:rsid w:val="005B5C05"/>
    <w:rsid w:val="005B6E7F"/>
    <w:rsid w:val="005B772E"/>
    <w:rsid w:val="005C1C28"/>
    <w:rsid w:val="005C547E"/>
    <w:rsid w:val="005C6DB5"/>
    <w:rsid w:val="005D369A"/>
    <w:rsid w:val="005D4150"/>
    <w:rsid w:val="005D6994"/>
    <w:rsid w:val="005D7D97"/>
    <w:rsid w:val="005E19BC"/>
    <w:rsid w:val="005E19E7"/>
    <w:rsid w:val="005E5BD3"/>
    <w:rsid w:val="005E6233"/>
    <w:rsid w:val="005E6FCE"/>
    <w:rsid w:val="005E7880"/>
    <w:rsid w:val="005F4BE9"/>
    <w:rsid w:val="005F713A"/>
    <w:rsid w:val="00600873"/>
    <w:rsid w:val="00600DE1"/>
    <w:rsid w:val="00606682"/>
    <w:rsid w:val="00606BA5"/>
    <w:rsid w:val="006128D9"/>
    <w:rsid w:val="00613500"/>
    <w:rsid w:val="0061716C"/>
    <w:rsid w:val="006179C4"/>
    <w:rsid w:val="0062018D"/>
    <w:rsid w:val="00620756"/>
    <w:rsid w:val="006221B6"/>
    <w:rsid w:val="00623004"/>
    <w:rsid w:val="006243A1"/>
    <w:rsid w:val="00627B41"/>
    <w:rsid w:val="00630A4B"/>
    <w:rsid w:val="00632E56"/>
    <w:rsid w:val="00633493"/>
    <w:rsid w:val="00633CEA"/>
    <w:rsid w:val="00634C3C"/>
    <w:rsid w:val="00635CBA"/>
    <w:rsid w:val="00636AB5"/>
    <w:rsid w:val="00640C7B"/>
    <w:rsid w:val="0064338B"/>
    <w:rsid w:val="0064382E"/>
    <w:rsid w:val="00645EF8"/>
    <w:rsid w:val="00646542"/>
    <w:rsid w:val="00647D8B"/>
    <w:rsid w:val="006504F4"/>
    <w:rsid w:val="00651F89"/>
    <w:rsid w:val="00654B77"/>
    <w:rsid w:val="00654BC9"/>
    <w:rsid w:val="00654DF1"/>
    <w:rsid w:val="0065516F"/>
    <w:rsid w:val="006552FD"/>
    <w:rsid w:val="00657018"/>
    <w:rsid w:val="006577E7"/>
    <w:rsid w:val="00660ABF"/>
    <w:rsid w:val="00662FB0"/>
    <w:rsid w:val="0066378D"/>
    <w:rsid w:val="00663AF3"/>
    <w:rsid w:val="00666B6C"/>
    <w:rsid w:val="0066774B"/>
    <w:rsid w:val="00672340"/>
    <w:rsid w:val="006750A6"/>
    <w:rsid w:val="00675189"/>
    <w:rsid w:val="00677DC7"/>
    <w:rsid w:val="00682682"/>
    <w:rsid w:val="00682702"/>
    <w:rsid w:val="00683F12"/>
    <w:rsid w:val="006844A7"/>
    <w:rsid w:val="006876D5"/>
    <w:rsid w:val="00692368"/>
    <w:rsid w:val="0069302E"/>
    <w:rsid w:val="00696372"/>
    <w:rsid w:val="006A2590"/>
    <w:rsid w:val="006A2EBC"/>
    <w:rsid w:val="006A5EA0"/>
    <w:rsid w:val="006A783B"/>
    <w:rsid w:val="006A7B33"/>
    <w:rsid w:val="006B1EE0"/>
    <w:rsid w:val="006B293F"/>
    <w:rsid w:val="006B4E13"/>
    <w:rsid w:val="006B611F"/>
    <w:rsid w:val="006B63C8"/>
    <w:rsid w:val="006B75DD"/>
    <w:rsid w:val="006B791D"/>
    <w:rsid w:val="006C4CDA"/>
    <w:rsid w:val="006C67E0"/>
    <w:rsid w:val="006C7ABA"/>
    <w:rsid w:val="006D05A3"/>
    <w:rsid w:val="006D0D60"/>
    <w:rsid w:val="006D1122"/>
    <w:rsid w:val="006D1324"/>
    <w:rsid w:val="006D3C00"/>
    <w:rsid w:val="006D3E6E"/>
    <w:rsid w:val="006D4BE9"/>
    <w:rsid w:val="006D53C8"/>
    <w:rsid w:val="006D57E1"/>
    <w:rsid w:val="006D6EC6"/>
    <w:rsid w:val="006D79D3"/>
    <w:rsid w:val="006E06BA"/>
    <w:rsid w:val="006E2884"/>
    <w:rsid w:val="006E3675"/>
    <w:rsid w:val="006E3DE7"/>
    <w:rsid w:val="006E4976"/>
    <w:rsid w:val="006E4A7F"/>
    <w:rsid w:val="007044E9"/>
    <w:rsid w:val="00704DF6"/>
    <w:rsid w:val="0070651C"/>
    <w:rsid w:val="00712D39"/>
    <w:rsid w:val="007132A3"/>
    <w:rsid w:val="00713EE4"/>
    <w:rsid w:val="007162A6"/>
    <w:rsid w:val="00716421"/>
    <w:rsid w:val="00717BE2"/>
    <w:rsid w:val="00720A55"/>
    <w:rsid w:val="00720D82"/>
    <w:rsid w:val="00724EFB"/>
    <w:rsid w:val="00730F34"/>
    <w:rsid w:val="007319A4"/>
    <w:rsid w:val="00734654"/>
    <w:rsid w:val="00735D45"/>
    <w:rsid w:val="0074133D"/>
    <w:rsid w:val="00741737"/>
    <w:rsid w:val="007419C3"/>
    <w:rsid w:val="007451E6"/>
    <w:rsid w:val="007467A7"/>
    <w:rsid w:val="007469DD"/>
    <w:rsid w:val="0074741B"/>
    <w:rsid w:val="0074759E"/>
    <w:rsid w:val="007475FE"/>
    <w:rsid w:val="007478EA"/>
    <w:rsid w:val="00751576"/>
    <w:rsid w:val="00751AC3"/>
    <w:rsid w:val="007524CD"/>
    <w:rsid w:val="0075338F"/>
    <w:rsid w:val="0075415C"/>
    <w:rsid w:val="007546F2"/>
    <w:rsid w:val="00761C13"/>
    <w:rsid w:val="00763502"/>
    <w:rsid w:val="007637B2"/>
    <w:rsid w:val="0076652A"/>
    <w:rsid w:val="007731F1"/>
    <w:rsid w:val="00773C45"/>
    <w:rsid w:val="007755CE"/>
    <w:rsid w:val="00776F75"/>
    <w:rsid w:val="00777177"/>
    <w:rsid w:val="0078145F"/>
    <w:rsid w:val="007815CA"/>
    <w:rsid w:val="0078297F"/>
    <w:rsid w:val="0078426A"/>
    <w:rsid w:val="00784DCA"/>
    <w:rsid w:val="007913AB"/>
    <w:rsid w:val="007914F7"/>
    <w:rsid w:val="00796D74"/>
    <w:rsid w:val="00796FA4"/>
    <w:rsid w:val="00797187"/>
    <w:rsid w:val="00797488"/>
    <w:rsid w:val="007A128B"/>
    <w:rsid w:val="007A226B"/>
    <w:rsid w:val="007A62A1"/>
    <w:rsid w:val="007A63D2"/>
    <w:rsid w:val="007B1625"/>
    <w:rsid w:val="007B4791"/>
    <w:rsid w:val="007B49F0"/>
    <w:rsid w:val="007B51E8"/>
    <w:rsid w:val="007B706E"/>
    <w:rsid w:val="007B71EB"/>
    <w:rsid w:val="007B734E"/>
    <w:rsid w:val="007B758A"/>
    <w:rsid w:val="007C5A42"/>
    <w:rsid w:val="007C6205"/>
    <w:rsid w:val="007C686A"/>
    <w:rsid w:val="007C728E"/>
    <w:rsid w:val="007D1100"/>
    <w:rsid w:val="007D29E7"/>
    <w:rsid w:val="007D2BE6"/>
    <w:rsid w:val="007D2C53"/>
    <w:rsid w:val="007D3BC8"/>
    <w:rsid w:val="007D3D60"/>
    <w:rsid w:val="007D49A6"/>
    <w:rsid w:val="007D4DD8"/>
    <w:rsid w:val="007D5105"/>
    <w:rsid w:val="007D5710"/>
    <w:rsid w:val="007D5A00"/>
    <w:rsid w:val="007D5BD7"/>
    <w:rsid w:val="007E1980"/>
    <w:rsid w:val="007E4B76"/>
    <w:rsid w:val="007E5DAD"/>
    <w:rsid w:val="007E5EA8"/>
    <w:rsid w:val="007F0CF1"/>
    <w:rsid w:val="007F12A5"/>
    <w:rsid w:val="007F260B"/>
    <w:rsid w:val="007F4195"/>
    <w:rsid w:val="007F4835"/>
    <w:rsid w:val="007F4CF1"/>
    <w:rsid w:val="007F5113"/>
    <w:rsid w:val="007F61A5"/>
    <w:rsid w:val="007F758D"/>
    <w:rsid w:val="007F7D52"/>
    <w:rsid w:val="00801021"/>
    <w:rsid w:val="0080654C"/>
    <w:rsid w:val="008071C6"/>
    <w:rsid w:val="00814447"/>
    <w:rsid w:val="00817A00"/>
    <w:rsid w:val="00817F49"/>
    <w:rsid w:val="00821014"/>
    <w:rsid w:val="00823E99"/>
    <w:rsid w:val="00825512"/>
    <w:rsid w:val="00827D11"/>
    <w:rsid w:val="008339CE"/>
    <w:rsid w:val="00835DB3"/>
    <w:rsid w:val="0083617B"/>
    <w:rsid w:val="008371BD"/>
    <w:rsid w:val="008378AB"/>
    <w:rsid w:val="00840F41"/>
    <w:rsid w:val="00846B87"/>
    <w:rsid w:val="008504A8"/>
    <w:rsid w:val="0085282E"/>
    <w:rsid w:val="008540C2"/>
    <w:rsid w:val="0085677E"/>
    <w:rsid w:val="00860DA9"/>
    <w:rsid w:val="008617D9"/>
    <w:rsid w:val="008624AE"/>
    <w:rsid w:val="008645F2"/>
    <w:rsid w:val="00864E66"/>
    <w:rsid w:val="00867725"/>
    <w:rsid w:val="00871196"/>
    <w:rsid w:val="0087198C"/>
    <w:rsid w:val="00872C1F"/>
    <w:rsid w:val="00873B42"/>
    <w:rsid w:val="008740EB"/>
    <w:rsid w:val="008776BC"/>
    <w:rsid w:val="0088094E"/>
    <w:rsid w:val="008814D8"/>
    <w:rsid w:val="008856D8"/>
    <w:rsid w:val="0088640B"/>
    <w:rsid w:val="00890191"/>
    <w:rsid w:val="00891E15"/>
    <w:rsid w:val="00891FF0"/>
    <w:rsid w:val="00892E82"/>
    <w:rsid w:val="0089500A"/>
    <w:rsid w:val="00895CB7"/>
    <w:rsid w:val="008A0B21"/>
    <w:rsid w:val="008A0C81"/>
    <w:rsid w:val="008A1972"/>
    <w:rsid w:val="008A1F23"/>
    <w:rsid w:val="008A2268"/>
    <w:rsid w:val="008A25DF"/>
    <w:rsid w:val="008A3DFF"/>
    <w:rsid w:val="008A60AC"/>
    <w:rsid w:val="008B13A6"/>
    <w:rsid w:val="008B1BBE"/>
    <w:rsid w:val="008B2E0F"/>
    <w:rsid w:val="008B3EAA"/>
    <w:rsid w:val="008B4AAB"/>
    <w:rsid w:val="008C16ED"/>
    <w:rsid w:val="008C1B58"/>
    <w:rsid w:val="008C39AE"/>
    <w:rsid w:val="008C3ABB"/>
    <w:rsid w:val="008C590D"/>
    <w:rsid w:val="008D2D2C"/>
    <w:rsid w:val="008D7DDA"/>
    <w:rsid w:val="008E007C"/>
    <w:rsid w:val="008E031B"/>
    <w:rsid w:val="008E0867"/>
    <w:rsid w:val="008E1B7F"/>
    <w:rsid w:val="008E1C41"/>
    <w:rsid w:val="008E3AB9"/>
    <w:rsid w:val="008E3B6C"/>
    <w:rsid w:val="008E5BCC"/>
    <w:rsid w:val="008E7029"/>
    <w:rsid w:val="008E7EF6"/>
    <w:rsid w:val="008F05DE"/>
    <w:rsid w:val="008F1185"/>
    <w:rsid w:val="008F1F98"/>
    <w:rsid w:val="008F6758"/>
    <w:rsid w:val="0090114D"/>
    <w:rsid w:val="0090121E"/>
    <w:rsid w:val="009040DD"/>
    <w:rsid w:val="00904729"/>
    <w:rsid w:val="00905B47"/>
    <w:rsid w:val="009073DE"/>
    <w:rsid w:val="00907FD9"/>
    <w:rsid w:val="0091029E"/>
    <w:rsid w:val="009107A5"/>
    <w:rsid w:val="00911464"/>
    <w:rsid w:val="009118CC"/>
    <w:rsid w:val="00911AC5"/>
    <w:rsid w:val="0091331C"/>
    <w:rsid w:val="00913CE7"/>
    <w:rsid w:val="009144AD"/>
    <w:rsid w:val="00914A1B"/>
    <w:rsid w:val="00916159"/>
    <w:rsid w:val="00922472"/>
    <w:rsid w:val="009279DE"/>
    <w:rsid w:val="00930116"/>
    <w:rsid w:val="009306BF"/>
    <w:rsid w:val="00933D59"/>
    <w:rsid w:val="00934606"/>
    <w:rsid w:val="009403C8"/>
    <w:rsid w:val="00941595"/>
    <w:rsid w:val="00941B9D"/>
    <w:rsid w:val="00941EA9"/>
    <w:rsid w:val="0094212C"/>
    <w:rsid w:val="00942860"/>
    <w:rsid w:val="00954689"/>
    <w:rsid w:val="00956277"/>
    <w:rsid w:val="0095756B"/>
    <w:rsid w:val="009617C9"/>
    <w:rsid w:val="00961C93"/>
    <w:rsid w:val="009627B5"/>
    <w:rsid w:val="00965324"/>
    <w:rsid w:val="0097091E"/>
    <w:rsid w:val="009712A4"/>
    <w:rsid w:val="009738BC"/>
    <w:rsid w:val="00974FC1"/>
    <w:rsid w:val="009760D3"/>
    <w:rsid w:val="0097633D"/>
    <w:rsid w:val="00977132"/>
    <w:rsid w:val="00980912"/>
    <w:rsid w:val="00981A4B"/>
    <w:rsid w:val="00982501"/>
    <w:rsid w:val="00982FFF"/>
    <w:rsid w:val="00983FF7"/>
    <w:rsid w:val="00986CE7"/>
    <w:rsid w:val="009877D3"/>
    <w:rsid w:val="0099116E"/>
    <w:rsid w:val="00994E8F"/>
    <w:rsid w:val="009951DC"/>
    <w:rsid w:val="009959BB"/>
    <w:rsid w:val="009960BF"/>
    <w:rsid w:val="00997158"/>
    <w:rsid w:val="009A189C"/>
    <w:rsid w:val="009A2A7A"/>
    <w:rsid w:val="009A2E8C"/>
    <w:rsid w:val="009A3A7C"/>
    <w:rsid w:val="009A5ED3"/>
    <w:rsid w:val="009A7071"/>
    <w:rsid w:val="009A7CC3"/>
    <w:rsid w:val="009B06E0"/>
    <w:rsid w:val="009B1F99"/>
    <w:rsid w:val="009B2ADB"/>
    <w:rsid w:val="009B2AFA"/>
    <w:rsid w:val="009B2E4C"/>
    <w:rsid w:val="009B3747"/>
    <w:rsid w:val="009B55DF"/>
    <w:rsid w:val="009B603A"/>
    <w:rsid w:val="009C04F4"/>
    <w:rsid w:val="009C2D0E"/>
    <w:rsid w:val="009C327E"/>
    <w:rsid w:val="009C3DAC"/>
    <w:rsid w:val="009C42E0"/>
    <w:rsid w:val="009C4E33"/>
    <w:rsid w:val="009C5EA9"/>
    <w:rsid w:val="009D5362"/>
    <w:rsid w:val="009D612C"/>
    <w:rsid w:val="009D7267"/>
    <w:rsid w:val="009E1415"/>
    <w:rsid w:val="009E1804"/>
    <w:rsid w:val="009E1F18"/>
    <w:rsid w:val="009E6116"/>
    <w:rsid w:val="00A02E40"/>
    <w:rsid w:val="00A02E43"/>
    <w:rsid w:val="00A03949"/>
    <w:rsid w:val="00A03D96"/>
    <w:rsid w:val="00A05C78"/>
    <w:rsid w:val="00A065F9"/>
    <w:rsid w:val="00A07638"/>
    <w:rsid w:val="00A07F34"/>
    <w:rsid w:val="00A124AB"/>
    <w:rsid w:val="00A147FC"/>
    <w:rsid w:val="00A1564D"/>
    <w:rsid w:val="00A21801"/>
    <w:rsid w:val="00A22154"/>
    <w:rsid w:val="00A2398F"/>
    <w:rsid w:val="00A252F5"/>
    <w:rsid w:val="00A25307"/>
    <w:rsid w:val="00A25C38"/>
    <w:rsid w:val="00A26CBF"/>
    <w:rsid w:val="00A31CD2"/>
    <w:rsid w:val="00A33EC1"/>
    <w:rsid w:val="00A364A6"/>
    <w:rsid w:val="00A36BBE"/>
    <w:rsid w:val="00A40AC3"/>
    <w:rsid w:val="00A4307A"/>
    <w:rsid w:val="00A43B0E"/>
    <w:rsid w:val="00A448BF"/>
    <w:rsid w:val="00A449AE"/>
    <w:rsid w:val="00A47EBB"/>
    <w:rsid w:val="00A47FB2"/>
    <w:rsid w:val="00A5181C"/>
    <w:rsid w:val="00A51CDD"/>
    <w:rsid w:val="00A53B02"/>
    <w:rsid w:val="00A56821"/>
    <w:rsid w:val="00A568D7"/>
    <w:rsid w:val="00A60B5F"/>
    <w:rsid w:val="00A61D02"/>
    <w:rsid w:val="00A63043"/>
    <w:rsid w:val="00A64556"/>
    <w:rsid w:val="00A6730D"/>
    <w:rsid w:val="00A67FEC"/>
    <w:rsid w:val="00A71625"/>
    <w:rsid w:val="00A71B9B"/>
    <w:rsid w:val="00A732AB"/>
    <w:rsid w:val="00A751C7"/>
    <w:rsid w:val="00A76AAF"/>
    <w:rsid w:val="00A771F5"/>
    <w:rsid w:val="00A77A0C"/>
    <w:rsid w:val="00A826A0"/>
    <w:rsid w:val="00A838EE"/>
    <w:rsid w:val="00A84639"/>
    <w:rsid w:val="00A85B0D"/>
    <w:rsid w:val="00A85E23"/>
    <w:rsid w:val="00A863FE"/>
    <w:rsid w:val="00A87844"/>
    <w:rsid w:val="00A905D4"/>
    <w:rsid w:val="00A9105C"/>
    <w:rsid w:val="00A946D3"/>
    <w:rsid w:val="00A9519E"/>
    <w:rsid w:val="00A95C30"/>
    <w:rsid w:val="00A95FB5"/>
    <w:rsid w:val="00AA003E"/>
    <w:rsid w:val="00AA038C"/>
    <w:rsid w:val="00AA03C5"/>
    <w:rsid w:val="00AA26FB"/>
    <w:rsid w:val="00AA7A09"/>
    <w:rsid w:val="00AA7AC3"/>
    <w:rsid w:val="00AB019C"/>
    <w:rsid w:val="00AB105C"/>
    <w:rsid w:val="00AB1690"/>
    <w:rsid w:val="00AB3B50"/>
    <w:rsid w:val="00AB5BD9"/>
    <w:rsid w:val="00AB7403"/>
    <w:rsid w:val="00AC05B1"/>
    <w:rsid w:val="00AC2EB5"/>
    <w:rsid w:val="00AC3D13"/>
    <w:rsid w:val="00AC4618"/>
    <w:rsid w:val="00AC4DFD"/>
    <w:rsid w:val="00AC61F5"/>
    <w:rsid w:val="00AD356C"/>
    <w:rsid w:val="00AD47F7"/>
    <w:rsid w:val="00AD4B0A"/>
    <w:rsid w:val="00AD6E5A"/>
    <w:rsid w:val="00AE2845"/>
    <w:rsid w:val="00AE2914"/>
    <w:rsid w:val="00AE36A5"/>
    <w:rsid w:val="00AE4C1B"/>
    <w:rsid w:val="00AE5854"/>
    <w:rsid w:val="00AE6D15"/>
    <w:rsid w:val="00AF1DDA"/>
    <w:rsid w:val="00AF28B9"/>
    <w:rsid w:val="00AF52C4"/>
    <w:rsid w:val="00AF719F"/>
    <w:rsid w:val="00B00686"/>
    <w:rsid w:val="00B02C7F"/>
    <w:rsid w:val="00B04182"/>
    <w:rsid w:val="00B06336"/>
    <w:rsid w:val="00B07A70"/>
    <w:rsid w:val="00B07AE3"/>
    <w:rsid w:val="00B10E81"/>
    <w:rsid w:val="00B11430"/>
    <w:rsid w:val="00B14441"/>
    <w:rsid w:val="00B14A0F"/>
    <w:rsid w:val="00B1573F"/>
    <w:rsid w:val="00B17884"/>
    <w:rsid w:val="00B21789"/>
    <w:rsid w:val="00B21DBB"/>
    <w:rsid w:val="00B21E2A"/>
    <w:rsid w:val="00B2694A"/>
    <w:rsid w:val="00B31468"/>
    <w:rsid w:val="00B352CE"/>
    <w:rsid w:val="00B353EB"/>
    <w:rsid w:val="00B410BB"/>
    <w:rsid w:val="00B41F24"/>
    <w:rsid w:val="00B41F65"/>
    <w:rsid w:val="00B439C4"/>
    <w:rsid w:val="00B442CF"/>
    <w:rsid w:val="00B4456C"/>
    <w:rsid w:val="00B4535E"/>
    <w:rsid w:val="00B45414"/>
    <w:rsid w:val="00B478D5"/>
    <w:rsid w:val="00B5004B"/>
    <w:rsid w:val="00B52A8C"/>
    <w:rsid w:val="00B5675F"/>
    <w:rsid w:val="00B605C3"/>
    <w:rsid w:val="00B620C2"/>
    <w:rsid w:val="00B636A8"/>
    <w:rsid w:val="00B642C4"/>
    <w:rsid w:val="00B64D28"/>
    <w:rsid w:val="00B665C6"/>
    <w:rsid w:val="00B67BC9"/>
    <w:rsid w:val="00B73EC1"/>
    <w:rsid w:val="00B77477"/>
    <w:rsid w:val="00B77996"/>
    <w:rsid w:val="00B77EF6"/>
    <w:rsid w:val="00B805AF"/>
    <w:rsid w:val="00B82CBF"/>
    <w:rsid w:val="00B86259"/>
    <w:rsid w:val="00B869EC"/>
    <w:rsid w:val="00B86B0D"/>
    <w:rsid w:val="00B87D59"/>
    <w:rsid w:val="00B92CFE"/>
    <w:rsid w:val="00B93480"/>
    <w:rsid w:val="00B9397A"/>
    <w:rsid w:val="00B94E6E"/>
    <w:rsid w:val="00B96147"/>
    <w:rsid w:val="00B9633D"/>
    <w:rsid w:val="00B96B49"/>
    <w:rsid w:val="00BA0AAB"/>
    <w:rsid w:val="00BA0E29"/>
    <w:rsid w:val="00BA18AB"/>
    <w:rsid w:val="00BA2EBE"/>
    <w:rsid w:val="00BA34E5"/>
    <w:rsid w:val="00BA63B2"/>
    <w:rsid w:val="00BA71B1"/>
    <w:rsid w:val="00BA7B8F"/>
    <w:rsid w:val="00BB03A6"/>
    <w:rsid w:val="00BB0F28"/>
    <w:rsid w:val="00BB458A"/>
    <w:rsid w:val="00BB72E2"/>
    <w:rsid w:val="00BD00D3"/>
    <w:rsid w:val="00BD1622"/>
    <w:rsid w:val="00BD1659"/>
    <w:rsid w:val="00BD32CA"/>
    <w:rsid w:val="00BD3AA9"/>
    <w:rsid w:val="00BD4A18"/>
    <w:rsid w:val="00BD6DB2"/>
    <w:rsid w:val="00BD7C84"/>
    <w:rsid w:val="00BE0496"/>
    <w:rsid w:val="00BE11CF"/>
    <w:rsid w:val="00BE1579"/>
    <w:rsid w:val="00BE1A20"/>
    <w:rsid w:val="00BE1DE6"/>
    <w:rsid w:val="00BE21AB"/>
    <w:rsid w:val="00BE4602"/>
    <w:rsid w:val="00BE55CB"/>
    <w:rsid w:val="00BE57AF"/>
    <w:rsid w:val="00BF0D39"/>
    <w:rsid w:val="00BF4E5B"/>
    <w:rsid w:val="00BF617A"/>
    <w:rsid w:val="00BF63DD"/>
    <w:rsid w:val="00C00F26"/>
    <w:rsid w:val="00C0102C"/>
    <w:rsid w:val="00C01943"/>
    <w:rsid w:val="00C01E0E"/>
    <w:rsid w:val="00C01FDD"/>
    <w:rsid w:val="00C020CB"/>
    <w:rsid w:val="00C0379D"/>
    <w:rsid w:val="00C03931"/>
    <w:rsid w:val="00C05FE3"/>
    <w:rsid w:val="00C07379"/>
    <w:rsid w:val="00C137FE"/>
    <w:rsid w:val="00C13F2D"/>
    <w:rsid w:val="00C2136D"/>
    <w:rsid w:val="00C213ED"/>
    <w:rsid w:val="00C214EE"/>
    <w:rsid w:val="00C2314B"/>
    <w:rsid w:val="00C23CC0"/>
    <w:rsid w:val="00C24971"/>
    <w:rsid w:val="00C26BE5"/>
    <w:rsid w:val="00C26E4D"/>
    <w:rsid w:val="00C27909"/>
    <w:rsid w:val="00C27B03"/>
    <w:rsid w:val="00C30D5C"/>
    <w:rsid w:val="00C314E1"/>
    <w:rsid w:val="00C31765"/>
    <w:rsid w:val="00C32CC9"/>
    <w:rsid w:val="00C34397"/>
    <w:rsid w:val="00C34661"/>
    <w:rsid w:val="00C34F58"/>
    <w:rsid w:val="00C36FF9"/>
    <w:rsid w:val="00C37E20"/>
    <w:rsid w:val="00C40371"/>
    <w:rsid w:val="00C4095D"/>
    <w:rsid w:val="00C451F6"/>
    <w:rsid w:val="00C4707F"/>
    <w:rsid w:val="00C474D0"/>
    <w:rsid w:val="00C50779"/>
    <w:rsid w:val="00C50F3D"/>
    <w:rsid w:val="00C53012"/>
    <w:rsid w:val="00C53434"/>
    <w:rsid w:val="00C545FE"/>
    <w:rsid w:val="00C5544A"/>
    <w:rsid w:val="00C5709B"/>
    <w:rsid w:val="00C601D2"/>
    <w:rsid w:val="00C63409"/>
    <w:rsid w:val="00C63A7D"/>
    <w:rsid w:val="00C65BCC"/>
    <w:rsid w:val="00C66970"/>
    <w:rsid w:val="00C67ED5"/>
    <w:rsid w:val="00C72975"/>
    <w:rsid w:val="00C80DE4"/>
    <w:rsid w:val="00C8691C"/>
    <w:rsid w:val="00C91838"/>
    <w:rsid w:val="00C9539C"/>
    <w:rsid w:val="00C95ACF"/>
    <w:rsid w:val="00C965D7"/>
    <w:rsid w:val="00CA168A"/>
    <w:rsid w:val="00CA1916"/>
    <w:rsid w:val="00CA2B84"/>
    <w:rsid w:val="00CA357E"/>
    <w:rsid w:val="00CA44F9"/>
    <w:rsid w:val="00CA4A69"/>
    <w:rsid w:val="00CA6AE3"/>
    <w:rsid w:val="00CB5208"/>
    <w:rsid w:val="00CB7559"/>
    <w:rsid w:val="00CC0F11"/>
    <w:rsid w:val="00CC3E0C"/>
    <w:rsid w:val="00CC4370"/>
    <w:rsid w:val="00CC4C61"/>
    <w:rsid w:val="00CC4DD0"/>
    <w:rsid w:val="00CC58D3"/>
    <w:rsid w:val="00CC784D"/>
    <w:rsid w:val="00CC7E87"/>
    <w:rsid w:val="00CD4477"/>
    <w:rsid w:val="00CD4F43"/>
    <w:rsid w:val="00CD7E53"/>
    <w:rsid w:val="00CE2F3F"/>
    <w:rsid w:val="00CE5000"/>
    <w:rsid w:val="00D0337B"/>
    <w:rsid w:val="00D05CF1"/>
    <w:rsid w:val="00D06A52"/>
    <w:rsid w:val="00D06A7C"/>
    <w:rsid w:val="00D079B2"/>
    <w:rsid w:val="00D114E9"/>
    <w:rsid w:val="00D11FF1"/>
    <w:rsid w:val="00D13057"/>
    <w:rsid w:val="00D1342E"/>
    <w:rsid w:val="00D1394A"/>
    <w:rsid w:val="00D212E2"/>
    <w:rsid w:val="00D221C7"/>
    <w:rsid w:val="00D235BB"/>
    <w:rsid w:val="00D24B9A"/>
    <w:rsid w:val="00D26145"/>
    <w:rsid w:val="00D27983"/>
    <w:rsid w:val="00D31AB0"/>
    <w:rsid w:val="00D31FC5"/>
    <w:rsid w:val="00D33B8A"/>
    <w:rsid w:val="00D34D80"/>
    <w:rsid w:val="00D355FF"/>
    <w:rsid w:val="00D365C1"/>
    <w:rsid w:val="00D368CB"/>
    <w:rsid w:val="00D429C6"/>
    <w:rsid w:val="00D4592A"/>
    <w:rsid w:val="00D45EBB"/>
    <w:rsid w:val="00D47119"/>
    <w:rsid w:val="00D475AB"/>
    <w:rsid w:val="00D47748"/>
    <w:rsid w:val="00D50612"/>
    <w:rsid w:val="00D51BAB"/>
    <w:rsid w:val="00D52D2A"/>
    <w:rsid w:val="00D532E9"/>
    <w:rsid w:val="00D54713"/>
    <w:rsid w:val="00D54CC3"/>
    <w:rsid w:val="00D554C4"/>
    <w:rsid w:val="00D55610"/>
    <w:rsid w:val="00D56B3D"/>
    <w:rsid w:val="00D57EDC"/>
    <w:rsid w:val="00D601E5"/>
    <w:rsid w:val="00D6041A"/>
    <w:rsid w:val="00D633EB"/>
    <w:rsid w:val="00D67F14"/>
    <w:rsid w:val="00D74833"/>
    <w:rsid w:val="00D75ED4"/>
    <w:rsid w:val="00D76B45"/>
    <w:rsid w:val="00D77A24"/>
    <w:rsid w:val="00D8022A"/>
    <w:rsid w:val="00D8136D"/>
    <w:rsid w:val="00D82FF7"/>
    <w:rsid w:val="00D847FE"/>
    <w:rsid w:val="00D85B4E"/>
    <w:rsid w:val="00D85F6D"/>
    <w:rsid w:val="00D87672"/>
    <w:rsid w:val="00D878A5"/>
    <w:rsid w:val="00D87B6B"/>
    <w:rsid w:val="00D91EF1"/>
    <w:rsid w:val="00D962E0"/>
    <w:rsid w:val="00D964EA"/>
    <w:rsid w:val="00D966D0"/>
    <w:rsid w:val="00D97F26"/>
    <w:rsid w:val="00DA0C59"/>
    <w:rsid w:val="00DA11F6"/>
    <w:rsid w:val="00DA2EF3"/>
    <w:rsid w:val="00DA3991"/>
    <w:rsid w:val="00DA755B"/>
    <w:rsid w:val="00DB1625"/>
    <w:rsid w:val="00DB1737"/>
    <w:rsid w:val="00DB6FBF"/>
    <w:rsid w:val="00DB7D5B"/>
    <w:rsid w:val="00DB7E6C"/>
    <w:rsid w:val="00DC7C7A"/>
    <w:rsid w:val="00DD0FD6"/>
    <w:rsid w:val="00DD1A8F"/>
    <w:rsid w:val="00DD2041"/>
    <w:rsid w:val="00DD47B8"/>
    <w:rsid w:val="00DD5A29"/>
    <w:rsid w:val="00DD5D9D"/>
    <w:rsid w:val="00DD7797"/>
    <w:rsid w:val="00DE1B37"/>
    <w:rsid w:val="00DE35CB"/>
    <w:rsid w:val="00DE4D54"/>
    <w:rsid w:val="00DE70AE"/>
    <w:rsid w:val="00DF21E9"/>
    <w:rsid w:val="00DF35E8"/>
    <w:rsid w:val="00DF4BA4"/>
    <w:rsid w:val="00DF64AF"/>
    <w:rsid w:val="00DF7706"/>
    <w:rsid w:val="00E001ED"/>
    <w:rsid w:val="00E00F14"/>
    <w:rsid w:val="00E0142C"/>
    <w:rsid w:val="00E02954"/>
    <w:rsid w:val="00E057D2"/>
    <w:rsid w:val="00E06386"/>
    <w:rsid w:val="00E06A5F"/>
    <w:rsid w:val="00E07AF3"/>
    <w:rsid w:val="00E1045B"/>
    <w:rsid w:val="00E10B02"/>
    <w:rsid w:val="00E10E90"/>
    <w:rsid w:val="00E117D6"/>
    <w:rsid w:val="00E13756"/>
    <w:rsid w:val="00E14E59"/>
    <w:rsid w:val="00E15F46"/>
    <w:rsid w:val="00E16DDC"/>
    <w:rsid w:val="00E24846"/>
    <w:rsid w:val="00E24DAF"/>
    <w:rsid w:val="00E24EB4"/>
    <w:rsid w:val="00E320ED"/>
    <w:rsid w:val="00E33AFB"/>
    <w:rsid w:val="00E34218"/>
    <w:rsid w:val="00E3450D"/>
    <w:rsid w:val="00E3632F"/>
    <w:rsid w:val="00E37E98"/>
    <w:rsid w:val="00E443C3"/>
    <w:rsid w:val="00E450F3"/>
    <w:rsid w:val="00E46282"/>
    <w:rsid w:val="00E4758E"/>
    <w:rsid w:val="00E5216E"/>
    <w:rsid w:val="00E546AB"/>
    <w:rsid w:val="00E55BDC"/>
    <w:rsid w:val="00E56D9E"/>
    <w:rsid w:val="00E57BE5"/>
    <w:rsid w:val="00E60F96"/>
    <w:rsid w:val="00E61B6B"/>
    <w:rsid w:val="00E63A72"/>
    <w:rsid w:val="00E67987"/>
    <w:rsid w:val="00E766EF"/>
    <w:rsid w:val="00E76BE5"/>
    <w:rsid w:val="00E80276"/>
    <w:rsid w:val="00E80307"/>
    <w:rsid w:val="00E80764"/>
    <w:rsid w:val="00E82344"/>
    <w:rsid w:val="00E833D2"/>
    <w:rsid w:val="00E8359A"/>
    <w:rsid w:val="00E84C82"/>
    <w:rsid w:val="00E84D64"/>
    <w:rsid w:val="00E84ED9"/>
    <w:rsid w:val="00E87408"/>
    <w:rsid w:val="00E90E0A"/>
    <w:rsid w:val="00E914C4"/>
    <w:rsid w:val="00E92A9A"/>
    <w:rsid w:val="00E934F5"/>
    <w:rsid w:val="00E96961"/>
    <w:rsid w:val="00E970D6"/>
    <w:rsid w:val="00EA1B9F"/>
    <w:rsid w:val="00EA3789"/>
    <w:rsid w:val="00EA3EC6"/>
    <w:rsid w:val="00EA6FB9"/>
    <w:rsid w:val="00EA72EC"/>
    <w:rsid w:val="00EB04D0"/>
    <w:rsid w:val="00EB11CB"/>
    <w:rsid w:val="00EB1A67"/>
    <w:rsid w:val="00EB206E"/>
    <w:rsid w:val="00EB2266"/>
    <w:rsid w:val="00EB22CB"/>
    <w:rsid w:val="00EB275A"/>
    <w:rsid w:val="00EB435E"/>
    <w:rsid w:val="00EB5CFE"/>
    <w:rsid w:val="00EB62F9"/>
    <w:rsid w:val="00EB7010"/>
    <w:rsid w:val="00EB786A"/>
    <w:rsid w:val="00EC142A"/>
    <w:rsid w:val="00EC1578"/>
    <w:rsid w:val="00EC187B"/>
    <w:rsid w:val="00EC1C72"/>
    <w:rsid w:val="00EC3CC9"/>
    <w:rsid w:val="00EC680A"/>
    <w:rsid w:val="00ED135F"/>
    <w:rsid w:val="00ED27CE"/>
    <w:rsid w:val="00ED6BD3"/>
    <w:rsid w:val="00EE0AFA"/>
    <w:rsid w:val="00EE2BED"/>
    <w:rsid w:val="00EE374B"/>
    <w:rsid w:val="00EF0A9A"/>
    <w:rsid w:val="00EF17E7"/>
    <w:rsid w:val="00EF2681"/>
    <w:rsid w:val="00EF313D"/>
    <w:rsid w:val="00EF3543"/>
    <w:rsid w:val="00F0006D"/>
    <w:rsid w:val="00F023C8"/>
    <w:rsid w:val="00F02D55"/>
    <w:rsid w:val="00F033DB"/>
    <w:rsid w:val="00F075E1"/>
    <w:rsid w:val="00F10FF3"/>
    <w:rsid w:val="00F11BB5"/>
    <w:rsid w:val="00F1417B"/>
    <w:rsid w:val="00F14FBB"/>
    <w:rsid w:val="00F20638"/>
    <w:rsid w:val="00F20E14"/>
    <w:rsid w:val="00F24134"/>
    <w:rsid w:val="00F2499E"/>
    <w:rsid w:val="00F27BEB"/>
    <w:rsid w:val="00F30110"/>
    <w:rsid w:val="00F3355E"/>
    <w:rsid w:val="00F34B99"/>
    <w:rsid w:val="00F35C72"/>
    <w:rsid w:val="00F42252"/>
    <w:rsid w:val="00F440CE"/>
    <w:rsid w:val="00F5117A"/>
    <w:rsid w:val="00F52DAB"/>
    <w:rsid w:val="00F52EAA"/>
    <w:rsid w:val="00F543F0"/>
    <w:rsid w:val="00F544A6"/>
    <w:rsid w:val="00F56F9C"/>
    <w:rsid w:val="00F57909"/>
    <w:rsid w:val="00F57F93"/>
    <w:rsid w:val="00F61544"/>
    <w:rsid w:val="00F73F3C"/>
    <w:rsid w:val="00F7579A"/>
    <w:rsid w:val="00F77787"/>
    <w:rsid w:val="00F80BAF"/>
    <w:rsid w:val="00F81D29"/>
    <w:rsid w:val="00F82308"/>
    <w:rsid w:val="00F834BD"/>
    <w:rsid w:val="00F91A9D"/>
    <w:rsid w:val="00F91C4D"/>
    <w:rsid w:val="00F91C9F"/>
    <w:rsid w:val="00F9265B"/>
    <w:rsid w:val="00F92FD9"/>
    <w:rsid w:val="00F95A61"/>
    <w:rsid w:val="00FA0BA3"/>
    <w:rsid w:val="00FA1286"/>
    <w:rsid w:val="00FA201C"/>
    <w:rsid w:val="00FA4982"/>
    <w:rsid w:val="00FA4DDE"/>
    <w:rsid w:val="00FA6684"/>
    <w:rsid w:val="00FA731E"/>
    <w:rsid w:val="00FB1482"/>
    <w:rsid w:val="00FB1960"/>
    <w:rsid w:val="00FB1AA4"/>
    <w:rsid w:val="00FB2B38"/>
    <w:rsid w:val="00FB50C4"/>
    <w:rsid w:val="00FB610C"/>
    <w:rsid w:val="00FC4E8A"/>
    <w:rsid w:val="00FC6358"/>
    <w:rsid w:val="00FD1DB1"/>
    <w:rsid w:val="00FD2511"/>
    <w:rsid w:val="00FD320D"/>
    <w:rsid w:val="00FD3FF1"/>
    <w:rsid w:val="00FD42E4"/>
    <w:rsid w:val="00FD5BD2"/>
    <w:rsid w:val="00FD5FB7"/>
    <w:rsid w:val="00FD670B"/>
    <w:rsid w:val="00FD6FF6"/>
    <w:rsid w:val="00FD7705"/>
    <w:rsid w:val="00FE23DE"/>
    <w:rsid w:val="00FE3A5F"/>
    <w:rsid w:val="00FE5EF1"/>
    <w:rsid w:val="00FF061C"/>
    <w:rsid w:val="00FF1B55"/>
    <w:rsid w:val="00FF1DF8"/>
    <w:rsid w:val="011F2312"/>
    <w:rsid w:val="013E4B9A"/>
    <w:rsid w:val="015954F9"/>
    <w:rsid w:val="01670657"/>
    <w:rsid w:val="018B07D3"/>
    <w:rsid w:val="01E73338"/>
    <w:rsid w:val="01F31C03"/>
    <w:rsid w:val="025E4580"/>
    <w:rsid w:val="02C6701D"/>
    <w:rsid w:val="02EB78E3"/>
    <w:rsid w:val="031A49F4"/>
    <w:rsid w:val="032327AE"/>
    <w:rsid w:val="03766A3F"/>
    <w:rsid w:val="03806EB3"/>
    <w:rsid w:val="03E54D9C"/>
    <w:rsid w:val="03E821CC"/>
    <w:rsid w:val="04621DCA"/>
    <w:rsid w:val="04AE50E6"/>
    <w:rsid w:val="04B33411"/>
    <w:rsid w:val="04E226A6"/>
    <w:rsid w:val="053F381E"/>
    <w:rsid w:val="054B2600"/>
    <w:rsid w:val="05675CDB"/>
    <w:rsid w:val="05824641"/>
    <w:rsid w:val="05A85A7D"/>
    <w:rsid w:val="05BE6294"/>
    <w:rsid w:val="05E46619"/>
    <w:rsid w:val="05F135E3"/>
    <w:rsid w:val="05FE5C9E"/>
    <w:rsid w:val="064D2B79"/>
    <w:rsid w:val="066903D6"/>
    <w:rsid w:val="06AE551C"/>
    <w:rsid w:val="06F2013A"/>
    <w:rsid w:val="074356AB"/>
    <w:rsid w:val="07474FE2"/>
    <w:rsid w:val="07495A77"/>
    <w:rsid w:val="075C158C"/>
    <w:rsid w:val="07865FF0"/>
    <w:rsid w:val="078B6E5C"/>
    <w:rsid w:val="07C108D0"/>
    <w:rsid w:val="07E648E4"/>
    <w:rsid w:val="0819117C"/>
    <w:rsid w:val="08B00B89"/>
    <w:rsid w:val="08B02DDE"/>
    <w:rsid w:val="09B5367F"/>
    <w:rsid w:val="0A6A031B"/>
    <w:rsid w:val="0B1D2267"/>
    <w:rsid w:val="0B542888"/>
    <w:rsid w:val="0B8E01C9"/>
    <w:rsid w:val="0BCD4D32"/>
    <w:rsid w:val="0C0503B4"/>
    <w:rsid w:val="0C302EAE"/>
    <w:rsid w:val="0CB14344"/>
    <w:rsid w:val="0CD57F21"/>
    <w:rsid w:val="0CF05B29"/>
    <w:rsid w:val="0D1C7C94"/>
    <w:rsid w:val="0D536128"/>
    <w:rsid w:val="0D807C62"/>
    <w:rsid w:val="0D8D4C87"/>
    <w:rsid w:val="0D9701F3"/>
    <w:rsid w:val="0DF1309B"/>
    <w:rsid w:val="0E3A067B"/>
    <w:rsid w:val="0EF97774"/>
    <w:rsid w:val="0EFE115F"/>
    <w:rsid w:val="0FA16E1A"/>
    <w:rsid w:val="0FF4264D"/>
    <w:rsid w:val="0FF7192C"/>
    <w:rsid w:val="1017656D"/>
    <w:rsid w:val="10565341"/>
    <w:rsid w:val="11017075"/>
    <w:rsid w:val="11C96E47"/>
    <w:rsid w:val="11F603EA"/>
    <w:rsid w:val="12392A76"/>
    <w:rsid w:val="123B37A8"/>
    <w:rsid w:val="129B580D"/>
    <w:rsid w:val="12A80621"/>
    <w:rsid w:val="12B84138"/>
    <w:rsid w:val="132306AC"/>
    <w:rsid w:val="13A76D9F"/>
    <w:rsid w:val="144C5FB2"/>
    <w:rsid w:val="146C5F3E"/>
    <w:rsid w:val="14995FFB"/>
    <w:rsid w:val="14B35CE3"/>
    <w:rsid w:val="14DB697D"/>
    <w:rsid w:val="15104BDB"/>
    <w:rsid w:val="1546330E"/>
    <w:rsid w:val="15BC7011"/>
    <w:rsid w:val="160358AF"/>
    <w:rsid w:val="166144D6"/>
    <w:rsid w:val="170148F7"/>
    <w:rsid w:val="1703505F"/>
    <w:rsid w:val="183D7056"/>
    <w:rsid w:val="18A5511B"/>
    <w:rsid w:val="18A87121"/>
    <w:rsid w:val="197D7624"/>
    <w:rsid w:val="19A42033"/>
    <w:rsid w:val="1A307EE5"/>
    <w:rsid w:val="1A560F1D"/>
    <w:rsid w:val="1AA3763B"/>
    <w:rsid w:val="1AE94BE1"/>
    <w:rsid w:val="1B2150AB"/>
    <w:rsid w:val="1B3D2A5A"/>
    <w:rsid w:val="1B8E506D"/>
    <w:rsid w:val="1C163EA1"/>
    <w:rsid w:val="1C313C36"/>
    <w:rsid w:val="1C530BCB"/>
    <w:rsid w:val="1C85511C"/>
    <w:rsid w:val="1D110B6B"/>
    <w:rsid w:val="1D134340"/>
    <w:rsid w:val="1D697818"/>
    <w:rsid w:val="1D781F37"/>
    <w:rsid w:val="1DE00821"/>
    <w:rsid w:val="1DE870CC"/>
    <w:rsid w:val="1E170C75"/>
    <w:rsid w:val="1E3126E4"/>
    <w:rsid w:val="1EB11386"/>
    <w:rsid w:val="1ED85A84"/>
    <w:rsid w:val="1EF82219"/>
    <w:rsid w:val="1FA44CF8"/>
    <w:rsid w:val="1FAF3A44"/>
    <w:rsid w:val="2024600B"/>
    <w:rsid w:val="203B7632"/>
    <w:rsid w:val="2098714B"/>
    <w:rsid w:val="21BE4AED"/>
    <w:rsid w:val="21C12006"/>
    <w:rsid w:val="220C2CD0"/>
    <w:rsid w:val="224025AE"/>
    <w:rsid w:val="22621648"/>
    <w:rsid w:val="22A24C10"/>
    <w:rsid w:val="22B43B00"/>
    <w:rsid w:val="22D2292B"/>
    <w:rsid w:val="22DD4E16"/>
    <w:rsid w:val="23022285"/>
    <w:rsid w:val="231359C8"/>
    <w:rsid w:val="238D7E8F"/>
    <w:rsid w:val="244020ED"/>
    <w:rsid w:val="25182162"/>
    <w:rsid w:val="2533284F"/>
    <w:rsid w:val="2544641F"/>
    <w:rsid w:val="258206E1"/>
    <w:rsid w:val="25EF56A1"/>
    <w:rsid w:val="26041589"/>
    <w:rsid w:val="2689566D"/>
    <w:rsid w:val="269373EA"/>
    <w:rsid w:val="26D33A0B"/>
    <w:rsid w:val="26E44980"/>
    <w:rsid w:val="27114591"/>
    <w:rsid w:val="272D0597"/>
    <w:rsid w:val="27A80729"/>
    <w:rsid w:val="27B03DF4"/>
    <w:rsid w:val="285A27B4"/>
    <w:rsid w:val="288303E3"/>
    <w:rsid w:val="28C6539A"/>
    <w:rsid w:val="29467598"/>
    <w:rsid w:val="2957593F"/>
    <w:rsid w:val="2977141A"/>
    <w:rsid w:val="29802F8C"/>
    <w:rsid w:val="29F11821"/>
    <w:rsid w:val="2A0E17C0"/>
    <w:rsid w:val="2A0E1B30"/>
    <w:rsid w:val="2A1F583C"/>
    <w:rsid w:val="2AAB228B"/>
    <w:rsid w:val="2ACD5EF1"/>
    <w:rsid w:val="2AD63917"/>
    <w:rsid w:val="2B0B0488"/>
    <w:rsid w:val="2B0C17CB"/>
    <w:rsid w:val="2BC77338"/>
    <w:rsid w:val="2C1A23DC"/>
    <w:rsid w:val="2C496BDC"/>
    <w:rsid w:val="2C912389"/>
    <w:rsid w:val="2CD549B7"/>
    <w:rsid w:val="2D3662DD"/>
    <w:rsid w:val="2D7F4989"/>
    <w:rsid w:val="2DA103B4"/>
    <w:rsid w:val="2DA56879"/>
    <w:rsid w:val="2DBB163F"/>
    <w:rsid w:val="2E522B88"/>
    <w:rsid w:val="2E615AEB"/>
    <w:rsid w:val="2EFF09ED"/>
    <w:rsid w:val="2FAD6D72"/>
    <w:rsid w:val="2FB96FC9"/>
    <w:rsid w:val="2FC92482"/>
    <w:rsid w:val="30505BEB"/>
    <w:rsid w:val="307A6285"/>
    <w:rsid w:val="30B2224D"/>
    <w:rsid w:val="30FD3808"/>
    <w:rsid w:val="311D167F"/>
    <w:rsid w:val="31A364DD"/>
    <w:rsid w:val="32447234"/>
    <w:rsid w:val="32FC5FC1"/>
    <w:rsid w:val="33235FC8"/>
    <w:rsid w:val="33F94B32"/>
    <w:rsid w:val="34027E04"/>
    <w:rsid w:val="34086F9A"/>
    <w:rsid w:val="341D6F8A"/>
    <w:rsid w:val="349D448F"/>
    <w:rsid w:val="34D65F3B"/>
    <w:rsid w:val="352C3E92"/>
    <w:rsid w:val="35466676"/>
    <w:rsid w:val="35633E92"/>
    <w:rsid w:val="35907FF4"/>
    <w:rsid w:val="35F65BF9"/>
    <w:rsid w:val="364F7E41"/>
    <w:rsid w:val="36850E55"/>
    <w:rsid w:val="36C17585"/>
    <w:rsid w:val="36C84471"/>
    <w:rsid w:val="36EF1E09"/>
    <w:rsid w:val="375967F4"/>
    <w:rsid w:val="37D30164"/>
    <w:rsid w:val="38771A95"/>
    <w:rsid w:val="38D3278D"/>
    <w:rsid w:val="38E54312"/>
    <w:rsid w:val="390A5ADF"/>
    <w:rsid w:val="3A206CBC"/>
    <w:rsid w:val="3A976054"/>
    <w:rsid w:val="3AA446D2"/>
    <w:rsid w:val="3B0853B2"/>
    <w:rsid w:val="3B2C3A5C"/>
    <w:rsid w:val="3BD864EA"/>
    <w:rsid w:val="3C2F21A1"/>
    <w:rsid w:val="3C333DD7"/>
    <w:rsid w:val="3C6127A9"/>
    <w:rsid w:val="3C861634"/>
    <w:rsid w:val="3C9F35D5"/>
    <w:rsid w:val="3CAD7B16"/>
    <w:rsid w:val="3CC13303"/>
    <w:rsid w:val="3D2A6DB5"/>
    <w:rsid w:val="3D3564FC"/>
    <w:rsid w:val="3E19626C"/>
    <w:rsid w:val="3E2D582C"/>
    <w:rsid w:val="3E3F777C"/>
    <w:rsid w:val="3E642B09"/>
    <w:rsid w:val="3E836CDF"/>
    <w:rsid w:val="3E9B43FB"/>
    <w:rsid w:val="3EE23409"/>
    <w:rsid w:val="3F3F6FA5"/>
    <w:rsid w:val="3F664D3A"/>
    <w:rsid w:val="3F88219A"/>
    <w:rsid w:val="3FFE30C5"/>
    <w:rsid w:val="402251D8"/>
    <w:rsid w:val="402F5DBF"/>
    <w:rsid w:val="40B732E0"/>
    <w:rsid w:val="40FD39A1"/>
    <w:rsid w:val="41145538"/>
    <w:rsid w:val="41303D5C"/>
    <w:rsid w:val="41F540C0"/>
    <w:rsid w:val="423B26C8"/>
    <w:rsid w:val="426712D7"/>
    <w:rsid w:val="42813EA0"/>
    <w:rsid w:val="4284727B"/>
    <w:rsid w:val="42A30112"/>
    <w:rsid w:val="43B22C9B"/>
    <w:rsid w:val="43BF33E9"/>
    <w:rsid w:val="43C02C41"/>
    <w:rsid w:val="43C55664"/>
    <w:rsid w:val="43EB07DA"/>
    <w:rsid w:val="450438EF"/>
    <w:rsid w:val="451078BC"/>
    <w:rsid w:val="45303661"/>
    <w:rsid w:val="45337A15"/>
    <w:rsid w:val="455E6012"/>
    <w:rsid w:val="45A15FD8"/>
    <w:rsid w:val="461A02E1"/>
    <w:rsid w:val="46651472"/>
    <w:rsid w:val="46774887"/>
    <w:rsid w:val="46B920E6"/>
    <w:rsid w:val="47057144"/>
    <w:rsid w:val="47482EE3"/>
    <w:rsid w:val="478D0923"/>
    <w:rsid w:val="479108C0"/>
    <w:rsid w:val="4800556C"/>
    <w:rsid w:val="480A0CA4"/>
    <w:rsid w:val="4816404B"/>
    <w:rsid w:val="482844B7"/>
    <w:rsid w:val="48324D52"/>
    <w:rsid w:val="48536DEE"/>
    <w:rsid w:val="48B3305A"/>
    <w:rsid w:val="48F04ACE"/>
    <w:rsid w:val="49314A30"/>
    <w:rsid w:val="49707EFC"/>
    <w:rsid w:val="4A01538E"/>
    <w:rsid w:val="4A4C77BA"/>
    <w:rsid w:val="4A6135A2"/>
    <w:rsid w:val="4A8B0683"/>
    <w:rsid w:val="4AAF16A2"/>
    <w:rsid w:val="4ABE21CE"/>
    <w:rsid w:val="4AC361EE"/>
    <w:rsid w:val="4ACB592F"/>
    <w:rsid w:val="4AE6197C"/>
    <w:rsid w:val="4AF967E3"/>
    <w:rsid w:val="4B072A03"/>
    <w:rsid w:val="4B17634B"/>
    <w:rsid w:val="4B1E1884"/>
    <w:rsid w:val="4B824769"/>
    <w:rsid w:val="4BA30DB3"/>
    <w:rsid w:val="4BE11835"/>
    <w:rsid w:val="4BF62890"/>
    <w:rsid w:val="4C2562F2"/>
    <w:rsid w:val="4C4251E0"/>
    <w:rsid w:val="4C7D3053"/>
    <w:rsid w:val="4CE346C7"/>
    <w:rsid w:val="4D363394"/>
    <w:rsid w:val="4D453A1B"/>
    <w:rsid w:val="4DAA5351"/>
    <w:rsid w:val="4DBC4E8E"/>
    <w:rsid w:val="4DFA37C5"/>
    <w:rsid w:val="4E2D45A3"/>
    <w:rsid w:val="4E3E781E"/>
    <w:rsid w:val="4EAB3C0F"/>
    <w:rsid w:val="4EF97CCF"/>
    <w:rsid w:val="4F224DE2"/>
    <w:rsid w:val="4F546199"/>
    <w:rsid w:val="4F9B2513"/>
    <w:rsid w:val="4FEA35AB"/>
    <w:rsid w:val="500838BD"/>
    <w:rsid w:val="50457EC4"/>
    <w:rsid w:val="507236C7"/>
    <w:rsid w:val="508E3E17"/>
    <w:rsid w:val="509E33DF"/>
    <w:rsid w:val="50B754D2"/>
    <w:rsid w:val="50C226B3"/>
    <w:rsid w:val="51044EFD"/>
    <w:rsid w:val="511A4B9B"/>
    <w:rsid w:val="51496E60"/>
    <w:rsid w:val="518319DB"/>
    <w:rsid w:val="52ED6503"/>
    <w:rsid w:val="531A48AB"/>
    <w:rsid w:val="532911DE"/>
    <w:rsid w:val="532B34AD"/>
    <w:rsid w:val="534421A2"/>
    <w:rsid w:val="53590226"/>
    <w:rsid w:val="537D4BC8"/>
    <w:rsid w:val="53B06768"/>
    <w:rsid w:val="53B8514E"/>
    <w:rsid w:val="53EB1A20"/>
    <w:rsid w:val="53F3482F"/>
    <w:rsid w:val="542257CE"/>
    <w:rsid w:val="54765D28"/>
    <w:rsid w:val="54CE5E83"/>
    <w:rsid w:val="54CF1D21"/>
    <w:rsid w:val="54F739BD"/>
    <w:rsid w:val="5560589C"/>
    <w:rsid w:val="56895148"/>
    <w:rsid w:val="56BA5BB0"/>
    <w:rsid w:val="56D76AA6"/>
    <w:rsid w:val="57404D50"/>
    <w:rsid w:val="57524760"/>
    <w:rsid w:val="577F5BDC"/>
    <w:rsid w:val="578E259D"/>
    <w:rsid w:val="578F044A"/>
    <w:rsid w:val="57B24831"/>
    <w:rsid w:val="57ED5DF0"/>
    <w:rsid w:val="58045F95"/>
    <w:rsid w:val="580C142F"/>
    <w:rsid w:val="581729DC"/>
    <w:rsid w:val="58484E46"/>
    <w:rsid w:val="58635B1F"/>
    <w:rsid w:val="593C5D80"/>
    <w:rsid w:val="59A5045C"/>
    <w:rsid w:val="59A548C4"/>
    <w:rsid w:val="59D32AE1"/>
    <w:rsid w:val="59D900A1"/>
    <w:rsid w:val="5A2275C4"/>
    <w:rsid w:val="5A3333AB"/>
    <w:rsid w:val="5A6E70DB"/>
    <w:rsid w:val="5B085874"/>
    <w:rsid w:val="5B6F470D"/>
    <w:rsid w:val="5BA2421C"/>
    <w:rsid w:val="5BC07095"/>
    <w:rsid w:val="5C505B7F"/>
    <w:rsid w:val="5D0C2528"/>
    <w:rsid w:val="5D435D42"/>
    <w:rsid w:val="5D474177"/>
    <w:rsid w:val="5DF23859"/>
    <w:rsid w:val="5DFB21BF"/>
    <w:rsid w:val="5E856373"/>
    <w:rsid w:val="5E8D252F"/>
    <w:rsid w:val="5ED03AEA"/>
    <w:rsid w:val="5ED835EF"/>
    <w:rsid w:val="5F177E87"/>
    <w:rsid w:val="5F44193B"/>
    <w:rsid w:val="5F5869C2"/>
    <w:rsid w:val="5F7539E9"/>
    <w:rsid w:val="5F8C2A45"/>
    <w:rsid w:val="5FCF1AF9"/>
    <w:rsid w:val="60A36FD5"/>
    <w:rsid w:val="60B97470"/>
    <w:rsid w:val="6182556E"/>
    <w:rsid w:val="61932CCA"/>
    <w:rsid w:val="6197535B"/>
    <w:rsid w:val="619D6103"/>
    <w:rsid w:val="619F2DEA"/>
    <w:rsid w:val="61FA6833"/>
    <w:rsid w:val="62242600"/>
    <w:rsid w:val="62827148"/>
    <w:rsid w:val="62BC4911"/>
    <w:rsid w:val="638E4817"/>
    <w:rsid w:val="63CA442B"/>
    <w:rsid w:val="63DD68BD"/>
    <w:rsid w:val="651370B6"/>
    <w:rsid w:val="65255A55"/>
    <w:rsid w:val="658E3654"/>
    <w:rsid w:val="659F60DA"/>
    <w:rsid w:val="660148B1"/>
    <w:rsid w:val="661034D2"/>
    <w:rsid w:val="662A23B9"/>
    <w:rsid w:val="66345D7F"/>
    <w:rsid w:val="666408FA"/>
    <w:rsid w:val="66662B4A"/>
    <w:rsid w:val="668E473B"/>
    <w:rsid w:val="669D1871"/>
    <w:rsid w:val="66A5156C"/>
    <w:rsid w:val="67650753"/>
    <w:rsid w:val="67750B61"/>
    <w:rsid w:val="6793213C"/>
    <w:rsid w:val="67CC671A"/>
    <w:rsid w:val="682F289A"/>
    <w:rsid w:val="685A1421"/>
    <w:rsid w:val="68740A3D"/>
    <w:rsid w:val="6886131F"/>
    <w:rsid w:val="68D07FC0"/>
    <w:rsid w:val="68D35FC2"/>
    <w:rsid w:val="68F61BB8"/>
    <w:rsid w:val="69047A8A"/>
    <w:rsid w:val="698276A1"/>
    <w:rsid w:val="69BA2DC0"/>
    <w:rsid w:val="69F10E37"/>
    <w:rsid w:val="6A162DBE"/>
    <w:rsid w:val="6A227D8A"/>
    <w:rsid w:val="6A5401AB"/>
    <w:rsid w:val="6BAD1A8A"/>
    <w:rsid w:val="6C1A459F"/>
    <w:rsid w:val="6C1E160E"/>
    <w:rsid w:val="6CAC7192"/>
    <w:rsid w:val="6CCE143D"/>
    <w:rsid w:val="6D9B6939"/>
    <w:rsid w:val="6E5B4E94"/>
    <w:rsid w:val="6E772457"/>
    <w:rsid w:val="6E817577"/>
    <w:rsid w:val="6EF6701C"/>
    <w:rsid w:val="6F476D55"/>
    <w:rsid w:val="6F4E2F41"/>
    <w:rsid w:val="6F8A2408"/>
    <w:rsid w:val="6FE35999"/>
    <w:rsid w:val="6FF37BF7"/>
    <w:rsid w:val="6FF976DB"/>
    <w:rsid w:val="70113CFF"/>
    <w:rsid w:val="712A55F6"/>
    <w:rsid w:val="713A7E0F"/>
    <w:rsid w:val="71D60DF2"/>
    <w:rsid w:val="721F0848"/>
    <w:rsid w:val="721F0B4B"/>
    <w:rsid w:val="72A97F5A"/>
    <w:rsid w:val="72D552CD"/>
    <w:rsid w:val="730613D9"/>
    <w:rsid w:val="73546449"/>
    <w:rsid w:val="736C1F68"/>
    <w:rsid w:val="73761A23"/>
    <w:rsid w:val="739D5C4B"/>
    <w:rsid w:val="73ED475C"/>
    <w:rsid w:val="74042607"/>
    <w:rsid w:val="743E2A0C"/>
    <w:rsid w:val="74A809EC"/>
    <w:rsid w:val="74AD5838"/>
    <w:rsid w:val="74F97FA5"/>
    <w:rsid w:val="74FF13B3"/>
    <w:rsid w:val="75043B08"/>
    <w:rsid w:val="755572A4"/>
    <w:rsid w:val="75CB71E5"/>
    <w:rsid w:val="75EB23A4"/>
    <w:rsid w:val="76704272"/>
    <w:rsid w:val="76962BA0"/>
    <w:rsid w:val="76A057DC"/>
    <w:rsid w:val="76A4015A"/>
    <w:rsid w:val="76A71AFD"/>
    <w:rsid w:val="76BF14B5"/>
    <w:rsid w:val="77172FFB"/>
    <w:rsid w:val="7783095E"/>
    <w:rsid w:val="77CB59CE"/>
    <w:rsid w:val="77CF7AB3"/>
    <w:rsid w:val="77ED58A5"/>
    <w:rsid w:val="77FD19D7"/>
    <w:rsid w:val="78527965"/>
    <w:rsid w:val="78685ED2"/>
    <w:rsid w:val="787130AD"/>
    <w:rsid w:val="789631FF"/>
    <w:rsid w:val="78971F8F"/>
    <w:rsid w:val="792B26F9"/>
    <w:rsid w:val="79BD2C2C"/>
    <w:rsid w:val="7A042232"/>
    <w:rsid w:val="7A53581B"/>
    <w:rsid w:val="7A580756"/>
    <w:rsid w:val="7A675949"/>
    <w:rsid w:val="7AB37F25"/>
    <w:rsid w:val="7B49579E"/>
    <w:rsid w:val="7BAF6BC4"/>
    <w:rsid w:val="7C271FE3"/>
    <w:rsid w:val="7C3C580F"/>
    <w:rsid w:val="7C5A5631"/>
    <w:rsid w:val="7C9544D3"/>
    <w:rsid w:val="7CA102FB"/>
    <w:rsid w:val="7DAB5825"/>
    <w:rsid w:val="7DC70881"/>
    <w:rsid w:val="7DF9323A"/>
    <w:rsid w:val="7E3738C8"/>
    <w:rsid w:val="7EB43F11"/>
    <w:rsid w:val="7EB443DF"/>
    <w:rsid w:val="7EB92ACB"/>
    <w:rsid w:val="7EBB63F5"/>
    <w:rsid w:val="7ED81A1A"/>
    <w:rsid w:val="7EFC46A7"/>
    <w:rsid w:val="7F003F39"/>
    <w:rsid w:val="7F055E87"/>
    <w:rsid w:val="7F0A4DF1"/>
    <w:rsid w:val="7F187A71"/>
    <w:rsid w:val="7F240DBA"/>
    <w:rsid w:val="7F4A659D"/>
    <w:rsid w:val="7F696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54"/>
    <w:qFormat/>
    <w:uiPriority w:val="9"/>
    <w:pPr>
      <w:keepNext/>
      <w:keepLines/>
      <w:numPr>
        <w:ilvl w:val="0"/>
        <w:numId w:val="1"/>
      </w:numPr>
      <w:spacing w:beforeLines="50" w:afterLines="50"/>
      <w:ind w:left="0" w:firstLine="0"/>
      <w:outlineLvl w:val="0"/>
    </w:pPr>
    <w:rPr>
      <w:rFonts w:eastAsia="黑体"/>
      <w:b/>
      <w:bCs/>
      <w:kern w:val="44"/>
      <w:szCs w:val="44"/>
    </w:rPr>
  </w:style>
  <w:style w:type="paragraph" w:styleId="3">
    <w:name w:val="heading 2"/>
    <w:basedOn w:val="1"/>
    <w:next w:val="1"/>
    <w:link w:val="55"/>
    <w:qFormat/>
    <w:uiPriority w:val="99"/>
    <w:pPr>
      <w:keepNext/>
      <w:keepLines/>
      <w:numPr>
        <w:ilvl w:val="1"/>
        <w:numId w:val="1"/>
      </w:numPr>
      <w:ind w:left="0" w:firstLine="0"/>
      <w:outlineLvl w:val="1"/>
    </w:pPr>
    <w:rPr>
      <w:rFonts w:ascii="Arial" w:hAnsi="Arial" w:eastAsia="黑体"/>
      <w:b/>
      <w:bCs/>
      <w:szCs w:val="32"/>
    </w:rPr>
  </w:style>
  <w:style w:type="paragraph" w:styleId="4">
    <w:name w:val="heading 3"/>
    <w:basedOn w:val="1"/>
    <w:next w:val="1"/>
    <w:link w:val="56"/>
    <w:qFormat/>
    <w:uiPriority w:val="99"/>
    <w:pPr>
      <w:keepNext/>
      <w:keepLines/>
      <w:numPr>
        <w:ilvl w:val="2"/>
        <w:numId w:val="1"/>
      </w:numPr>
      <w:ind w:left="0" w:firstLine="0"/>
      <w:outlineLvl w:val="2"/>
    </w:pPr>
    <w:rPr>
      <w:bCs/>
      <w:szCs w:val="32"/>
    </w:rPr>
  </w:style>
  <w:style w:type="paragraph" w:styleId="5">
    <w:name w:val="heading 4"/>
    <w:basedOn w:val="1"/>
    <w:next w:val="1"/>
    <w:link w:val="57"/>
    <w:qFormat/>
    <w:uiPriority w:val="99"/>
    <w:pPr>
      <w:keepNext/>
      <w:keepLines/>
      <w:numPr>
        <w:ilvl w:val="3"/>
        <w:numId w:val="1"/>
      </w:numPr>
      <w:ind w:left="0" w:firstLine="0"/>
      <w:outlineLvl w:val="3"/>
    </w:pPr>
    <w:rPr>
      <w:rFonts w:ascii="Arial" w:hAnsi="Arial"/>
      <w:bCs/>
      <w:szCs w:val="28"/>
    </w:rPr>
  </w:style>
  <w:style w:type="paragraph" w:styleId="6">
    <w:name w:val="heading 5"/>
    <w:basedOn w:val="1"/>
    <w:next w:val="1"/>
    <w:link w:val="58"/>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9"/>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60"/>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61"/>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62"/>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sz w:val="20"/>
      <w:szCs w:val="20"/>
    </w:rPr>
  </w:style>
  <w:style w:type="paragraph" w:styleId="13">
    <w:name w:val="Normal Indent"/>
    <w:basedOn w:val="1"/>
    <w:qFormat/>
    <w:uiPriority w:val="0"/>
    <w:pPr>
      <w:tabs>
        <w:tab w:val="left" w:pos="1440"/>
      </w:tabs>
      <w:adjustRightInd w:val="0"/>
      <w:spacing w:line="360" w:lineRule="atLeast"/>
      <w:ind w:left="1440" w:hanging="720"/>
      <w:jc w:val="left"/>
      <w:textAlignment w:val="baseline"/>
    </w:pPr>
    <w:rPr>
      <w:kern w:val="0"/>
      <w:sz w:val="24"/>
      <w:szCs w:val="20"/>
    </w:rPr>
  </w:style>
  <w:style w:type="paragraph" w:styleId="14">
    <w:name w:val="caption"/>
    <w:basedOn w:val="1"/>
    <w:next w:val="1"/>
    <w:qFormat/>
    <w:uiPriority w:val="0"/>
    <w:pPr>
      <w:spacing w:before="152"/>
    </w:pPr>
    <w:rPr>
      <w:rFonts w:ascii="Arial" w:hAnsi="Arial" w:eastAsia="黑体" w:cs="Arial"/>
      <w:sz w:val="20"/>
      <w:szCs w:val="20"/>
    </w:rPr>
  </w:style>
  <w:style w:type="paragraph" w:styleId="15">
    <w:name w:val="index 5"/>
    <w:basedOn w:val="1"/>
    <w:next w:val="1"/>
    <w:qFormat/>
    <w:uiPriority w:val="0"/>
    <w:pPr>
      <w:ind w:left="1050" w:hanging="210"/>
      <w:jc w:val="left"/>
    </w:pPr>
    <w:rPr>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63"/>
    <w:qFormat/>
    <w:uiPriority w:val="99"/>
    <w:pPr>
      <w:jc w:val="left"/>
    </w:pPr>
  </w:style>
  <w:style w:type="paragraph" w:styleId="18">
    <w:name w:val="index 6"/>
    <w:basedOn w:val="1"/>
    <w:next w:val="1"/>
    <w:qFormat/>
    <w:uiPriority w:val="0"/>
    <w:pPr>
      <w:ind w:left="1260" w:hanging="210"/>
      <w:jc w:val="left"/>
    </w:pPr>
    <w:rPr>
      <w:sz w:val="20"/>
      <w:szCs w:val="20"/>
    </w:rPr>
  </w:style>
  <w:style w:type="paragraph" w:styleId="19">
    <w:name w:val="index 4"/>
    <w:basedOn w:val="1"/>
    <w:next w:val="1"/>
    <w:qFormat/>
    <w:uiPriority w:val="0"/>
    <w:pPr>
      <w:ind w:left="840" w:hanging="210"/>
      <w:jc w:val="left"/>
    </w:pPr>
    <w:rPr>
      <w:sz w:val="20"/>
      <w:szCs w:val="20"/>
    </w:rPr>
  </w:style>
  <w:style w:type="paragraph" w:styleId="20">
    <w:name w:val="toc 5"/>
    <w:basedOn w:val="1"/>
    <w:next w:val="1"/>
    <w:qFormat/>
    <w:uiPriority w:val="39"/>
    <w:pPr>
      <w:tabs>
        <w:tab w:val="right" w:leader="dot" w:pos="9241"/>
      </w:tabs>
      <w:ind w:firstLine="300" w:firstLineChars="300"/>
      <w:jc w:val="left"/>
    </w:pPr>
    <w:rPr>
      <w:rFonts w:ascii="宋体"/>
      <w:szCs w:val="21"/>
    </w:rPr>
  </w:style>
  <w:style w:type="paragraph" w:styleId="21">
    <w:name w:val="toc 3"/>
    <w:basedOn w:val="1"/>
    <w:next w:val="1"/>
    <w:qFormat/>
    <w:uiPriority w:val="39"/>
    <w:pPr>
      <w:tabs>
        <w:tab w:val="right" w:leader="dot" w:pos="9241"/>
      </w:tabs>
      <w:ind w:firstLine="102" w:firstLineChars="100"/>
      <w:jc w:val="left"/>
    </w:pPr>
    <w:rPr>
      <w:rFonts w:ascii="宋体"/>
      <w:szCs w:val="21"/>
    </w:rPr>
  </w:style>
  <w:style w:type="paragraph" w:styleId="22">
    <w:name w:val="Plain Text"/>
    <w:basedOn w:val="1"/>
    <w:link w:val="64"/>
    <w:qFormat/>
    <w:uiPriority w:val="0"/>
    <w:pPr>
      <w:numPr>
        <w:ilvl w:val="0"/>
        <w:numId w:val="2"/>
      </w:numPr>
    </w:pPr>
    <w:rPr>
      <w:rFonts w:ascii="宋体" w:hAnsi="Courier New"/>
      <w:szCs w:val="21"/>
    </w:rPr>
  </w:style>
  <w:style w:type="paragraph" w:styleId="23">
    <w:name w:val="toc 8"/>
    <w:basedOn w:val="1"/>
    <w:next w:val="1"/>
    <w:qFormat/>
    <w:uiPriority w:val="39"/>
    <w:pPr>
      <w:tabs>
        <w:tab w:val="right" w:leader="dot" w:pos="9241"/>
      </w:tabs>
      <w:ind w:firstLine="607" w:firstLineChars="600"/>
      <w:jc w:val="left"/>
    </w:pPr>
    <w:rPr>
      <w:rFonts w:ascii="宋体"/>
      <w:szCs w:val="21"/>
    </w:rPr>
  </w:style>
  <w:style w:type="paragraph" w:styleId="24">
    <w:name w:val="index 3"/>
    <w:basedOn w:val="1"/>
    <w:next w:val="1"/>
    <w:qFormat/>
    <w:uiPriority w:val="0"/>
    <w:pPr>
      <w:ind w:left="630" w:hanging="210"/>
      <w:jc w:val="left"/>
    </w:pPr>
    <w:rPr>
      <w:sz w:val="20"/>
      <w:szCs w:val="20"/>
    </w:rPr>
  </w:style>
  <w:style w:type="paragraph" w:styleId="25">
    <w:name w:val="endnote text"/>
    <w:basedOn w:val="1"/>
    <w:semiHidden/>
    <w:qFormat/>
    <w:uiPriority w:val="0"/>
    <w:pPr>
      <w:snapToGrid w:val="0"/>
      <w:jc w:val="left"/>
    </w:pPr>
  </w:style>
  <w:style w:type="paragraph" w:styleId="26">
    <w:name w:val="Balloon Text"/>
    <w:basedOn w:val="1"/>
    <w:link w:val="65"/>
    <w:qFormat/>
    <w:uiPriority w:val="99"/>
    <w:rPr>
      <w:sz w:val="18"/>
      <w:szCs w:val="18"/>
    </w:rPr>
  </w:style>
  <w:style w:type="paragraph" w:styleId="27">
    <w:name w:val="footer"/>
    <w:basedOn w:val="1"/>
    <w:link w:val="66"/>
    <w:qFormat/>
    <w:uiPriority w:val="99"/>
    <w:pPr>
      <w:snapToGrid w:val="0"/>
      <w:ind w:right="210" w:rightChars="100"/>
      <w:jc w:val="right"/>
    </w:pPr>
    <w:rPr>
      <w:sz w:val="18"/>
      <w:szCs w:val="18"/>
    </w:rPr>
  </w:style>
  <w:style w:type="paragraph" w:styleId="28">
    <w:name w:val="header"/>
    <w:basedOn w:val="1"/>
    <w:link w:val="67"/>
    <w:qFormat/>
    <w:uiPriority w:val="99"/>
    <w:pPr>
      <w:snapToGrid w:val="0"/>
      <w:jc w:val="left"/>
    </w:pPr>
    <w:rPr>
      <w:sz w:val="18"/>
      <w:szCs w:val="18"/>
    </w:rPr>
  </w:style>
  <w:style w:type="paragraph" w:styleId="29">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0">
    <w:name w:val="toc 4"/>
    <w:basedOn w:val="1"/>
    <w:next w:val="1"/>
    <w:qFormat/>
    <w:uiPriority w:val="39"/>
    <w:pPr>
      <w:tabs>
        <w:tab w:val="right" w:leader="dot" w:pos="9241"/>
      </w:tabs>
      <w:ind w:firstLine="198" w:firstLineChars="200"/>
      <w:jc w:val="left"/>
    </w:pPr>
    <w:rPr>
      <w:rFonts w:ascii="宋体"/>
      <w:szCs w:val="21"/>
    </w:rPr>
  </w:style>
  <w:style w:type="paragraph" w:styleId="31">
    <w:name w:val="index heading"/>
    <w:basedOn w:val="1"/>
    <w:next w:val="32"/>
    <w:qFormat/>
    <w:uiPriority w:val="0"/>
    <w:pPr>
      <w:spacing w:before="120" w:after="120"/>
      <w:jc w:val="center"/>
    </w:pPr>
    <w:rPr>
      <w:b/>
      <w:bCs/>
      <w:iCs/>
      <w:szCs w:val="20"/>
    </w:rPr>
  </w:style>
  <w:style w:type="paragraph" w:styleId="32">
    <w:name w:val="index 1"/>
    <w:basedOn w:val="1"/>
    <w:next w:val="33"/>
    <w:qFormat/>
    <w:uiPriority w:val="0"/>
    <w:pPr>
      <w:tabs>
        <w:tab w:val="right" w:leader="dot" w:pos="9299"/>
      </w:tabs>
      <w:jc w:val="left"/>
    </w:pPr>
    <w:rPr>
      <w:rFonts w:ascii="宋体"/>
      <w:szCs w:val="21"/>
    </w:rPr>
  </w:style>
  <w:style w:type="paragraph" w:customStyle="1" w:styleId="33">
    <w:name w:val="段"/>
    <w:link w:val="68"/>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lang w:val="en-US" w:eastAsia="zh-CN" w:bidi="ar-SA"/>
    </w:rPr>
  </w:style>
  <w:style w:type="paragraph" w:styleId="34">
    <w:name w:val="footnote text"/>
    <w:basedOn w:val="1"/>
    <w:link w:val="202"/>
    <w:qFormat/>
    <w:uiPriority w:val="0"/>
    <w:pPr>
      <w:numPr>
        <w:ilvl w:val="0"/>
        <w:numId w:val="3"/>
      </w:numPr>
      <w:snapToGrid w:val="0"/>
      <w:jc w:val="left"/>
    </w:pPr>
    <w:rPr>
      <w:rFonts w:ascii="宋体"/>
      <w:sz w:val="18"/>
      <w:szCs w:val="18"/>
    </w:rPr>
  </w:style>
  <w:style w:type="paragraph" w:styleId="35">
    <w:name w:val="toc 6"/>
    <w:basedOn w:val="1"/>
    <w:next w:val="1"/>
    <w:qFormat/>
    <w:uiPriority w:val="39"/>
    <w:pPr>
      <w:tabs>
        <w:tab w:val="right" w:leader="dot" w:pos="9241"/>
      </w:tabs>
      <w:ind w:firstLine="403" w:firstLineChars="400"/>
      <w:jc w:val="left"/>
    </w:pPr>
    <w:rPr>
      <w:rFonts w:ascii="宋体"/>
      <w:szCs w:val="21"/>
    </w:rPr>
  </w:style>
  <w:style w:type="paragraph" w:styleId="36">
    <w:name w:val="index 7"/>
    <w:basedOn w:val="1"/>
    <w:next w:val="1"/>
    <w:qFormat/>
    <w:uiPriority w:val="0"/>
    <w:pPr>
      <w:ind w:left="1470" w:hanging="210"/>
      <w:jc w:val="left"/>
    </w:pPr>
    <w:rPr>
      <w:sz w:val="20"/>
      <w:szCs w:val="20"/>
    </w:rPr>
  </w:style>
  <w:style w:type="paragraph" w:styleId="37">
    <w:name w:val="index 9"/>
    <w:basedOn w:val="1"/>
    <w:next w:val="1"/>
    <w:qFormat/>
    <w:uiPriority w:val="0"/>
    <w:pPr>
      <w:ind w:left="1890" w:hanging="210"/>
      <w:jc w:val="left"/>
    </w:pPr>
    <w:rPr>
      <w:sz w:val="20"/>
      <w:szCs w:val="20"/>
    </w:rPr>
  </w:style>
  <w:style w:type="paragraph" w:styleId="38">
    <w:name w:val="toc 2"/>
    <w:basedOn w:val="1"/>
    <w:next w:val="1"/>
    <w:qFormat/>
    <w:uiPriority w:val="39"/>
    <w:pPr>
      <w:tabs>
        <w:tab w:val="right" w:leader="dot" w:pos="9241"/>
      </w:tabs>
    </w:pPr>
    <w:rPr>
      <w:rFonts w:ascii="宋体"/>
      <w:szCs w:val="21"/>
    </w:rPr>
  </w:style>
  <w:style w:type="paragraph" w:styleId="39">
    <w:name w:val="toc 9"/>
    <w:basedOn w:val="1"/>
    <w:next w:val="1"/>
    <w:qFormat/>
    <w:uiPriority w:val="39"/>
    <w:pPr>
      <w:ind w:left="1470"/>
      <w:jc w:val="left"/>
    </w:pPr>
    <w:rPr>
      <w:sz w:val="20"/>
      <w:szCs w:val="20"/>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2"/>
    <w:basedOn w:val="1"/>
    <w:next w:val="1"/>
    <w:qFormat/>
    <w:uiPriority w:val="0"/>
    <w:pPr>
      <w:ind w:left="420" w:hanging="210"/>
      <w:jc w:val="left"/>
    </w:pPr>
    <w:rPr>
      <w:sz w:val="20"/>
      <w:szCs w:val="20"/>
    </w:rPr>
  </w:style>
  <w:style w:type="paragraph" w:styleId="42">
    <w:name w:val="annotation subject"/>
    <w:basedOn w:val="17"/>
    <w:next w:val="17"/>
    <w:link w:val="69"/>
    <w:qFormat/>
    <w:uiPriority w:val="99"/>
    <w:rPr>
      <w:b/>
      <w:bCs/>
    </w:rPr>
  </w:style>
  <w:style w:type="table" w:styleId="44">
    <w:name w:val="Table Grid"/>
    <w:basedOn w:val="4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endnote reference"/>
    <w:semiHidden/>
    <w:qFormat/>
    <w:uiPriority w:val="0"/>
    <w:rPr>
      <w:vertAlign w:val="superscript"/>
    </w:rPr>
  </w:style>
  <w:style w:type="character" w:styleId="47">
    <w:name w:val="page number"/>
    <w:qFormat/>
    <w:uiPriority w:val="0"/>
    <w:rPr>
      <w:rFonts w:ascii="Times New Roman" w:hAnsi="Times New Roman" w:eastAsia="宋体"/>
      <w:sz w:val="18"/>
    </w:rPr>
  </w:style>
  <w:style w:type="character" w:styleId="48">
    <w:name w:val="FollowedHyperlink"/>
    <w:qFormat/>
    <w:uiPriority w:val="0"/>
    <w:rPr>
      <w:color w:val="800080"/>
      <w:u w:val="single"/>
    </w:rPr>
  </w:style>
  <w:style w:type="character" w:styleId="49">
    <w:name w:val="Hyperlink"/>
    <w:basedOn w:val="45"/>
    <w:qFormat/>
    <w:uiPriority w:val="99"/>
    <w:rPr>
      <w:color w:val="0000FF"/>
      <w:spacing w:val="0"/>
      <w:w w:val="100"/>
      <w:szCs w:val="21"/>
      <w:u w:val="single"/>
    </w:rPr>
  </w:style>
  <w:style w:type="character" w:styleId="50">
    <w:name w:val="annotation reference"/>
    <w:qFormat/>
    <w:uiPriority w:val="99"/>
    <w:rPr>
      <w:sz w:val="21"/>
      <w:szCs w:val="21"/>
    </w:rPr>
  </w:style>
  <w:style w:type="character" w:styleId="51">
    <w:name w:val="footnote reference"/>
    <w:semiHidden/>
    <w:qFormat/>
    <w:uiPriority w:val="0"/>
    <w:rPr>
      <w:vertAlign w:val="superscript"/>
    </w:rPr>
  </w:style>
  <w:style w:type="paragraph" w:customStyle="1" w:styleId="52">
    <w:name w:val="标题 5（有编号）（绿盟科技）"/>
    <w:basedOn w:val="1"/>
    <w:next w:val="53"/>
    <w:qFormat/>
    <w:uiPriority w:val="0"/>
    <w:pPr>
      <w:keepNext/>
      <w:keepLines/>
      <w:numPr>
        <w:ilvl w:val="4"/>
        <w:numId w:val="4"/>
      </w:numPr>
      <w:spacing w:before="280" w:after="156" w:line="377" w:lineRule="auto"/>
      <w:outlineLvl w:val="4"/>
    </w:pPr>
    <w:rPr>
      <w:rFonts w:ascii="Arial" w:hAnsi="Arial" w:eastAsia="黑体"/>
      <w:b/>
      <w:sz w:val="24"/>
      <w:szCs w:val="28"/>
    </w:rPr>
  </w:style>
  <w:style w:type="paragraph" w:customStyle="1" w:styleId="53">
    <w:name w:val="正文（绿盟科技）"/>
    <w:qFormat/>
    <w:uiPriority w:val="0"/>
    <w:pPr>
      <w:spacing w:after="160" w:line="300" w:lineRule="auto"/>
    </w:pPr>
    <w:rPr>
      <w:rFonts w:ascii="Arial" w:hAnsi="Arial" w:eastAsia="宋体" w:cs="黑体"/>
      <w:sz w:val="21"/>
      <w:szCs w:val="21"/>
      <w:lang w:val="en-US" w:eastAsia="zh-CN" w:bidi="ar-SA"/>
    </w:rPr>
  </w:style>
  <w:style w:type="character" w:customStyle="1" w:styleId="54">
    <w:name w:val="标题 1 字符"/>
    <w:link w:val="2"/>
    <w:qFormat/>
    <w:uiPriority w:val="9"/>
    <w:rPr>
      <w:rFonts w:eastAsia="黑体"/>
      <w:b/>
      <w:bCs/>
      <w:kern w:val="44"/>
      <w:sz w:val="21"/>
      <w:szCs w:val="44"/>
      <w:lang w:bidi="ar-SA"/>
    </w:rPr>
  </w:style>
  <w:style w:type="character" w:customStyle="1" w:styleId="55">
    <w:name w:val="标题 2 字符"/>
    <w:link w:val="3"/>
    <w:qFormat/>
    <w:uiPriority w:val="99"/>
    <w:rPr>
      <w:rFonts w:ascii="Arial" w:hAnsi="Arial" w:eastAsia="黑体"/>
      <w:b/>
      <w:bCs/>
      <w:kern w:val="2"/>
      <w:sz w:val="21"/>
      <w:szCs w:val="32"/>
      <w:lang w:bidi="ar-SA"/>
    </w:rPr>
  </w:style>
  <w:style w:type="character" w:customStyle="1" w:styleId="56">
    <w:name w:val="标题 3 字符"/>
    <w:link w:val="4"/>
    <w:qFormat/>
    <w:uiPriority w:val="99"/>
    <w:rPr>
      <w:rFonts w:eastAsia="宋体"/>
      <w:bCs/>
      <w:kern w:val="2"/>
      <w:sz w:val="21"/>
      <w:szCs w:val="32"/>
      <w:lang w:bidi="ar-SA"/>
    </w:rPr>
  </w:style>
  <w:style w:type="character" w:customStyle="1" w:styleId="57">
    <w:name w:val="标题 4 字符"/>
    <w:link w:val="5"/>
    <w:qFormat/>
    <w:uiPriority w:val="99"/>
    <w:rPr>
      <w:rFonts w:ascii="Arial" w:hAnsi="Arial" w:eastAsia="宋体"/>
      <w:bCs/>
      <w:kern w:val="2"/>
      <w:sz w:val="21"/>
      <w:szCs w:val="28"/>
      <w:lang w:bidi="ar-SA"/>
    </w:rPr>
  </w:style>
  <w:style w:type="character" w:customStyle="1" w:styleId="58">
    <w:name w:val="标题 5 字符"/>
    <w:link w:val="6"/>
    <w:qFormat/>
    <w:uiPriority w:val="99"/>
    <w:rPr>
      <w:rFonts w:eastAsia="宋体"/>
      <w:b/>
      <w:bCs/>
      <w:kern w:val="2"/>
      <w:sz w:val="28"/>
      <w:szCs w:val="28"/>
      <w:lang w:bidi="ar-SA"/>
    </w:rPr>
  </w:style>
  <w:style w:type="character" w:customStyle="1" w:styleId="59">
    <w:name w:val="标题 6 字符"/>
    <w:link w:val="7"/>
    <w:qFormat/>
    <w:uiPriority w:val="99"/>
    <w:rPr>
      <w:rFonts w:ascii="Arial" w:hAnsi="Arial" w:eastAsia="黑体"/>
      <w:b/>
      <w:bCs/>
      <w:kern w:val="2"/>
      <w:sz w:val="24"/>
      <w:szCs w:val="24"/>
      <w:lang w:bidi="ar-SA"/>
    </w:rPr>
  </w:style>
  <w:style w:type="character" w:customStyle="1" w:styleId="60">
    <w:name w:val="标题 7 字符"/>
    <w:link w:val="8"/>
    <w:qFormat/>
    <w:uiPriority w:val="99"/>
    <w:rPr>
      <w:rFonts w:eastAsia="宋体"/>
      <w:b/>
      <w:bCs/>
      <w:kern w:val="2"/>
      <w:sz w:val="24"/>
      <w:szCs w:val="24"/>
      <w:lang w:bidi="ar-SA"/>
    </w:rPr>
  </w:style>
  <w:style w:type="character" w:customStyle="1" w:styleId="61">
    <w:name w:val="标题 8 字符"/>
    <w:link w:val="9"/>
    <w:qFormat/>
    <w:uiPriority w:val="99"/>
    <w:rPr>
      <w:rFonts w:ascii="Arial" w:hAnsi="Arial" w:eastAsia="黑体"/>
      <w:kern w:val="2"/>
      <w:sz w:val="24"/>
      <w:szCs w:val="24"/>
      <w:lang w:bidi="ar-SA"/>
    </w:rPr>
  </w:style>
  <w:style w:type="character" w:customStyle="1" w:styleId="62">
    <w:name w:val="标题 9 字符"/>
    <w:link w:val="10"/>
    <w:qFormat/>
    <w:uiPriority w:val="99"/>
    <w:rPr>
      <w:rFonts w:ascii="Arial" w:hAnsi="Arial" w:eastAsia="黑体"/>
      <w:kern w:val="2"/>
      <w:sz w:val="21"/>
      <w:szCs w:val="21"/>
      <w:lang w:bidi="ar-SA"/>
    </w:rPr>
  </w:style>
  <w:style w:type="character" w:customStyle="1" w:styleId="63">
    <w:name w:val="批注文字 字符"/>
    <w:link w:val="17"/>
    <w:qFormat/>
    <w:uiPriority w:val="99"/>
    <w:rPr>
      <w:kern w:val="2"/>
      <w:sz w:val="21"/>
      <w:szCs w:val="24"/>
    </w:rPr>
  </w:style>
  <w:style w:type="character" w:customStyle="1" w:styleId="64">
    <w:name w:val="纯文本 字符"/>
    <w:link w:val="22"/>
    <w:qFormat/>
    <w:uiPriority w:val="0"/>
    <w:rPr>
      <w:rFonts w:ascii="宋体" w:hAnsi="Courier New" w:eastAsia="宋体"/>
      <w:kern w:val="2"/>
      <w:sz w:val="21"/>
      <w:szCs w:val="21"/>
      <w:lang w:bidi="ar-SA"/>
    </w:rPr>
  </w:style>
  <w:style w:type="character" w:customStyle="1" w:styleId="65">
    <w:name w:val="批注框文本 字符"/>
    <w:link w:val="26"/>
    <w:qFormat/>
    <w:uiPriority w:val="99"/>
    <w:rPr>
      <w:kern w:val="2"/>
      <w:sz w:val="18"/>
      <w:szCs w:val="18"/>
    </w:rPr>
  </w:style>
  <w:style w:type="character" w:customStyle="1" w:styleId="66">
    <w:name w:val="页脚 字符"/>
    <w:link w:val="27"/>
    <w:qFormat/>
    <w:uiPriority w:val="99"/>
    <w:rPr>
      <w:kern w:val="2"/>
      <w:sz w:val="18"/>
      <w:szCs w:val="18"/>
    </w:rPr>
  </w:style>
  <w:style w:type="character" w:customStyle="1" w:styleId="67">
    <w:name w:val="页眉 字符"/>
    <w:link w:val="28"/>
    <w:qFormat/>
    <w:uiPriority w:val="99"/>
    <w:rPr>
      <w:kern w:val="2"/>
      <w:sz w:val="18"/>
      <w:szCs w:val="18"/>
    </w:rPr>
  </w:style>
  <w:style w:type="character" w:customStyle="1" w:styleId="68">
    <w:name w:val="段 Char"/>
    <w:link w:val="33"/>
    <w:qFormat/>
    <w:uiPriority w:val="0"/>
    <w:rPr>
      <w:rFonts w:ascii="宋体"/>
      <w:sz w:val="21"/>
      <w:lang w:val="en-US" w:eastAsia="zh-CN" w:bidi="ar-SA"/>
    </w:rPr>
  </w:style>
  <w:style w:type="character" w:customStyle="1" w:styleId="69">
    <w:name w:val="批注主题 字符"/>
    <w:link w:val="42"/>
    <w:qFormat/>
    <w:uiPriority w:val="99"/>
    <w:rPr>
      <w:b/>
      <w:bCs/>
      <w:kern w:val="2"/>
      <w:sz w:val="21"/>
      <w:szCs w:val="24"/>
    </w:rPr>
  </w:style>
  <w:style w:type="character" w:customStyle="1" w:styleId="70">
    <w:name w:val="正文文本 (2)_"/>
    <w:link w:val="71"/>
    <w:qFormat/>
    <w:uiPriority w:val="0"/>
    <w:rPr>
      <w:rFonts w:ascii="MingLiU" w:hAnsi="MingLiU" w:eastAsia="MingLiU" w:cs="MingLiU"/>
      <w:sz w:val="78"/>
      <w:szCs w:val="78"/>
      <w:shd w:val="clear" w:color="auto" w:fill="FFFFFF"/>
    </w:rPr>
  </w:style>
  <w:style w:type="paragraph" w:customStyle="1" w:styleId="71">
    <w:name w:val="正文文本 (2)"/>
    <w:basedOn w:val="1"/>
    <w:link w:val="70"/>
    <w:qFormat/>
    <w:uiPriority w:val="0"/>
    <w:pPr>
      <w:shd w:val="clear" w:color="auto" w:fill="FFFFFF"/>
      <w:spacing w:after="12360" w:line="908" w:lineRule="exact"/>
      <w:ind w:hanging="1740"/>
      <w:jc w:val="left"/>
    </w:pPr>
    <w:rPr>
      <w:rFonts w:ascii="MingLiU" w:hAnsi="MingLiU" w:eastAsia="MingLiU"/>
      <w:kern w:val="0"/>
      <w:sz w:val="78"/>
      <w:szCs w:val="78"/>
    </w:rPr>
  </w:style>
  <w:style w:type="character" w:customStyle="1" w:styleId="72">
    <w:name w:val="已访问的超链接1"/>
    <w:qFormat/>
    <w:uiPriority w:val="0"/>
    <w:rPr>
      <w:color w:val="800080"/>
      <w:u w:val="single"/>
    </w:rPr>
  </w:style>
  <w:style w:type="character" w:customStyle="1" w:styleId="73">
    <w:name w:val="15"/>
    <w:qFormat/>
    <w:uiPriority w:val="0"/>
    <w:rPr>
      <w:rFonts w:hint="eastAsia" w:ascii="黑体" w:eastAsia="黑体"/>
      <w:b/>
      <w:bCs/>
      <w:sz w:val="28"/>
      <w:szCs w:val="28"/>
    </w:rPr>
  </w:style>
  <w:style w:type="character" w:customStyle="1" w:styleId="74">
    <w:name w:val="三级条标题 Char"/>
    <w:link w:val="75"/>
    <w:qFormat/>
    <w:uiPriority w:val="0"/>
    <w:rPr>
      <w:rFonts w:ascii="黑体" w:eastAsia="黑体"/>
      <w:sz w:val="21"/>
      <w:szCs w:val="21"/>
    </w:rPr>
  </w:style>
  <w:style w:type="paragraph" w:customStyle="1" w:styleId="75">
    <w:name w:val="三级条标题"/>
    <w:basedOn w:val="76"/>
    <w:next w:val="33"/>
    <w:link w:val="74"/>
    <w:qFormat/>
    <w:uiPriority w:val="0"/>
    <w:pPr>
      <w:numPr>
        <w:ilvl w:val="3"/>
      </w:numPr>
      <w:outlineLvl w:val="4"/>
    </w:pPr>
  </w:style>
  <w:style w:type="paragraph" w:customStyle="1" w:styleId="76">
    <w:name w:val="二级条标题"/>
    <w:basedOn w:val="77"/>
    <w:next w:val="33"/>
    <w:link w:val="78"/>
    <w:qFormat/>
    <w:uiPriority w:val="0"/>
    <w:pPr>
      <w:numPr>
        <w:ilvl w:val="2"/>
      </w:numPr>
      <w:spacing w:before="50" w:after="50"/>
      <w:outlineLvl w:val="3"/>
    </w:pPr>
  </w:style>
  <w:style w:type="paragraph" w:customStyle="1" w:styleId="77">
    <w:name w:val="一级条标题"/>
    <w:next w:val="33"/>
    <w:qFormat/>
    <w:uiPriority w:val="0"/>
    <w:pPr>
      <w:numPr>
        <w:ilvl w:val="1"/>
        <w:numId w:val="5"/>
      </w:numPr>
      <w:spacing w:before="156" w:beforeLines="50" w:after="156" w:afterLines="50" w:line="278" w:lineRule="auto"/>
      <w:outlineLvl w:val="2"/>
    </w:pPr>
    <w:rPr>
      <w:rFonts w:ascii="黑体" w:hAnsi="Calibri" w:eastAsia="黑体" w:cs="Times New Roman"/>
      <w:sz w:val="21"/>
      <w:szCs w:val="21"/>
      <w:lang w:val="en-US" w:eastAsia="zh-CN" w:bidi="ar-SA"/>
    </w:rPr>
  </w:style>
  <w:style w:type="character" w:customStyle="1" w:styleId="78">
    <w:name w:val="二级条标题 Char"/>
    <w:link w:val="76"/>
    <w:qFormat/>
    <w:locked/>
    <w:uiPriority w:val="0"/>
    <w:rPr>
      <w:rFonts w:ascii="黑体" w:eastAsia="黑体"/>
      <w:sz w:val="21"/>
      <w:szCs w:val="21"/>
    </w:rPr>
  </w:style>
  <w:style w:type="character" w:customStyle="1" w:styleId="79">
    <w:name w:val="trans"/>
    <w:basedOn w:val="45"/>
    <w:qFormat/>
    <w:uiPriority w:val="0"/>
  </w:style>
  <w:style w:type="character" w:customStyle="1" w:styleId="80">
    <w:name w:val="列项——（一级） Char"/>
    <w:link w:val="81"/>
    <w:qFormat/>
    <w:locked/>
    <w:uiPriority w:val="99"/>
    <w:rPr>
      <w:rFonts w:ascii="宋体"/>
      <w:sz w:val="21"/>
      <w:lang w:val="en-US" w:eastAsia="zh-CN" w:bidi="ar-SA"/>
    </w:rPr>
  </w:style>
  <w:style w:type="paragraph" w:customStyle="1" w:styleId="81">
    <w:name w:val="列项——（一级）"/>
    <w:link w:val="80"/>
    <w:qFormat/>
    <w:uiPriority w:val="99"/>
    <w:pPr>
      <w:widowControl w:val="0"/>
      <w:numPr>
        <w:ilvl w:val="0"/>
        <w:numId w:val="6"/>
      </w:numPr>
      <w:spacing w:after="160" w:line="278" w:lineRule="auto"/>
      <w:jc w:val="both"/>
    </w:pPr>
    <w:rPr>
      <w:rFonts w:ascii="宋体" w:hAnsi="Calibri" w:eastAsia="宋体" w:cs="Times New Roman"/>
      <w:sz w:val="21"/>
      <w:lang w:val="en-US" w:eastAsia="zh-CN" w:bidi="ar-SA"/>
    </w:rPr>
  </w:style>
  <w:style w:type="character" w:customStyle="1" w:styleId="82">
    <w:name w:val="字母编号列项（一级） Char"/>
    <w:link w:val="83"/>
    <w:qFormat/>
    <w:uiPriority w:val="0"/>
    <w:rPr>
      <w:rFonts w:ascii="宋体"/>
      <w:sz w:val="21"/>
      <w:lang w:val="en-US" w:eastAsia="zh-CN" w:bidi="ar-SA"/>
    </w:rPr>
  </w:style>
  <w:style w:type="paragraph" w:customStyle="1" w:styleId="83">
    <w:name w:val="字母编号列项（一级）"/>
    <w:link w:val="82"/>
    <w:qFormat/>
    <w:uiPriority w:val="0"/>
    <w:pPr>
      <w:tabs>
        <w:tab w:val="left" w:pos="839"/>
      </w:tabs>
      <w:spacing w:after="160" w:line="278" w:lineRule="auto"/>
      <w:jc w:val="both"/>
    </w:pPr>
    <w:rPr>
      <w:rFonts w:ascii="宋体" w:hAnsi="Calibri" w:eastAsia="宋体" w:cs="Times New Roman"/>
      <w:sz w:val="21"/>
      <w:lang w:val="en-US" w:eastAsia="zh-CN" w:bidi="ar-SA"/>
    </w:rPr>
  </w:style>
  <w:style w:type="character" w:customStyle="1" w:styleId="84">
    <w:name w:val="工程建设节标题 Char"/>
    <w:link w:val="85"/>
    <w:qFormat/>
    <w:uiPriority w:val="0"/>
    <w:rPr>
      <w:rFonts w:ascii="宋体" w:hAnsi="宋体"/>
      <w:sz w:val="21"/>
    </w:rPr>
  </w:style>
  <w:style w:type="paragraph" w:customStyle="1" w:styleId="85">
    <w:name w:val="工程建设节标题"/>
    <w:basedOn w:val="1"/>
    <w:next w:val="33"/>
    <w:link w:val="84"/>
    <w:qFormat/>
    <w:uiPriority w:val="0"/>
    <w:pPr>
      <w:widowControl/>
      <w:outlineLvl w:val="0"/>
    </w:pPr>
    <w:rPr>
      <w:rFonts w:ascii="宋体" w:hAnsi="宋体"/>
      <w:kern w:val="0"/>
      <w:szCs w:val="20"/>
    </w:rPr>
  </w:style>
  <w:style w:type="character" w:customStyle="1" w:styleId="86">
    <w:name w:val="批注文字 Char1"/>
    <w:qFormat/>
    <w:uiPriority w:val="0"/>
    <w:rPr>
      <w:kern w:val="2"/>
      <w:sz w:val="21"/>
      <w:szCs w:val="24"/>
    </w:rPr>
  </w:style>
  <w:style w:type="character" w:customStyle="1" w:styleId="87">
    <w:name w:val="发布"/>
    <w:qFormat/>
    <w:uiPriority w:val="0"/>
    <w:rPr>
      <w:rFonts w:ascii="黑体" w:eastAsia="黑体"/>
      <w:spacing w:val="85"/>
      <w:w w:val="100"/>
      <w:position w:val="3"/>
      <w:sz w:val="28"/>
      <w:szCs w:val="28"/>
    </w:rPr>
  </w:style>
  <w:style w:type="character" w:customStyle="1" w:styleId="88">
    <w:name w:val="首示例 Char"/>
    <w:link w:val="89"/>
    <w:qFormat/>
    <w:uiPriority w:val="0"/>
    <w:rPr>
      <w:rFonts w:ascii="宋体" w:hAnsi="宋体"/>
      <w:kern w:val="2"/>
      <w:sz w:val="18"/>
      <w:szCs w:val="18"/>
      <w:lang w:val="en-US" w:eastAsia="zh-CN" w:bidi="ar-SA"/>
    </w:rPr>
  </w:style>
  <w:style w:type="paragraph" w:customStyle="1" w:styleId="89">
    <w:name w:val="首示例"/>
    <w:next w:val="33"/>
    <w:link w:val="88"/>
    <w:qFormat/>
    <w:uiPriority w:val="0"/>
    <w:pPr>
      <w:numPr>
        <w:ilvl w:val="0"/>
        <w:numId w:val="7"/>
      </w:numPr>
      <w:tabs>
        <w:tab w:val="left" w:pos="360"/>
      </w:tabs>
      <w:spacing w:after="160" w:line="278" w:lineRule="auto"/>
      <w:ind w:firstLine="0"/>
    </w:pPr>
    <w:rPr>
      <w:rFonts w:ascii="宋体" w:hAnsi="宋体" w:eastAsia="宋体" w:cs="Times New Roman"/>
      <w:kern w:val="2"/>
      <w:sz w:val="18"/>
      <w:szCs w:val="18"/>
      <w:lang w:val="en-US" w:eastAsia="zh-CN" w:bidi="ar-SA"/>
    </w:rPr>
  </w:style>
  <w:style w:type="character" w:customStyle="1" w:styleId="90">
    <w:name w:val="附录公式 Char"/>
    <w:basedOn w:val="68"/>
    <w:link w:val="91"/>
    <w:qFormat/>
    <w:uiPriority w:val="0"/>
    <w:rPr>
      <w:rFonts w:ascii="宋体"/>
      <w:sz w:val="21"/>
      <w:lang w:val="en-US" w:eastAsia="zh-CN" w:bidi="ar-SA"/>
    </w:rPr>
  </w:style>
  <w:style w:type="paragraph" w:customStyle="1" w:styleId="91">
    <w:name w:val="附录公式"/>
    <w:basedOn w:val="33"/>
    <w:next w:val="33"/>
    <w:link w:val="90"/>
    <w:qFormat/>
    <w:uiPriority w:val="0"/>
  </w:style>
  <w:style w:type="paragraph" w:customStyle="1" w:styleId="92">
    <w:name w:val="封面标准英文名称2"/>
    <w:basedOn w:val="93"/>
    <w:qFormat/>
    <w:uiPriority w:val="0"/>
    <w:pPr>
      <w:framePr w:y="4469"/>
    </w:pPr>
  </w:style>
  <w:style w:type="paragraph" w:customStyle="1" w:styleId="93">
    <w:name w:val="封面标准英文名称"/>
    <w:basedOn w:val="94"/>
    <w:qFormat/>
    <w:uiPriority w:val="0"/>
    <w:pPr>
      <w:spacing w:before="370" w:line="400" w:lineRule="exact"/>
    </w:pPr>
    <w:rPr>
      <w:rFonts w:ascii="Times New Roman"/>
      <w:sz w:val="28"/>
      <w:szCs w:val="28"/>
    </w:rPr>
  </w:style>
  <w:style w:type="paragraph" w:customStyle="1" w:styleId="94">
    <w:name w:val="封面标准名称"/>
    <w:qFormat/>
    <w:uiPriority w:val="0"/>
    <w:pPr>
      <w:framePr w:w="9639" w:h="6917" w:hRule="exact" w:wrap="around" w:vAnchor="page" w:hAnchor="page" w:xAlign="center" w:y="6408" w:anchorLock="1"/>
      <w:widowControl w:val="0"/>
      <w:spacing w:after="160" w:line="680" w:lineRule="exact"/>
      <w:jc w:val="center"/>
      <w:textAlignment w:val="center"/>
    </w:pPr>
    <w:rPr>
      <w:rFonts w:ascii="黑体" w:hAnsi="Calibri" w:eastAsia="黑体" w:cs="Times New Roman"/>
      <w:sz w:val="52"/>
      <w:lang w:val="en-US" w:eastAsia="zh-CN" w:bidi="ar-SA"/>
    </w:rPr>
  </w:style>
  <w:style w:type="paragraph" w:customStyle="1" w:styleId="95">
    <w:name w:val="附录数字编号列项（二级）"/>
    <w:qFormat/>
    <w:uiPriority w:val="0"/>
    <w:pPr>
      <w:numPr>
        <w:ilvl w:val="1"/>
        <w:numId w:val="8"/>
      </w:numPr>
      <w:spacing w:after="160" w:line="278" w:lineRule="auto"/>
    </w:pPr>
    <w:rPr>
      <w:rFonts w:ascii="宋体" w:hAnsi="Calibri" w:eastAsia="宋体" w:cs="Times New Roman"/>
      <w:sz w:val="21"/>
      <w:lang w:val="en-US" w:eastAsia="zh-CN" w:bidi="ar-SA"/>
    </w:rPr>
  </w:style>
  <w:style w:type="paragraph" w:customStyle="1" w:styleId="96">
    <w:name w:val="三级无"/>
    <w:basedOn w:val="75"/>
    <w:qFormat/>
    <w:uiPriority w:val="0"/>
    <w:pPr>
      <w:spacing w:before="0" w:beforeLines="0" w:after="0" w:afterLines="0"/>
    </w:pPr>
    <w:rPr>
      <w:rFonts w:ascii="宋体" w:eastAsia="宋体"/>
    </w:rPr>
  </w:style>
  <w:style w:type="paragraph" w:customStyle="1" w:styleId="97">
    <w:name w:val="注×：（正文）"/>
    <w:qFormat/>
    <w:uiPriority w:val="0"/>
    <w:pPr>
      <w:numPr>
        <w:ilvl w:val="0"/>
        <w:numId w:val="9"/>
      </w:numPr>
      <w:spacing w:after="160" w:line="278" w:lineRule="auto"/>
      <w:jc w:val="both"/>
    </w:pPr>
    <w:rPr>
      <w:rFonts w:ascii="宋体" w:hAnsi="Calibri" w:eastAsia="宋体" w:cs="Times New Roman"/>
      <w:sz w:val="18"/>
      <w:szCs w:val="18"/>
      <w:lang w:val="en-US" w:eastAsia="zh-CN" w:bidi="ar-SA"/>
    </w:rPr>
  </w:style>
  <w:style w:type="paragraph" w:customStyle="1" w:styleId="98">
    <w:name w:val="附录二级无"/>
    <w:basedOn w:val="99"/>
    <w:qFormat/>
    <w:uiPriority w:val="0"/>
    <w:pPr>
      <w:tabs>
        <w:tab w:val="left" w:pos="360"/>
      </w:tabs>
      <w:spacing w:before="0" w:beforeLines="0" w:after="0" w:afterLines="0"/>
    </w:pPr>
    <w:rPr>
      <w:rFonts w:ascii="宋体" w:eastAsia="宋体"/>
      <w:szCs w:val="21"/>
    </w:rPr>
  </w:style>
  <w:style w:type="paragraph" w:customStyle="1" w:styleId="99">
    <w:name w:val="附录二级条标题"/>
    <w:basedOn w:val="1"/>
    <w:next w:val="33"/>
    <w:qFormat/>
    <w:uiPriority w:val="0"/>
    <w:pPr>
      <w:widowControl/>
      <w:numPr>
        <w:ilvl w:val="3"/>
        <w:numId w:val="10"/>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00">
    <w:name w:val="编号列项（三级）"/>
    <w:qFormat/>
    <w:uiPriority w:val="0"/>
    <w:pPr>
      <w:tabs>
        <w:tab w:val="left" w:pos="0"/>
        <w:tab w:val="left" w:pos="839"/>
      </w:tabs>
      <w:spacing w:after="160" w:line="278" w:lineRule="auto"/>
    </w:pPr>
    <w:rPr>
      <w:rFonts w:ascii="宋体" w:hAnsi="Calibri" w:eastAsia="宋体" w:cs="Times New Roman"/>
      <w:sz w:val="21"/>
      <w:lang w:val="en-US" w:eastAsia="zh-CN" w:bidi="ar-SA"/>
    </w:rPr>
  </w:style>
  <w:style w:type="paragraph" w:customStyle="1" w:styleId="101">
    <w:name w:val="发布部门"/>
    <w:next w:val="33"/>
    <w:qFormat/>
    <w:uiPriority w:val="0"/>
    <w:pPr>
      <w:framePr w:w="7938" w:h="1134" w:hRule="exact" w:hSpace="125" w:vSpace="181" w:wrap="around" w:vAnchor="page" w:hAnchor="page" w:x="2150" w:y="14630" w:anchorLock="1"/>
      <w:spacing w:after="160" w:line="278" w:lineRule="auto"/>
      <w:jc w:val="center"/>
    </w:pPr>
    <w:rPr>
      <w:rFonts w:ascii="宋体" w:hAnsi="Calibri" w:eastAsia="宋体" w:cs="Times New Roman"/>
      <w:b/>
      <w:spacing w:val="20"/>
      <w:w w:val="135"/>
      <w:sz w:val="28"/>
      <w:lang w:val="en-US" w:eastAsia="zh-CN" w:bidi="ar-SA"/>
    </w:rPr>
  </w:style>
  <w:style w:type="paragraph" w:customStyle="1" w:styleId="102">
    <w:name w:val="发布日期"/>
    <w:qFormat/>
    <w:uiPriority w:val="0"/>
    <w:pPr>
      <w:framePr w:w="3997" w:h="471" w:hRule="exact" w:vSpace="181" w:wrap="around" w:vAnchor="margin" w:hAnchor="page" w:x="7089" w:y="14097" w:anchorLock="1"/>
      <w:spacing w:after="160" w:line="278" w:lineRule="auto"/>
    </w:pPr>
    <w:rPr>
      <w:rFonts w:ascii="Calibri" w:hAnsi="Calibri" w:eastAsia="黑体" w:cs="Times New Roman"/>
      <w:sz w:val="28"/>
      <w:lang w:val="en-US" w:eastAsia="zh-CN" w:bidi="ar-SA"/>
    </w:rPr>
  </w:style>
  <w:style w:type="paragraph" w:customStyle="1" w:styleId="103">
    <w:name w:val="WPSOffice手动目录 3"/>
    <w:qFormat/>
    <w:uiPriority w:val="0"/>
    <w:pPr>
      <w:spacing w:after="160" w:line="278" w:lineRule="auto"/>
      <w:ind w:left="400" w:leftChars="400"/>
    </w:pPr>
    <w:rPr>
      <w:rFonts w:ascii="Calibri" w:hAnsi="Calibri" w:eastAsia="宋体" w:cs="Times New Roman"/>
      <w:lang w:val="en-US" w:eastAsia="zh-CN" w:bidi="ar-SA"/>
    </w:rPr>
  </w:style>
  <w:style w:type="paragraph" w:customStyle="1" w:styleId="104">
    <w:name w:val="封面标准号1"/>
    <w:qFormat/>
    <w:uiPriority w:val="0"/>
    <w:pPr>
      <w:widowControl w:val="0"/>
      <w:kinsoku w:val="0"/>
      <w:overflowPunct w:val="0"/>
      <w:autoSpaceDE w:val="0"/>
      <w:autoSpaceDN w:val="0"/>
      <w:spacing w:before="308" w:after="160" w:line="278" w:lineRule="auto"/>
      <w:jc w:val="right"/>
      <w:textAlignment w:val="center"/>
    </w:pPr>
    <w:rPr>
      <w:rFonts w:ascii="Calibri" w:hAnsi="Calibri" w:eastAsia="宋体" w:cs="Times New Roman"/>
      <w:sz w:val="28"/>
      <w:lang w:val="en-US" w:eastAsia="zh-CN" w:bidi="ar-SA"/>
    </w:rPr>
  </w:style>
  <w:style w:type="paragraph" w:customStyle="1" w:styleId="105">
    <w:name w:val="TABLE-cell"/>
    <w:basedOn w:val="1"/>
    <w:qFormat/>
    <w:uiPriority w:val="0"/>
    <w:pPr>
      <w:widowControl/>
      <w:spacing w:before="60" w:after="60"/>
      <w:jc w:val="left"/>
    </w:pPr>
    <w:rPr>
      <w:rFonts w:ascii="Arial" w:hAnsi="Arial"/>
      <w:spacing w:val="8"/>
      <w:kern w:val="0"/>
      <w:sz w:val="16"/>
      <w:szCs w:val="20"/>
      <w:lang w:val="en-GB" w:eastAsia="en-US"/>
    </w:rPr>
  </w:style>
  <w:style w:type="paragraph" w:customStyle="1" w:styleId="106">
    <w:name w:val="附录一级无"/>
    <w:basedOn w:val="107"/>
    <w:qFormat/>
    <w:uiPriority w:val="0"/>
    <w:pPr>
      <w:tabs>
        <w:tab w:val="left" w:pos="360"/>
      </w:tabs>
      <w:spacing w:before="0" w:beforeLines="0" w:after="0" w:afterLines="0"/>
    </w:pPr>
    <w:rPr>
      <w:rFonts w:ascii="宋体" w:eastAsia="宋体"/>
      <w:szCs w:val="21"/>
    </w:rPr>
  </w:style>
  <w:style w:type="paragraph" w:customStyle="1" w:styleId="107">
    <w:name w:val="附录一级条标题"/>
    <w:basedOn w:val="108"/>
    <w:next w:val="33"/>
    <w:qFormat/>
    <w:uiPriority w:val="0"/>
    <w:pPr>
      <w:numPr>
        <w:ilvl w:val="2"/>
      </w:numPr>
      <w:tabs>
        <w:tab w:val="left" w:pos="360"/>
      </w:tabs>
      <w:autoSpaceDN w:val="0"/>
      <w:spacing w:before="50" w:beforeLines="50" w:after="50" w:afterLines="50"/>
      <w:outlineLvl w:val="2"/>
    </w:pPr>
  </w:style>
  <w:style w:type="paragraph" w:customStyle="1" w:styleId="108">
    <w:name w:val="附录章标题"/>
    <w:next w:val="33"/>
    <w:qFormat/>
    <w:uiPriority w:val="0"/>
    <w:pPr>
      <w:numPr>
        <w:ilvl w:val="1"/>
        <w:numId w:val="10"/>
      </w:numPr>
      <w:tabs>
        <w:tab w:val="left" w:pos="360"/>
      </w:tabs>
      <w:wordWrap w:val="0"/>
      <w:overflowPunct w:val="0"/>
      <w:autoSpaceDE w:val="0"/>
      <w:spacing w:before="100" w:beforeLines="100" w:after="100" w:afterLines="100" w:line="278" w:lineRule="auto"/>
      <w:jc w:val="both"/>
      <w:textAlignment w:val="baseline"/>
      <w:outlineLvl w:val="1"/>
    </w:pPr>
    <w:rPr>
      <w:rFonts w:ascii="黑体" w:hAnsi="Calibri" w:eastAsia="黑体" w:cs="Times New Roman"/>
      <w:kern w:val="21"/>
      <w:sz w:val="21"/>
      <w:lang w:val="en-US" w:eastAsia="zh-CN" w:bidi="ar-SA"/>
    </w:rPr>
  </w:style>
  <w:style w:type="paragraph" w:customStyle="1" w:styleId="109">
    <w:name w:val="注×："/>
    <w:qFormat/>
    <w:uiPriority w:val="0"/>
    <w:pPr>
      <w:widowControl w:val="0"/>
      <w:numPr>
        <w:ilvl w:val="0"/>
        <w:numId w:val="11"/>
      </w:numPr>
      <w:autoSpaceDE w:val="0"/>
      <w:autoSpaceDN w:val="0"/>
      <w:spacing w:after="160" w:line="278" w:lineRule="auto"/>
      <w:jc w:val="both"/>
    </w:pPr>
    <w:rPr>
      <w:rFonts w:ascii="宋体" w:hAnsi="Calibri" w:eastAsia="宋体" w:cs="Times New Roman"/>
      <w:sz w:val="18"/>
      <w:szCs w:val="18"/>
      <w:lang w:val="en-US" w:eastAsia="zh-CN" w:bidi="ar-SA"/>
    </w:rPr>
  </w:style>
  <w:style w:type="paragraph" w:customStyle="1" w:styleId="110">
    <w:name w:val="注：（正文）"/>
    <w:basedOn w:val="111"/>
    <w:next w:val="33"/>
    <w:qFormat/>
    <w:uiPriority w:val="0"/>
  </w:style>
  <w:style w:type="paragraph" w:customStyle="1" w:styleId="111">
    <w:name w:val="注："/>
    <w:next w:val="33"/>
    <w:qFormat/>
    <w:uiPriority w:val="0"/>
    <w:pPr>
      <w:widowControl w:val="0"/>
      <w:numPr>
        <w:ilvl w:val="0"/>
        <w:numId w:val="12"/>
      </w:numPr>
      <w:autoSpaceDE w:val="0"/>
      <w:autoSpaceDN w:val="0"/>
      <w:spacing w:after="160" w:line="278" w:lineRule="auto"/>
      <w:jc w:val="both"/>
    </w:pPr>
    <w:rPr>
      <w:rFonts w:ascii="宋体" w:hAnsi="Calibri" w:eastAsia="宋体" w:cs="Times New Roman"/>
      <w:sz w:val="18"/>
      <w:szCs w:val="18"/>
      <w:lang w:val="en-US" w:eastAsia="zh-CN" w:bidi="ar-SA"/>
    </w:rPr>
  </w:style>
  <w:style w:type="paragraph" w:customStyle="1" w:styleId="112">
    <w:name w:val="正文公式编号制表符"/>
    <w:basedOn w:val="33"/>
    <w:next w:val="33"/>
    <w:qFormat/>
    <w:uiPriority w:val="0"/>
    <w:pPr>
      <w:ind w:firstLine="0" w:firstLineChars="0"/>
    </w:pPr>
  </w:style>
  <w:style w:type="paragraph" w:customStyle="1" w:styleId="113">
    <w:name w:val="my毕业正文"/>
    <w:basedOn w:val="1"/>
    <w:qFormat/>
    <w:uiPriority w:val="0"/>
    <w:pPr>
      <w:ind w:firstLine="420" w:firstLineChars="200"/>
      <w:jc w:val="left"/>
    </w:pPr>
    <w:rPr>
      <w:rFonts w:ascii="宋体"/>
    </w:rPr>
  </w:style>
  <w:style w:type="paragraph" w:customStyle="1" w:styleId="114">
    <w:name w:val="示例内容"/>
    <w:qFormat/>
    <w:uiPriority w:val="0"/>
    <w:pPr>
      <w:spacing w:after="160" w:line="278" w:lineRule="auto"/>
      <w:ind w:firstLine="200" w:firstLineChars="200"/>
    </w:pPr>
    <w:rPr>
      <w:rFonts w:ascii="宋体" w:hAnsi="Calibri" w:eastAsia="宋体" w:cs="Times New Roman"/>
      <w:sz w:val="18"/>
      <w:szCs w:val="18"/>
      <w:lang w:val="en-US" w:eastAsia="zh-CN" w:bidi="ar-SA"/>
    </w:rPr>
  </w:style>
  <w:style w:type="paragraph" w:customStyle="1" w:styleId="115">
    <w:name w:val="标准书脚_奇数页"/>
    <w:qFormat/>
    <w:uiPriority w:val="0"/>
    <w:pPr>
      <w:spacing w:before="120" w:after="160" w:line="278" w:lineRule="auto"/>
      <w:ind w:right="198"/>
      <w:jc w:val="right"/>
    </w:pPr>
    <w:rPr>
      <w:rFonts w:ascii="宋体" w:hAnsi="Calibri" w:eastAsia="宋体" w:cs="Times New Roman"/>
      <w:sz w:val="18"/>
      <w:szCs w:val="18"/>
      <w:lang w:val="en-US" w:eastAsia="zh-CN" w:bidi="ar-SA"/>
    </w:rPr>
  </w:style>
  <w:style w:type="paragraph" w:customStyle="1" w:styleId="11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7">
    <w:name w:val="四级条标题"/>
    <w:basedOn w:val="75"/>
    <w:next w:val="33"/>
    <w:qFormat/>
    <w:uiPriority w:val="0"/>
    <w:pPr>
      <w:numPr>
        <w:ilvl w:val="4"/>
      </w:numPr>
      <w:outlineLvl w:val="5"/>
    </w:pPr>
  </w:style>
  <w:style w:type="paragraph" w:customStyle="1" w:styleId="118">
    <w:name w:val="加粗 居中 宋体五号"/>
    <w:basedOn w:val="1"/>
    <w:qFormat/>
    <w:uiPriority w:val="0"/>
    <w:pPr>
      <w:spacing w:line="360" w:lineRule="auto"/>
      <w:jc w:val="center"/>
    </w:pPr>
    <w:rPr>
      <w:rFonts w:ascii="黑体" w:eastAsia="黑体" w:cs="宋体"/>
      <w:b/>
      <w:bCs/>
      <w:kern w:val="0"/>
      <w:szCs w:val="20"/>
    </w:rPr>
  </w:style>
  <w:style w:type="paragraph" w:customStyle="1" w:styleId="119">
    <w:name w:val="参考文献、索引标题"/>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附录三级条标题"/>
    <w:basedOn w:val="99"/>
    <w:next w:val="33"/>
    <w:qFormat/>
    <w:uiPriority w:val="0"/>
    <w:pPr>
      <w:numPr>
        <w:ilvl w:val="4"/>
      </w:numPr>
      <w:outlineLvl w:val="4"/>
    </w:pPr>
  </w:style>
  <w:style w:type="paragraph" w:customStyle="1" w:styleId="121">
    <w:name w:val="其他标准称谓"/>
    <w:next w:val="1"/>
    <w:qFormat/>
    <w:uiPriority w:val="0"/>
    <w:pPr>
      <w:framePr w:hSpace="181" w:vSpace="181" w:wrap="around" w:vAnchor="page" w:hAnchor="page" w:x="1419" w:y="2286" w:anchorLock="1"/>
      <w:spacing w:after="160" w:line="0" w:lineRule="atLeast"/>
      <w:jc w:val="distribute"/>
    </w:pPr>
    <w:rPr>
      <w:rFonts w:ascii="黑体" w:hAnsi="宋体" w:eastAsia="黑体" w:cs="Times New Roman"/>
      <w:spacing w:val="-40"/>
      <w:sz w:val="48"/>
      <w:szCs w:val="52"/>
      <w:lang w:val="en-US" w:eastAsia="zh-CN" w:bidi="ar-SA"/>
    </w:rPr>
  </w:style>
  <w:style w:type="paragraph" w:customStyle="1" w:styleId="122">
    <w:name w:val="样式 段 + 首行缩进:  2 字符"/>
    <w:basedOn w:val="1"/>
    <w:qFormat/>
    <w:uiPriority w:val="99"/>
    <w:pPr>
      <w:widowControl/>
      <w:tabs>
        <w:tab w:val="center" w:pos="4201"/>
        <w:tab w:val="right" w:leader="dot" w:pos="9298"/>
      </w:tabs>
      <w:autoSpaceDE w:val="0"/>
      <w:autoSpaceDN w:val="0"/>
      <w:ind w:firstLine="440" w:firstLineChars="200"/>
    </w:pPr>
    <w:rPr>
      <w:rFonts w:ascii="宋体" w:cs="宋体"/>
      <w:kern w:val="0"/>
      <w:szCs w:val="20"/>
    </w:rPr>
  </w:style>
  <w:style w:type="paragraph" w:customStyle="1" w:styleId="123">
    <w:name w:val="终结线"/>
    <w:basedOn w:val="1"/>
    <w:qFormat/>
    <w:uiPriority w:val="0"/>
    <w:pPr>
      <w:framePr w:hSpace="181" w:vSpace="181" w:wrap="around" w:vAnchor="text" w:hAnchor="margin" w:xAlign="center" w:y="285"/>
    </w:pPr>
  </w:style>
  <w:style w:type="paragraph" w:styleId="124">
    <w:name w:val="List Paragraph"/>
    <w:basedOn w:val="1"/>
    <w:qFormat/>
    <w:uiPriority w:val="34"/>
    <w:pPr>
      <w:spacing w:afterLines="50"/>
      <w:ind w:firstLine="420" w:firstLineChars="200"/>
    </w:pPr>
    <w:rPr>
      <w:sz w:val="24"/>
    </w:rPr>
  </w:style>
  <w:style w:type="paragraph" w:customStyle="1" w:styleId="125">
    <w:name w:val="附录三级无"/>
    <w:basedOn w:val="120"/>
    <w:qFormat/>
    <w:uiPriority w:val="0"/>
    <w:pPr>
      <w:tabs>
        <w:tab w:val="clear" w:pos="360"/>
      </w:tabs>
      <w:spacing w:before="0" w:beforeLines="0" w:after="0" w:afterLines="0"/>
    </w:pPr>
    <w:rPr>
      <w:rFonts w:ascii="宋体" w:eastAsia="宋体"/>
      <w:szCs w:val="21"/>
    </w:rPr>
  </w:style>
  <w:style w:type="paragraph" w:customStyle="1" w:styleId="126">
    <w:name w:val="实施日期"/>
    <w:basedOn w:val="102"/>
    <w:qFormat/>
    <w:uiPriority w:val="0"/>
    <w:pPr>
      <w:framePr w:vAnchor="page" w:hAnchor="text"/>
      <w:jc w:val="right"/>
    </w:pPr>
  </w:style>
  <w:style w:type="paragraph" w:customStyle="1" w:styleId="127">
    <w:name w:val="WPSOffice手动目录 1"/>
    <w:qFormat/>
    <w:uiPriority w:val="0"/>
    <w:pPr>
      <w:spacing w:after="160" w:line="278" w:lineRule="auto"/>
    </w:pPr>
    <w:rPr>
      <w:rFonts w:ascii="Calibri" w:hAnsi="Calibri" w:eastAsia="宋体" w:cs="Times New Roman"/>
      <w:lang w:val="en-US" w:eastAsia="zh-CN" w:bidi="ar-SA"/>
    </w:rPr>
  </w:style>
  <w:style w:type="paragraph" w:customStyle="1" w:styleId="128">
    <w:name w:val="一级无"/>
    <w:basedOn w:val="77"/>
    <w:qFormat/>
    <w:uiPriority w:val="0"/>
    <w:pPr>
      <w:spacing w:before="0" w:beforeLines="0" w:after="0" w:afterLines="0"/>
    </w:pPr>
    <w:rPr>
      <w:rFonts w:ascii="宋体" w:eastAsia="宋体"/>
    </w:rPr>
  </w:style>
  <w:style w:type="paragraph" w:customStyle="1" w:styleId="129">
    <w:name w:val="五级无"/>
    <w:basedOn w:val="130"/>
    <w:qFormat/>
    <w:uiPriority w:val="0"/>
    <w:pPr>
      <w:spacing w:before="0" w:beforeLines="0" w:after="0" w:afterLines="0"/>
    </w:pPr>
    <w:rPr>
      <w:rFonts w:ascii="宋体" w:eastAsia="宋体"/>
    </w:rPr>
  </w:style>
  <w:style w:type="paragraph" w:customStyle="1" w:styleId="130">
    <w:name w:val="五级条标题"/>
    <w:basedOn w:val="117"/>
    <w:next w:val="33"/>
    <w:qFormat/>
    <w:uiPriority w:val="0"/>
    <w:pPr>
      <w:numPr>
        <w:ilvl w:val="5"/>
      </w:numPr>
      <w:outlineLvl w:val="6"/>
    </w:pPr>
  </w:style>
  <w:style w:type="paragraph" w:customStyle="1" w:styleId="131">
    <w:name w:val="_标准条文"/>
    <w:basedOn w:val="1"/>
    <w:qFormat/>
    <w:uiPriority w:val="0"/>
    <w:pPr>
      <w:overflowPunct w:val="0"/>
      <w:snapToGrid w:val="0"/>
      <w:spacing w:line="276" w:lineRule="auto"/>
      <w:ind w:firstLine="420" w:firstLineChars="200"/>
    </w:pPr>
    <w:rPr>
      <w:rFonts w:ascii="Arial" w:hAnsi="Arial" w:cs="宋体"/>
      <w:szCs w:val="20"/>
    </w:rPr>
  </w:style>
  <w:style w:type="paragraph" w:customStyle="1" w:styleId="132">
    <w:name w:val="参考文献"/>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3">
    <w:name w:val="附录四级无"/>
    <w:basedOn w:val="134"/>
    <w:qFormat/>
    <w:uiPriority w:val="0"/>
    <w:pPr>
      <w:tabs>
        <w:tab w:val="left" w:pos="360"/>
      </w:tabs>
      <w:spacing w:before="0" w:beforeLines="0" w:after="0" w:afterLines="0"/>
    </w:pPr>
    <w:rPr>
      <w:rFonts w:ascii="宋体" w:eastAsia="宋体"/>
      <w:szCs w:val="21"/>
    </w:rPr>
  </w:style>
  <w:style w:type="paragraph" w:customStyle="1" w:styleId="134">
    <w:name w:val="附录四级条标题"/>
    <w:basedOn w:val="120"/>
    <w:next w:val="33"/>
    <w:qFormat/>
    <w:uiPriority w:val="0"/>
    <w:pPr>
      <w:numPr>
        <w:ilvl w:val="5"/>
      </w:numPr>
      <w:outlineLvl w:val="5"/>
    </w:pPr>
  </w:style>
  <w:style w:type="paragraph" w:customStyle="1" w:styleId="135">
    <w:name w:val="其他标准标志"/>
    <w:basedOn w:val="136"/>
    <w:qFormat/>
    <w:uiPriority w:val="0"/>
    <w:pPr>
      <w:framePr w:w="6101" w:vAnchor="page" w:hAnchor="page" w:x="4673" w:y="942"/>
    </w:pPr>
    <w:rPr>
      <w:w w:val="130"/>
    </w:rPr>
  </w:style>
  <w:style w:type="paragraph" w:customStyle="1" w:styleId="136">
    <w:name w:val="标准标志"/>
    <w:next w:val="1"/>
    <w:qFormat/>
    <w:uiPriority w:val="0"/>
    <w:pPr>
      <w:framePr w:w="2546" w:h="1389" w:hRule="exact" w:hSpace="181" w:vSpace="181" w:wrap="around" w:vAnchor="margin" w:hAnchor="margin" w:x="6522" w:y="398" w:anchorLock="1"/>
      <w:shd w:val="solid" w:color="FFFFFF" w:fill="FFFFFF"/>
      <w:spacing w:after="160" w:line="0" w:lineRule="atLeast"/>
      <w:jc w:val="right"/>
    </w:pPr>
    <w:rPr>
      <w:rFonts w:ascii="Calibri" w:hAnsi="Calibri" w:eastAsia="宋体" w:cs="Times New Roman"/>
      <w:b/>
      <w:w w:val="170"/>
      <w:sz w:val="96"/>
      <w:szCs w:val="96"/>
      <w:lang w:val="en-US" w:eastAsia="zh-CN" w:bidi="ar-SA"/>
    </w:rPr>
  </w:style>
  <w:style w:type="paragraph" w:customStyle="1" w:styleId="137">
    <w:name w:val="_Style 142"/>
    <w:next w:val="1"/>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38">
    <w:name w:val="ANNEX_title"/>
    <w:basedOn w:val="1"/>
    <w:next w:val="139"/>
    <w:semiHidden/>
    <w:qFormat/>
    <w:uiPriority w:val="0"/>
    <w:pPr>
      <w:pageBreakBefore/>
      <w:widowControl/>
      <w:numPr>
        <w:ilvl w:val="2"/>
        <w:numId w:val="2"/>
      </w:numPr>
      <w:snapToGrid w:val="0"/>
      <w:spacing w:after="200"/>
      <w:jc w:val="center"/>
      <w:outlineLvl w:val="0"/>
    </w:pPr>
    <w:rPr>
      <w:rFonts w:ascii="Arial" w:hAnsi="Arial" w:cs="Arial"/>
      <w:b/>
      <w:bCs/>
      <w:spacing w:val="8"/>
      <w:kern w:val="0"/>
      <w:sz w:val="24"/>
      <w:lang w:val="en-GB"/>
    </w:rPr>
  </w:style>
  <w:style w:type="paragraph" w:customStyle="1" w:styleId="139">
    <w:name w:val="ANNEX-heading1"/>
    <w:basedOn w:val="2"/>
    <w:next w:val="1"/>
    <w:semiHidden/>
    <w:qFormat/>
    <w:uiPriority w:val="0"/>
    <w:pPr>
      <w:keepNext w:val="0"/>
      <w:keepLines w:val="0"/>
      <w:widowControl/>
      <w:numPr>
        <w:ilvl w:val="3"/>
        <w:numId w:val="2"/>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140">
    <w:name w:val="附录公式编号制表符"/>
    <w:basedOn w:val="1"/>
    <w:next w:val="33"/>
    <w:qFormat/>
    <w:uiPriority w:val="0"/>
    <w:pPr>
      <w:widowControl/>
      <w:tabs>
        <w:tab w:val="center" w:pos="4201"/>
        <w:tab w:val="right" w:leader="dot" w:pos="9298"/>
      </w:tabs>
      <w:autoSpaceDE w:val="0"/>
      <w:autoSpaceDN w:val="0"/>
    </w:pPr>
    <w:rPr>
      <w:rFonts w:ascii="宋体"/>
      <w:kern w:val="0"/>
      <w:szCs w:val="20"/>
    </w:rPr>
  </w:style>
  <w:style w:type="paragraph" w:customStyle="1" w:styleId="141">
    <w:name w:val="标准书脚_偶数页"/>
    <w:qFormat/>
    <w:uiPriority w:val="0"/>
    <w:pPr>
      <w:spacing w:before="120" w:after="160" w:line="278" w:lineRule="auto"/>
      <w:ind w:left="221"/>
    </w:pPr>
    <w:rPr>
      <w:rFonts w:ascii="宋体" w:hAnsi="Calibri" w:eastAsia="宋体" w:cs="Times New Roman"/>
      <w:sz w:val="18"/>
      <w:szCs w:val="18"/>
      <w:lang w:val="en-US" w:eastAsia="zh-CN" w:bidi="ar-SA"/>
    </w:rPr>
  </w:style>
  <w:style w:type="paragraph" w:customStyle="1" w:styleId="142">
    <w:name w:val="封面标准文稿编辑信息2"/>
    <w:basedOn w:val="143"/>
    <w:qFormat/>
    <w:uiPriority w:val="0"/>
    <w:pPr>
      <w:framePr w:y="4469"/>
    </w:pPr>
  </w:style>
  <w:style w:type="paragraph" w:customStyle="1" w:styleId="143">
    <w:name w:val="封面标准文稿编辑信息"/>
    <w:basedOn w:val="144"/>
    <w:qFormat/>
    <w:uiPriority w:val="0"/>
    <w:pPr>
      <w:spacing w:before="180" w:line="180" w:lineRule="exact"/>
    </w:pPr>
    <w:rPr>
      <w:sz w:val="21"/>
    </w:rPr>
  </w:style>
  <w:style w:type="paragraph" w:customStyle="1" w:styleId="144">
    <w:name w:val="封面标准文稿类别"/>
    <w:basedOn w:val="145"/>
    <w:qFormat/>
    <w:uiPriority w:val="0"/>
    <w:pPr>
      <w:spacing w:line="240" w:lineRule="auto"/>
    </w:pPr>
    <w:rPr>
      <w:sz w:val="24"/>
    </w:rPr>
  </w:style>
  <w:style w:type="paragraph" w:customStyle="1" w:styleId="145">
    <w:name w:val="封面一致性程度标识"/>
    <w:basedOn w:val="93"/>
    <w:qFormat/>
    <w:uiPriority w:val="0"/>
    <w:pPr>
      <w:spacing w:before="440"/>
    </w:pPr>
    <w:rPr>
      <w:rFonts w:ascii="宋体" w:eastAsia="宋体"/>
    </w:rPr>
  </w:style>
  <w:style w:type="paragraph" w:customStyle="1" w:styleId="146">
    <w:name w:val="图表脚注说明"/>
    <w:basedOn w:val="1"/>
    <w:qFormat/>
    <w:uiPriority w:val="0"/>
    <w:pPr>
      <w:numPr>
        <w:ilvl w:val="0"/>
        <w:numId w:val="13"/>
      </w:numPr>
    </w:pPr>
    <w:rPr>
      <w:rFonts w:ascii="宋体"/>
      <w:sz w:val="18"/>
      <w:szCs w:val="18"/>
    </w:rPr>
  </w:style>
  <w:style w:type="paragraph" w:customStyle="1" w:styleId="147">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48">
    <w:name w:val="列项◆（三级）"/>
    <w:basedOn w:val="1"/>
    <w:qFormat/>
    <w:uiPriority w:val="0"/>
    <w:pPr>
      <w:numPr>
        <w:ilvl w:val="2"/>
        <w:numId w:val="6"/>
      </w:numPr>
    </w:pPr>
    <w:rPr>
      <w:rFonts w:ascii="宋体"/>
      <w:szCs w:val="21"/>
    </w:rPr>
  </w:style>
  <w:style w:type="paragraph" w:customStyle="1" w:styleId="149">
    <w:name w:val="数字编号列项（二级）"/>
    <w:qFormat/>
    <w:uiPriority w:val="0"/>
    <w:pPr>
      <w:tabs>
        <w:tab w:val="left" w:pos="839"/>
        <w:tab w:val="left" w:pos="1259"/>
      </w:tabs>
      <w:spacing w:after="160" w:line="278" w:lineRule="auto"/>
      <w:jc w:val="both"/>
    </w:pPr>
    <w:rPr>
      <w:rFonts w:ascii="宋体" w:hAnsi="Calibri" w:eastAsia="宋体" w:cs="Times New Roman"/>
      <w:sz w:val="21"/>
      <w:lang w:val="en-US" w:eastAsia="zh-CN" w:bidi="ar-SA"/>
    </w:rPr>
  </w:style>
  <w:style w:type="paragraph" w:customStyle="1" w:styleId="150">
    <w:name w:val="封面一致性程度标识2"/>
    <w:basedOn w:val="145"/>
    <w:qFormat/>
    <w:uiPriority w:val="0"/>
    <w:pPr>
      <w:framePr w:y="4469"/>
    </w:pPr>
  </w:style>
  <w:style w:type="paragraph" w:customStyle="1" w:styleId="151">
    <w:name w:val="其他发布部门"/>
    <w:basedOn w:val="101"/>
    <w:qFormat/>
    <w:uiPriority w:val="0"/>
    <w:pPr>
      <w:framePr w:y="15310"/>
      <w:spacing w:line="0" w:lineRule="atLeast"/>
    </w:pPr>
    <w:rPr>
      <w:rFonts w:ascii="黑体" w:eastAsia="黑体"/>
      <w:b w:val="0"/>
    </w:rPr>
  </w:style>
  <w:style w:type="paragraph" w:customStyle="1" w:styleId="152">
    <w:name w:val="图的脚注"/>
    <w:next w:val="33"/>
    <w:qFormat/>
    <w:uiPriority w:val="0"/>
    <w:pPr>
      <w:widowControl w:val="0"/>
      <w:spacing w:after="160" w:line="278" w:lineRule="auto"/>
      <w:ind w:left="840" w:leftChars="200" w:hanging="420" w:hangingChars="200"/>
      <w:jc w:val="both"/>
    </w:pPr>
    <w:rPr>
      <w:rFonts w:ascii="宋体" w:hAnsi="Calibri" w:eastAsia="宋体" w:cs="Times New Roman"/>
      <w:sz w:val="18"/>
      <w:lang w:val="en-US" w:eastAsia="zh-CN" w:bidi="ar-SA"/>
    </w:rPr>
  </w:style>
  <w:style w:type="paragraph" w:customStyle="1" w:styleId="153">
    <w:name w:val="表"/>
    <w:basedOn w:val="1"/>
    <w:qFormat/>
    <w:uiPriority w:val="0"/>
    <w:pPr>
      <w:widowControl/>
      <w:jc w:val="center"/>
    </w:pPr>
    <w:rPr>
      <w:rFonts w:ascii="Times New Roman" w:hAnsi="Times New Roman"/>
      <w:kern w:val="0"/>
      <w:szCs w:val="21"/>
    </w:rPr>
  </w:style>
  <w:style w:type="paragraph" w:customStyle="1" w:styleId="154">
    <w:name w:val="附录字母编号列项（一级）"/>
    <w:qFormat/>
    <w:uiPriority w:val="0"/>
    <w:pPr>
      <w:numPr>
        <w:ilvl w:val="0"/>
        <w:numId w:val="8"/>
      </w:numPr>
      <w:spacing w:after="160" w:line="278" w:lineRule="auto"/>
    </w:pPr>
    <w:rPr>
      <w:rFonts w:ascii="宋体" w:hAnsi="Calibri" w:eastAsia="宋体" w:cs="Times New Roman"/>
      <w:sz w:val="21"/>
      <w:lang w:val="en-US" w:eastAsia="zh-CN" w:bidi="ar-SA"/>
    </w:rPr>
  </w:style>
  <w:style w:type="paragraph" w:customStyle="1" w:styleId="155">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56">
    <w:name w:val="图标脚注说明"/>
    <w:basedOn w:val="33"/>
    <w:qFormat/>
    <w:uiPriority w:val="0"/>
    <w:pPr>
      <w:ind w:left="840" w:hanging="420" w:firstLineChars="0"/>
    </w:pPr>
    <w:rPr>
      <w:sz w:val="18"/>
      <w:szCs w:val="18"/>
    </w:rPr>
  </w:style>
  <w:style w:type="paragraph" w:customStyle="1" w:styleId="157">
    <w:name w:val="ANNEX-heading3"/>
    <w:basedOn w:val="4"/>
    <w:next w:val="1"/>
    <w:semiHidden/>
    <w:qFormat/>
    <w:uiPriority w:val="0"/>
    <w:pPr>
      <w:keepLines w:val="0"/>
      <w:widowControl/>
      <w:numPr>
        <w:ilvl w:val="5"/>
        <w:numId w:val="2"/>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158">
    <w:name w:val="封面正文"/>
    <w:qFormat/>
    <w:uiPriority w:val="0"/>
    <w:pPr>
      <w:spacing w:after="160" w:line="278" w:lineRule="auto"/>
      <w:jc w:val="both"/>
    </w:pPr>
    <w:rPr>
      <w:rFonts w:ascii="Calibri" w:hAnsi="Calibri" w:eastAsia="宋体" w:cs="Times New Roman"/>
      <w:lang w:val="en-US" w:eastAsia="zh-CN" w:bidi="ar-SA"/>
    </w:rPr>
  </w:style>
  <w:style w:type="paragraph" w:customStyle="1" w:styleId="15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after="160" w:line="0" w:lineRule="atLeast"/>
      <w:jc w:val="distribute"/>
    </w:pPr>
    <w:rPr>
      <w:rFonts w:ascii="宋体" w:hAnsi="Calibri" w:eastAsia="宋体" w:cs="Times New Roman"/>
      <w:b/>
      <w:bCs/>
      <w:spacing w:val="20"/>
      <w:w w:val="148"/>
      <w:sz w:val="48"/>
      <w:lang w:val="en-US" w:eastAsia="zh-CN" w:bidi="ar-SA"/>
    </w:rPr>
  </w:style>
  <w:style w:type="paragraph" w:customStyle="1" w:styleId="160">
    <w:name w:val="文献分类号"/>
    <w:qFormat/>
    <w:uiPriority w:val="0"/>
    <w:pPr>
      <w:framePr w:hSpace="180" w:vSpace="180" w:wrap="around" w:vAnchor="margin" w:hAnchor="margin" w:y="1" w:anchorLock="1"/>
      <w:widowControl w:val="0"/>
      <w:spacing w:after="160" w:line="278" w:lineRule="auto"/>
      <w:textAlignment w:val="center"/>
    </w:pPr>
    <w:rPr>
      <w:rFonts w:ascii="黑体" w:hAnsi="Calibri" w:eastAsia="黑体" w:cs="Times New Roman"/>
      <w:sz w:val="21"/>
      <w:szCs w:val="21"/>
      <w:lang w:val="en-US" w:eastAsia="zh-CN" w:bidi="ar-SA"/>
    </w:rPr>
  </w:style>
  <w:style w:type="paragraph" w:customStyle="1" w:styleId="161">
    <w:name w:val="样式 标题 1 + 非加粗"/>
    <w:basedOn w:val="2"/>
    <w:qFormat/>
    <w:uiPriority w:val="0"/>
    <w:pPr>
      <w:numPr>
        <w:numId w:val="0"/>
      </w:numPr>
      <w:spacing w:before="100" w:beforeLines="100" w:after="100" w:afterLines="100"/>
    </w:pPr>
    <w:rPr>
      <w:b w:val="0"/>
      <w:bCs w:val="0"/>
    </w:rPr>
  </w:style>
  <w:style w:type="paragraph" w:customStyle="1" w:styleId="162">
    <w:name w:val="条文脚注"/>
    <w:basedOn w:val="34"/>
    <w:qFormat/>
    <w:uiPriority w:val="0"/>
    <w:pPr>
      <w:numPr>
        <w:numId w:val="0"/>
      </w:numPr>
      <w:jc w:val="both"/>
    </w:pPr>
  </w:style>
  <w:style w:type="paragraph" w:customStyle="1" w:styleId="163">
    <w:name w:val="附录表标题"/>
    <w:basedOn w:val="1"/>
    <w:next w:val="33"/>
    <w:qFormat/>
    <w:uiPriority w:val="0"/>
    <w:pPr>
      <w:numPr>
        <w:ilvl w:val="1"/>
        <w:numId w:val="15"/>
      </w:numPr>
      <w:tabs>
        <w:tab w:val="left" w:pos="180"/>
      </w:tabs>
      <w:spacing w:before="50" w:beforeLines="50" w:after="50" w:afterLines="50"/>
      <w:ind w:left="0" w:firstLine="0"/>
      <w:jc w:val="center"/>
    </w:pPr>
    <w:rPr>
      <w:rFonts w:ascii="黑体" w:eastAsia="黑体"/>
      <w:szCs w:val="21"/>
    </w:rPr>
  </w:style>
  <w:style w:type="paragraph" w:customStyle="1" w:styleId="164">
    <w:name w:val="列项说明数字编号"/>
    <w:qFormat/>
    <w:uiPriority w:val="0"/>
    <w:pPr>
      <w:spacing w:after="160" w:line="278" w:lineRule="auto"/>
      <w:ind w:left="600" w:leftChars="400" w:hanging="200" w:hangingChars="200"/>
    </w:pPr>
    <w:rPr>
      <w:rFonts w:ascii="宋体" w:hAnsi="Calibri" w:eastAsia="宋体" w:cs="Times New Roman"/>
      <w:sz w:val="21"/>
      <w:lang w:val="en-US" w:eastAsia="zh-CN" w:bidi="ar-SA"/>
    </w:rPr>
  </w:style>
  <w:style w:type="paragraph" w:customStyle="1" w:styleId="165">
    <w:name w:val="封面标准代替信息"/>
    <w:qFormat/>
    <w:uiPriority w:val="0"/>
    <w:pPr>
      <w:framePr w:w="9140" w:h="1242" w:hRule="exact" w:hSpace="284" w:wrap="around" w:vAnchor="page" w:hAnchor="page" w:x="1645" w:y="2910" w:anchorLock="1"/>
      <w:spacing w:before="57" w:after="160" w:line="280" w:lineRule="exact"/>
      <w:jc w:val="right"/>
    </w:pPr>
    <w:rPr>
      <w:rFonts w:ascii="宋体" w:hAnsi="Calibri" w:eastAsia="宋体" w:cs="Times New Roman"/>
      <w:sz w:val="21"/>
      <w:szCs w:val="21"/>
      <w:lang w:val="en-US" w:eastAsia="zh-CN" w:bidi="ar-SA"/>
    </w:rPr>
  </w:style>
  <w:style w:type="paragraph" w:customStyle="1" w:styleId="166">
    <w:name w:val="封面标准文稿类别2"/>
    <w:basedOn w:val="144"/>
    <w:qFormat/>
    <w:uiPriority w:val="0"/>
    <w:pPr>
      <w:framePr w:y="4469"/>
    </w:pPr>
  </w:style>
  <w:style w:type="paragraph" w:customStyle="1" w:styleId="167">
    <w:name w:val="其他发布日期"/>
    <w:basedOn w:val="102"/>
    <w:qFormat/>
    <w:uiPriority w:val="0"/>
    <w:pPr>
      <w:framePr w:vAnchor="page" w:hAnchor="text" w:x="1419"/>
    </w:pPr>
  </w:style>
  <w:style w:type="paragraph" w:customStyle="1" w:styleId="168">
    <w:name w:val="封面标准号2"/>
    <w:qFormat/>
    <w:uiPriority w:val="0"/>
    <w:pPr>
      <w:framePr w:w="9140" w:h="1242" w:hRule="exact" w:hSpace="284" w:wrap="around" w:vAnchor="page" w:hAnchor="page" w:x="1645" w:y="2910" w:anchorLock="1"/>
      <w:spacing w:before="357" w:after="160" w:line="280" w:lineRule="exact"/>
      <w:jc w:val="right"/>
    </w:pPr>
    <w:rPr>
      <w:rFonts w:ascii="黑体" w:hAnsi="Calibri" w:eastAsia="黑体" w:cs="Times New Roman"/>
      <w:sz w:val="28"/>
      <w:szCs w:val="28"/>
      <w:lang w:val="en-US" w:eastAsia="zh-CN" w:bidi="ar-SA"/>
    </w:rPr>
  </w:style>
  <w:style w:type="paragraph" w:customStyle="1" w:styleId="169">
    <w:name w:val="正文表标题"/>
    <w:next w:val="33"/>
    <w:qFormat/>
    <w:uiPriority w:val="0"/>
    <w:pPr>
      <w:numPr>
        <w:ilvl w:val="0"/>
        <w:numId w:val="16"/>
      </w:numPr>
      <w:tabs>
        <w:tab w:val="left" w:pos="360"/>
      </w:tabs>
      <w:spacing w:before="156" w:beforeLines="50" w:after="156" w:afterLines="50" w:line="278" w:lineRule="auto"/>
      <w:jc w:val="center"/>
    </w:pPr>
    <w:rPr>
      <w:rFonts w:ascii="黑体" w:hAnsi="Calibri" w:eastAsia="黑体" w:cs="Times New Roman"/>
      <w:sz w:val="21"/>
      <w:lang w:val="en-US" w:eastAsia="zh-CN" w:bidi="ar-SA"/>
    </w:rPr>
  </w:style>
  <w:style w:type="paragraph" w:customStyle="1" w:styleId="170">
    <w:name w:val="正文图标题"/>
    <w:next w:val="33"/>
    <w:qFormat/>
    <w:uiPriority w:val="99"/>
    <w:pPr>
      <w:numPr>
        <w:ilvl w:val="0"/>
        <w:numId w:val="17"/>
      </w:numPr>
      <w:tabs>
        <w:tab w:val="left" w:pos="360"/>
      </w:tabs>
      <w:spacing w:before="156" w:beforeLines="50" w:after="156" w:afterLines="50" w:line="278" w:lineRule="auto"/>
      <w:jc w:val="center"/>
    </w:pPr>
    <w:rPr>
      <w:rFonts w:ascii="黑体" w:hAnsi="Calibri" w:eastAsia="黑体" w:cs="Times New Roman"/>
      <w:sz w:val="21"/>
      <w:lang w:val="en-US" w:eastAsia="zh-CN" w:bidi="ar-SA"/>
    </w:rPr>
  </w:style>
  <w:style w:type="paragraph" w:customStyle="1" w:styleId="171">
    <w:name w:val="二级无"/>
    <w:basedOn w:val="76"/>
    <w:qFormat/>
    <w:uiPriority w:val="0"/>
    <w:pPr>
      <w:spacing w:before="0" w:beforeLines="0" w:after="0" w:afterLines="0"/>
    </w:pPr>
    <w:rPr>
      <w:rFonts w:ascii="宋体" w:eastAsia="宋体"/>
    </w:rPr>
  </w:style>
  <w:style w:type="paragraph" w:customStyle="1" w:styleId="172">
    <w:name w:val="标准书眉_奇数页"/>
    <w:next w:val="1"/>
    <w:qFormat/>
    <w:uiPriority w:val="0"/>
    <w:pPr>
      <w:tabs>
        <w:tab w:val="center" w:pos="4154"/>
        <w:tab w:val="right" w:pos="8306"/>
      </w:tabs>
      <w:spacing w:after="220" w:line="278" w:lineRule="auto"/>
      <w:jc w:val="right"/>
    </w:pPr>
    <w:rPr>
      <w:rFonts w:ascii="黑体" w:hAnsi="Calibri" w:eastAsia="黑体" w:cs="Times New Roman"/>
      <w:sz w:val="21"/>
      <w:szCs w:val="21"/>
      <w:lang w:val="en-US" w:eastAsia="zh-CN" w:bidi="ar-SA"/>
    </w:rPr>
  </w:style>
  <w:style w:type="paragraph" w:customStyle="1" w:styleId="173">
    <w:name w:val="样式 样式 样式 样式 样式 一级条标题 + 黑色 段前: 0.5 行 段后: 0.5 行 + 段前: 0.5 行 段后: 0...."/>
    <w:basedOn w:val="1"/>
    <w:qFormat/>
    <w:uiPriority w:val="0"/>
    <w:pPr>
      <w:widowControl/>
      <w:spacing w:beforeLines="50" w:afterLines="50"/>
      <w:jc w:val="left"/>
      <w:outlineLvl w:val="2"/>
    </w:pPr>
    <w:rPr>
      <w:rFonts w:ascii="黑体" w:eastAsia="黑体" w:cs="宋体"/>
      <w:color w:val="000000"/>
      <w:kern w:val="0"/>
      <w:szCs w:val="20"/>
    </w:rPr>
  </w:style>
  <w:style w:type="paragraph" w:customStyle="1" w:styleId="174">
    <w:name w:val="样式 列项——（一级）"/>
    <w:basedOn w:val="81"/>
    <w:qFormat/>
    <w:uiPriority w:val="99"/>
    <w:pPr>
      <w:numPr>
        <w:numId w:val="0"/>
      </w:numPr>
      <w:ind w:left="200" w:leftChars="200"/>
    </w:pPr>
    <w:rPr>
      <w:rFonts w:cs="宋体"/>
    </w:rPr>
  </w:style>
  <w:style w:type="paragraph" w:customStyle="1" w:styleId="175">
    <w:name w:val="其他实施日期"/>
    <w:basedOn w:val="126"/>
    <w:qFormat/>
    <w:uiPriority w:val="0"/>
  </w:style>
  <w:style w:type="paragraph" w:customStyle="1" w:styleId="176">
    <w:name w:val="示例×："/>
    <w:basedOn w:val="177"/>
    <w:qFormat/>
    <w:uiPriority w:val="0"/>
    <w:pPr>
      <w:numPr>
        <w:numId w:val="18"/>
      </w:numPr>
      <w:spacing w:before="0" w:beforeLines="0" w:after="0" w:afterLines="0"/>
      <w:outlineLvl w:val="9"/>
    </w:pPr>
    <w:rPr>
      <w:rFonts w:ascii="宋体" w:eastAsia="宋体"/>
      <w:sz w:val="18"/>
      <w:szCs w:val="18"/>
    </w:rPr>
  </w:style>
  <w:style w:type="paragraph" w:customStyle="1" w:styleId="177">
    <w:name w:val="章标题"/>
    <w:next w:val="33"/>
    <w:qFormat/>
    <w:uiPriority w:val="0"/>
    <w:pPr>
      <w:numPr>
        <w:ilvl w:val="0"/>
        <w:numId w:val="5"/>
      </w:numPr>
      <w:spacing w:before="312" w:beforeLines="100" w:after="312" w:afterLines="100" w:line="278" w:lineRule="auto"/>
      <w:jc w:val="both"/>
      <w:outlineLvl w:val="1"/>
    </w:pPr>
    <w:rPr>
      <w:rFonts w:ascii="黑体" w:hAnsi="Calibri" w:eastAsia="黑体" w:cs="Times New Roman"/>
      <w:sz w:val="21"/>
      <w:lang w:val="en-US" w:eastAsia="zh-CN" w:bidi="ar-SA"/>
    </w:rPr>
  </w:style>
  <w:style w:type="paragraph" w:customStyle="1" w:styleId="178">
    <w:name w:val="示例后文字"/>
    <w:basedOn w:val="33"/>
    <w:next w:val="33"/>
    <w:qFormat/>
    <w:uiPriority w:val="0"/>
    <w:pPr>
      <w:ind w:firstLine="360"/>
    </w:pPr>
    <w:rPr>
      <w:sz w:val="18"/>
    </w:rPr>
  </w:style>
  <w:style w:type="paragraph" w:customStyle="1" w:styleId="179">
    <w:name w:val="标准书眉_偶数页"/>
    <w:basedOn w:val="172"/>
    <w:next w:val="1"/>
    <w:qFormat/>
    <w:uiPriority w:val="0"/>
    <w:pPr>
      <w:jc w:val="left"/>
    </w:pPr>
  </w:style>
  <w:style w:type="paragraph" w:customStyle="1" w:styleId="180">
    <w:name w:val="Default"/>
    <w:qFormat/>
    <w:uiPriority w:val="0"/>
    <w:pPr>
      <w:widowControl w:val="0"/>
      <w:autoSpaceDE w:val="0"/>
      <w:autoSpaceDN w:val="0"/>
      <w:adjustRightInd w:val="0"/>
      <w:spacing w:after="160" w:line="278" w:lineRule="auto"/>
    </w:pPr>
    <w:rPr>
      <w:rFonts w:ascii="微软雅黑_x000B_.." w:hAnsi="Calibri" w:eastAsia="微软雅黑_x000B_.." w:cs="微软雅黑_x000B_.."/>
      <w:color w:val="000000"/>
      <w:sz w:val="24"/>
      <w:szCs w:val="24"/>
      <w:lang w:val="en-US" w:eastAsia="zh-CN" w:bidi="ar-SA"/>
    </w:rPr>
  </w:style>
  <w:style w:type="paragraph" w:customStyle="1" w:styleId="181">
    <w:name w:val="附录标识"/>
    <w:basedOn w:val="1"/>
    <w:next w:val="3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82">
    <w:name w:val="p0"/>
    <w:basedOn w:val="1"/>
    <w:qFormat/>
    <w:uiPriority w:val="99"/>
    <w:pPr>
      <w:widowControl/>
    </w:pPr>
    <w:rPr>
      <w:kern w:val="0"/>
      <w:szCs w:val="21"/>
    </w:rPr>
  </w:style>
  <w:style w:type="paragraph" w:customStyle="1" w:styleId="183">
    <w:name w:val="四级无"/>
    <w:basedOn w:val="117"/>
    <w:qFormat/>
    <w:uiPriority w:val="0"/>
    <w:pPr>
      <w:spacing w:before="0" w:beforeLines="0" w:after="0" w:afterLines="0"/>
    </w:pPr>
    <w:rPr>
      <w:rFonts w:ascii="宋体" w:eastAsia="宋体"/>
    </w:rPr>
  </w:style>
  <w:style w:type="paragraph" w:customStyle="1" w:styleId="184">
    <w:name w:val="标准书眉一"/>
    <w:qFormat/>
    <w:uiPriority w:val="0"/>
    <w:pPr>
      <w:spacing w:after="160" w:line="278" w:lineRule="auto"/>
      <w:jc w:val="both"/>
    </w:pPr>
    <w:rPr>
      <w:rFonts w:ascii="Calibri" w:hAnsi="Calibri" w:eastAsia="宋体" w:cs="Times New Roman"/>
      <w:lang w:val="en-US" w:eastAsia="zh-CN" w:bidi="ar-SA"/>
    </w:rPr>
  </w:style>
  <w:style w:type="paragraph" w:customStyle="1" w:styleId="185">
    <w:name w:val="附录图标题"/>
    <w:basedOn w:val="1"/>
    <w:next w:val="33"/>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86">
    <w:name w:val="毕业公式"/>
    <w:basedOn w:val="1"/>
    <w:qFormat/>
    <w:uiPriority w:val="0"/>
    <w:pPr>
      <w:tabs>
        <w:tab w:val="center" w:pos="4320"/>
        <w:tab w:val="right" w:leader="dot" w:pos="8640"/>
      </w:tabs>
      <w:wordWrap w:val="0"/>
      <w:jc w:val="right"/>
    </w:pPr>
    <w:rPr>
      <w:sz w:val="24"/>
    </w:rPr>
  </w:style>
  <w:style w:type="paragraph" w:customStyle="1" w:styleId="187">
    <w:name w:val="列项●（二级）"/>
    <w:qFormat/>
    <w:uiPriority w:val="0"/>
    <w:pPr>
      <w:numPr>
        <w:ilvl w:val="1"/>
        <w:numId w:val="6"/>
      </w:numPr>
      <w:tabs>
        <w:tab w:val="left" w:pos="840"/>
      </w:tabs>
      <w:spacing w:after="160" w:line="278" w:lineRule="auto"/>
      <w:jc w:val="both"/>
    </w:pPr>
    <w:rPr>
      <w:rFonts w:ascii="宋体" w:hAnsi="Calibri" w:eastAsia="宋体" w:cs="Times New Roman"/>
      <w:sz w:val="21"/>
      <w:lang w:val="en-US" w:eastAsia="zh-CN" w:bidi="ar-SA"/>
    </w:rPr>
  </w:style>
  <w:style w:type="paragraph" w:customStyle="1" w:styleId="188">
    <w:name w:val="_Style 185"/>
    <w:basedOn w:val="2"/>
    <w:next w:val="1"/>
    <w:qFormat/>
    <w:uiPriority w:val="39"/>
    <w:pPr>
      <w:widowControl/>
      <w:numPr>
        <w:numId w:val="0"/>
      </w:numPr>
      <w:spacing w:before="480" w:beforeLines="0" w:afterLines="0" w:line="276" w:lineRule="auto"/>
      <w:jc w:val="left"/>
      <w:outlineLvl w:val="9"/>
    </w:pPr>
    <w:rPr>
      <w:rFonts w:ascii="Cambria" w:hAnsi="Cambria" w:eastAsia="宋体"/>
      <w:color w:val="365F91"/>
      <w:kern w:val="0"/>
      <w:sz w:val="28"/>
      <w:szCs w:val="28"/>
    </w:rPr>
  </w:style>
  <w:style w:type="paragraph" w:customStyle="1" w:styleId="189">
    <w:name w:val="ANNEX-heading2"/>
    <w:basedOn w:val="3"/>
    <w:next w:val="1"/>
    <w:semiHidden/>
    <w:qFormat/>
    <w:uiPriority w:val="0"/>
    <w:pPr>
      <w:keepLines w:val="0"/>
      <w:widowControl/>
      <w:numPr>
        <w:ilvl w:val="4"/>
        <w:numId w:val="2"/>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190">
    <w:name w:val="附录标题"/>
    <w:basedOn w:val="33"/>
    <w:next w:val="33"/>
    <w:qFormat/>
    <w:uiPriority w:val="0"/>
    <w:pPr>
      <w:ind w:firstLine="0" w:firstLineChars="0"/>
      <w:jc w:val="center"/>
    </w:pPr>
    <w:rPr>
      <w:rFonts w:ascii="黑体" w:eastAsia="黑体"/>
    </w:rPr>
  </w:style>
  <w:style w:type="paragraph" w:customStyle="1" w:styleId="191">
    <w:name w:val="_Style 188"/>
    <w:semiHidden/>
    <w:qFormat/>
    <w:uiPriority w:val="99"/>
    <w:pPr>
      <w:spacing w:after="160" w:line="278" w:lineRule="auto"/>
    </w:pPr>
    <w:rPr>
      <w:rFonts w:ascii="Calibri" w:hAnsi="Calibri" w:eastAsia="宋体" w:cs="Times New Roman"/>
      <w:kern w:val="2"/>
      <w:sz w:val="21"/>
      <w:lang w:val="en-US" w:eastAsia="zh-CN" w:bidi="ar-SA"/>
    </w:rPr>
  </w:style>
  <w:style w:type="paragraph" w:customStyle="1" w:styleId="192">
    <w:name w:val="WPSOffice手动目录 2"/>
    <w:qFormat/>
    <w:uiPriority w:val="0"/>
    <w:pPr>
      <w:spacing w:after="160" w:line="278" w:lineRule="auto"/>
      <w:ind w:left="200" w:leftChars="200"/>
    </w:pPr>
    <w:rPr>
      <w:rFonts w:ascii="Calibri" w:hAnsi="Calibri" w:eastAsia="宋体" w:cs="Times New Roman"/>
      <w:lang w:val="en-US" w:eastAsia="zh-CN" w:bidi="ar-SA"/>
    </w:rPr>
  </w:style>
  <w:style w:type="paragraph" w:customStyle="1" w:styleId="193">
    <w:name w:val="示例"/>
    <w:next w:val="114"/>
    <w:qFormat/>
    <w:uiPriority w:val="0"/>
    <w:pPr>
      <w:widowControl w:val="0"/>
      <w:numPr>
        <w:ilvl w:val="0"/>
        <w:numId w:val="19"/>
      </w:numPr>
      <w:spacing w:after="160" w:line="278" w:lineRule="auto"/>
      <w:jc w:val="both"/>
    </w:pPr>
    <w:rPr>
      <w:rFonts w:ascii="宋体" w:hAnsi="Calibri" w:eastAsia="宋体" w:cs="Times New Roman"/>
      <w:sz w:val="18"/>
      <w:szCs w:val="18"/>
      <w:lang w:val="en-US" w:eastAsia="zh-CN" w:bidi="ar-SA"/>
    </w:rPr>
  </w:style>
  <w:style w:type="paragraph" w:customStyle="1" w:styleId="194">
    <w:name w:val="附录五级无"/>
    <w:basedOn w:val="195"/>
    <w:qFormat/>
    <w:uiPriority w:val="0"/>
    <w:pPr>
      <w:tabs>
        <w:tab w:val="left" w:pos="360"/>
      </w:tabs>
      <w:spacing w:before="0" w:beforeLines="0" w:after="0" w:afterLines="0"/>
    </w:pPr>
    <w:rPr>
      <w:rFonts w:ascii="宋体" w:eastAsia="宋体"/>
      <w:szCs w:val="21"/>
    </w:rPr>
  </w:style>
  <w:style w:type="paragraph" w:customStyle="1" w:styleId="195">
    <w:name w:val="附录五级条标题"/>
    <w:basedOn w:val="134"/>
    <w:next w:val="33"/>
    <w:qFormat/>
    <w:uiPriority w:val="0"/>
    <w:pPr>
      <w:numPr>
        <w:ilvl w:val="6"/>
      </w:numPr>
      <w:outlineLvl w:val="6"/>
    </w:pPr>
  </w:style>
  <w:style w:type="paragraph" w:customStyle="1" w:styleId="196">
    <w:name w:val="前言、引言标题"/>
    <w:next w:val="33"/>
    <w:qFormat/>
    <w:uiPriority w:val="0"/>
    <w:pPr>
      <w:keepNext/>
      <w:pageBreakBefore/>
      <w:shd w:val="clear" w:color="FFFFFF" w:fill="FFFFFF"/>
      <w:spacing w:before="640" w:after="560" w:line="278" w:lineRule="auto"/>
      <w:jc w:val="center"/>
      <w:outlineLvl w:val="0"/>
    </w:pPr>
    <w:rPr>
      <w:rFonts w:ascii="黑体" w:hAnsi="Calibri" w:eastAsia="黑体" w:cs="Times New Roman"/>
      <w:sz w:val="32"/>
      <w:lang w:val="en-US" w:eastAsia="zh-CN" w:bidi="ar-SA"/>
    </w:rPr>
  </w:style>
  <w:style w:type="paragraph" w:customStyle="1" w:styleId="197">
    <w:name w:val="目次、索引正文"/>
    <w:qFormat/>
    <w:uiPriority w:val="0"/>
    <w:pPr>
      <w:spacing w:after="160" w:line="320" w:lineRule="exact"/>
      <w:jc w:val="both"/>
    </w:pPr>
    <w:rPr>
      <w:rFonts w:ascii="宋体" w:hAnsi="Calibri" w:eastAsia="宋体" w:cs="Times New Roman"/>
      <w:sz w:val="21"/>
      <w:lang w:val="en-US" w:eastAsia="zh-CN" w:bidi="ar-SA"/>
    </w:rPr>
  </w:style>
  <w:style w:type="paragraph" w:customStyle="1" w:styleId="198">
    <w:name w:val="附录表标号"/>
    <w:basedOn w:val="1"/>
    <w:next w:val="33"/>
    <w:qFormat/>
    <w:uiPriority w:val="0"/>
    <w:pPr>
      <w:numPr>
        <w:ilvl w:val="0"/>
        <w:numId w:val="15"/>
      </w:numPr>
      <w:tabs>
        <w:tab w:val="clear" w:pos="0"/>
      </w:tabs>
      <w:spacing w:line="14" w:lineRule="exact"/>
      <w:ind w:left="811" w:hanging="448"/>
      <w:jc w:val="center"/>
      <w:outlineLvl w:val="0"/>
    </w:pPr>
    <w:rPr>
      <w:color w:val="FFFFFF"/>
    </w:rPr>
  </w:style>
  <w:style w:type="paragraph" w:customStyle="1" w:styleId="199">
    <w:name w:val="封面标准名称2"/>
    <w:basedOn w:val="94"/>
    <w:qFormat/>
    <w:uiPriority w:val="0"/>
    <w:pPr>
      <w:framePr w:y="4469"/>
      <w:spacing w:before="630" w:beforeLines="630"/>
    </w:pPr>
  </w:style>
  <w:style w:type="character" w:customStyle="1" w:styleId="200">
    <w:name w:val="fontstyle01"/>
    <w:basedOn w:val="45"/>
    <w:qFormat/>
    <w:uiPriority w:val="0"/>
    <w:rPr>
      <w:rFonts w:ascii="宋体" w:hAnsi="宋体" w:eastAsia="宋体" w:cs="宋体"/>
      <w:color w:val="000000"/>
      <w:sz w:val="18"/>
      <w:szCs w:val="18"/>
    </w:rPr>
  </w:style>
  <w:style w:type="character" w:customStyle="1" w:styleId="201">
    <w:name w:val="fontstyle11"/>
    <w:basedOn w:val="45"/>
    <w:qFormat/>
    <w:uiPriority w:val="0"/>
    <w:rPr>
      <w:rFonts w:ascii="Calibri" w:hAnsi="Calibri" w:cs="Calibri"/>
      <w:color w:val="000000"/>
      <w:sz w:val="18"/>
      <w:szCs w:val="18"/>
    </w:rPr>
  </w:style>
  <w:style w:type="character" w:customStyle="1" w:styleId="202">
    <w:name w:val="脚注文本 字符"/>
    <w:basedOn w:val="45"/>
    <w:link w:val="34"/>
    <w:qFormat/>
    <w:uiPriority w:val="0"/>
    <w:rPr>
      <w:rFonts w:ascii="宋体" w:hAnsi="Calibri"/>
      <w:kern w:val="2"/>
      <w:sz w:val="18"/>
      <w:szCs w:val="18"/>
    </w:rPr>
  </w:style>
  <w:style w:type="character" w:customStyle="1" w:styleId="203">
    <w:name w:val="font01"/>
    <w:basedOn w:val="45"/>
    <w:qFormat/>
    <w:uiPriority w:val="0"/>
    <w:rPr>
      <w:rFonts w:hint="eastAsia" w:ascii="宋体" w:hAnsi="宋体" w:eastAsia="宋体" w:cs="宋体"/>
      <w:color w:val="000000"/>
      <w:sz w:val="20"/>
      <w:szCs w:val="20"/>
      <w:u w:val="none"/>
    </w:rPr>
  </w:style>
  <w:style w:type="table" w:customStyle="1" w:styleId="204">
    <w:name w:val="网格型1"/>
    <w:basedOn w:val="43"/>
    <w:qFormat/>
    <w:uiPriority w:val="0"/>
    <w:rPr>
      <w:rFonts w:ascii="宋体" w:hAnsi="Calibri"/>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5">
    <w:name w:val="修订1"/>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206">
    <w:name w:val="修订2"/>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207">
    <w:name w:val="修订3"/>
    <w:hidden/>
    <w:unhideWhenUsed/>
    <w:qFormat/>
    <w:uiPriority w:val="99"/>
    <w:pPr>
      <w:spacing w:after="0" w:line="240" w:lineRule="auto"/>
    </w:pPr>
    <w:rPr>
      <w:rFonts w:ascii="Calibri" w:hAnsi="Calibri" w:eastAsia="宋体" w:cs="Times New Roman"/>
      <w:kern w:val="2"/>
      <w:sz w:val="21"/>
      <w:szCs w:val="24"/>
      <w:lang w:val="en-US" w:eastAsia="zh-CN" w:bidi="ar-SA"/>
    </w:rPr>
  </w:style>
  <w:style w:type="paragraph" w:customStyle="1" w:styleId="20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E490E-F774-4B26-9660-B86B24EEE2F3}">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17</Pages>
  <Words>9198</Words>
  <Characters>10234</Characters>
  <Lines>82</Lines>
  <Paragraphs>23</Paragraphs>
  <TotalTime>73</TotalTime>
  <ScaleCrop>false</ScaleCrop>
  <LinksUpToDate>false</LinksUpToDate>
  <CharactersWithSpaces>10529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2024-08-12T12:40:00Z</dcterms:created>
  <dc:creator>CNIS</dc:creator>
  <cp:lastModifiedBy>宁静以致远~</cp:lastModifiedBy>
  <cp:lastPrinted>2024-08-13T12:56:00Z</cp:lastPrinted>
  <dcterms:modified xsi:type="dcterms:W3CDTF">2025-09-17T08:34:47Z</dcterms:modified>
  <dc:title>标准名称</dc:title>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D9FD4A6AF8B74BF7A13D28B50FC48F8B_13</vt:lpwstr>
  </property>
  <property fmtid="{D5CDD505-2E9C-101B-9397-08002B2CF9AE}" pid="4" name="KSOTemplateDocerSaveRecord">
    <vt:lpwstr>eyJoZGlkIjoiYjY5ODdiYWZhYzQxMDhkMWZjZjVjZDA1OGFkNjQzYjgiLCJ1c2VySWQiOiI4NjU1NDkwMjgifQ==</vt:lpwstr>
  </property>
</Properties>
</file>