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42777">
      <w:pPr>
        <w:pStyle w:val="2"/>
        <w:jc w:val="center"/>
        <w:rPr>
          <w:rFonts w:hint="eastAsia" w:ascii="Times New Roman" w:hAnsi="Times New Roman" w:eastAsia="黑体" w:cs="Times New Roman"/>
          <w:sz w:val="52"/>
          <w:szCs w:val="52"/>
        </w:rPr>
      </w:pPr>
    </w:p>
    <w:p w14:paraId="5FCF0F8B">
      <w:pPr>
        <w:pStyle w:val="2"/>
        <w:jc w:val="center"/>
        <w:rPr>
          <w:rFonts w:hint="eastAsia" w:ascii="Times New Roman" w:hAnsi="Times New Roman" w:eastAsia="黑体" w:cs="Times New Roman"/>
          <w:sz w:val="52"/>
          <w:szCs w:val="52"/>
        </w:rPr>
      </w:pPr>
      <w:r>
        <w:rPr>
          <w:rFonts w:hint="eastAsia" w:ascii="Times New Roman" w:hAnsi="Times New Roman" w:eastAsia="黑体" w:cs="Times New Roman"/>
          <w:sz w:val="52"/>
          <w:szCs w:val="52"/>
        </w:rPr>
        <w:t>中国仪器仪表行业协会团体标准</w:t>
      </w:r>
    </w:p>
    <w:p w14:paraId="0212B8FB">
      <w:pPr>
        <w:rPr>
          <w:rFonts w:ascii="Times New Roman" w:hAnsi="Times New Roman" w:eastAsia="黑体"/>
          <w:sz w:val="52"/>
          <w:szCs w:val="52"/>
        </w:rPr>
      </w:pPr>
    </w:p>
    <w:p w14:paraId="23437E3D">
      <w:pPr>
        <w:rPr>
          <w:rFonts w:ascii="Times New Roman" w:hAnsi="Times New Roman" w:eastAsia="黑体"/>
          <w:sz w:val="52"/>
          <w:szCs w:val="52"/>
        </w:rPr>
      </w:pPr>
    </w:p>
    <w:p w14:paraId="6A91FBCC">
      <w:pPr>
        <w:jc w:val="center"/>
        <w:rPr>
          <w:rFonts w:hint="eastAsia" w:ascii="Times New Roman" w:hAnsi="Times New Roman" w:eastAsia="宋体" w:cs="Times New Roman"/>
          <w:b/>
          <w:bCs/>
          <w:kern w:val="44"/>
          <w:sz w:val="48"/>
          <w:szCs w:val="48"/>
          <w:lang w:val="en-US" w:eastAsia="zh-CN" w:bidi="ar-SA"/>
        </w:rPr>
      </w:pPr>
      <w:r>
        <w:rPr>
          <w:rFonts w:hint="eastAsia" w:ascii="Times New Roman" w:hAnsi="Times New Roman" w:eastAsia="宋体" w:cs="Times New Roman"/>
          <w:b/>
          <w:bCs/>
          <w:kern w:val="44"/>
          <w:sz w:val="48"/>
          <w:szCs w:val="48"/>
          <w:lang w:val="en-US" w:eastAsia="zh-CN" w:bidi="ar-SA"/>
        </w:rPr>
        <w:t>《基于电力流的碳排放计量  第4部分：</w:t>
      </w:r>
    </w:p>
    <w:p w14:paraId="00954BD3">
      <w:pPr>
        <w:jc w:val="center"/>
        <w:rPr>
          <w:rFonts w:hint="eastAsia" w:ascii="Times New Roman" w:hAnsi="Times New Roman" w:eastAsia="宋体" w:cs="Times New Roman"/>
          <w:b/>
          <w:bCs/>
          <w:kern w:val="44"/>
          <w:sz w:val="48"/>
          <w:szCs w:val="48"/>
          <w:lang w:val="en-US" w:eastAsia="zh-CN" w:bidi="ar-SA"/>
        </w:rPr>
      </w:pPr>
      <w:r>
        <w:rPr>
          <w:rFonts w:hint="eastAsia" w:ascii="Times New Roman" w:hAnsi="Times New Roman" w:eastAsia="宋体" w:cs="Times New Roman"/>
          <w:b/>
          <w:bCs/>
          <w:kern w:val="44"/>
          <w:sz w:val="48"/>
          <w:szCs w:val="48"/>
          <w:lang w:val="en-US" w:eastAsia="zh-CN" w:bidi="ar-SA"/>
        </w:rPr>
        <w:t>计量设备检验技术规范》</w:t>
      </w:r>
    </w:p>
    <w:p w14:paraId="2555FC98">
      <w:pPr>
        <w:rPr>
          <w:rFonts w:ascii="Times New Roman" w:hAnsi="Times New Roman"/>
          <w:sz w:val="32"/>
          <w:szCs w:val="32"/>
        </w:rPr>
      </w:pPr>
    </w:p>
    <w:p w14:paraId="56DBC754">
      <w:pPr>
        <w:rPr>
          <w:rFonts w:ascii="Times New Roman" w:hAnsi="Times New Roman"/>
          <w:sz w:val="32"/>
          <w:szCs w:val="32"/>
        </w:rPr>
      </w:pPr>
    </w:p>
    <w:p w14:paraId="725E5055">
      <w:pPr>
        <w:rPr>
          <w:rFonts w:ascii="Times New Roman" w:hAnsi="Times New Roman"/>
          <w:sz w:val="32"/>
          <w:szCs w:val="32"/>
        </w:rPr>
      </w:pPr>
    </w:p>
    <w:p w14:paraId="55F587F7">
      <w:pPr>
        <w:pStyle w:val="2"/>
        <w:jc w:val="center"/>
        <w:rPr>
          <w:rFonts w:hint="eastAsia" w:ascii="黑体" w:hAnsi="黑体" w:eastAsia="黑体"/>
          <w:b w:val="0"/>
        </w:rPr>
      </w:pPr>
      <w:r>
        <w:rPr>
          <w:rFonts w:ascii="黑体" w:hAnsi="黑体" w:eastAsia="黑体"/>
          <w:b w:val="0"/>
        </w:rPr>
        <w:t>编制说明</w:t>
      </w:r>
    </w:p>
    <w:p w14:paraId="5FA3B4B4">
      <w:pPr>
        <w:jc w:val="center"/>
        <w:rPr>
          <w:b/>
          <w:sz w:val="32"/>
          <w:szCs w:val="32"/>
          <w:lang w:val="zh-CN"/>
        </w:rPr>
      </w:pPr>
    </w:p>
    <w:p w14:paraId="5FCFA583">
      <w:pPr>
        <w:jc w:val="center"/>
        <w:rPr>
          <w:b/>
          <w:sz w:val="32"/>
          <w:szCs w:val="32"/>
          <w:lang w:val="zh-CN"/>
        </w:rPr>
      </w:pPr>
    </w:p>
    <w:p w14:paraId="6D5797E4">
      <w:pPr>
        <w:jc w:val="center"/>
        <w:rPr>
          <w:b/>
          <w:sz w:val="32"/>
          <w:szCs w:val="32"/>
          <w:lang w:val="zh-CN"/>
        </w:rPr>
      </w:pPr>
    </w:p>
    <w:p w14:paraId="258C878C">
      <w:pPr>
        <w:jc w:val="center"/>
        <w:rPr>
          <w:b/>
          <w:sz w:val="32"/>
          <w:szCs w:val="32"/>
          <w:lang w:val="zh-CN"/>
        </w:rPr>
      </w:pPr>
      <w:r>
        <w:rPr>
          <w:b/>
          <w:sz w:val="32"/>
          <w:szCs w:val="32"/>
          <w:lang w:val="zh-CN"/>
        </w:rPr>
        <w:t>（</w:t>
      </w:r>
      <w:r>
        <w:rPr>
          <w:rFonts w:hint="eastAsia"/>
          <w:b/>
          <w:sz w:val="32"/>
          <w:szCs w:val="32"/>
          <w:lang w:val="zh-CN"/>
        </w:rPr>
        <w:t>征求意见</w:t>
      </w:r>
      <w:r>
        <w:rPr>
          <w:b/>
          <w:sz w:val="32"/>
          <w:szCs w:val="32"/>
          <w:lang w:val="zh-CN"/>
        </w:rPr>
        <w:t>稿）</w:t>
      </w:r>
    </w:p>
    <w:p w14:paraId="652FBB7E">
      <w:pPr>
        <w:jc w:val="center"/>
        <w:rPr>
          <w:rFonts w:hint="default" w:eastAsia="宋体"/>
          <w:b/>
          <w:sz w:val="32"/>
          <w:szCs w:val="32"/>
          <w:lang w:val="en-US" w:eastAsia="zh-CN"/>
        </w:rPr>
      </w:pPr>
      <w:r>
        <w:rPr>
          <w:rFonts w:hint="eastAsia"/>
          <w:b/>
          <w:sz w:val="32"/>
          <w:szCs w:val="32"/>
        </w:rPr>
        <w:t>202</w:t>
      </w:r>
      <w:r>
        <w:rPr>
          <w:rFonts w:hint="eastAsia"/>
          <w:b/>
          <w:sz w:val="32"/>
          <w:szCs w:val="32"/>
          <w:lang w:val="en-US" w:eastAsia="zh-CN"/>
        </w:rPr>
        <w:t>50922</w:t>
      </w:r>
    </w:p>
    <w:p w14:paraId="7239D66A">
      <w:pPr>
        <w:pStyle w:val="22"/>
        <w:ind w:firstLine="0" w:firstLineChars="0"/>
        <w:jc w:val="center"/>
        <w:rPr>
          <w:rFonts w:hint="eastAsia" w:ascii="黑体" w:hAnsi="黑体" w:eastAsia="黑体" w:cs="黑体"/>
          <w:sz w:val="28"/>
          <w:szCs w:val="28"/>
        </w:rPr>
      </w:pPr>
    </w:p>
    <w:p w14:paraId="31B0EF91">
      <w:pPr>
        <w:pStyle w:val="22"/>
        <w:ind w:firstLine="1400" w:firstLineChars="500"/>
        <w:jc w:val="left"/>
        <w:rPr>
          <w:rFonts w:hint="eastAsia" w:ascii="黑体" w:hAnsi="黑体" w:eastAsia="黑体" w:cs="黑体"/>
          <w:sz w:val="28"/>
          <w:szCs w:val="28"/>
        </w:rPr>
      </w:pPr>
    </w:p>
    <w:p w14:paraId="67516446">
      <w:pPr>
        <w:pStyle w:val="22"/>
        <w:ind w:firstLine="1400" w:firstLineChars="500"/>
        <w:jc w:val="left"/>
        <w:rPr>
          <w:rFonts w:hint="eastAsia" w:ascii="黑体" w:hAnsi="黑体" w:eastAsia="黑体" w:cs="黑体"/>
          <w:sz w:val="28"/>
          <w:szCs w:val="28"/>
        </w:rPr>
      </w:pPr>
    </w:p>
    <w:p w14:paraId="0BF2941B">
      <w:pPr>
        <w:pStyle w:val="3"/>
        <w:spacing w:line="40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w:t>
      </w:r>
      <w:r>
        <w:rPr>
          <w:rFonts w:cs="黑体" w:asciiTheme="majorEastAsia" w:hAnsiTheme="majorEastAsia" w:eastAsiaTheme="majorEastAsia"/>
          <w:sz w:val="28"/>
          <w:szCs w:val="28"/>
        </w:rPr>
        <w:t xml:space="preserve"> </w:t>
      </w:r>
      <w:r>
        <w:rPr>
          <w:rFonts w:hint="eastAsia" w:cs="黑体" w:asciiTheme="majorEastAsia" w:hAnsiTheme="majorEastAsia" w:eastAsiaTheme="majorEastAsia"/>
          <w:sz w:val="28"/>
          <w:szCs w:val="28"/>
        </w:rPr>
        <w:t>工作简况</w:t>
      </w:r>
    </w:p>
    <w:p w14:paraId="5769340E">
      <w:pPr>
        <w:pStyle w:val="3"/>
        <w:spacing w:line="400" w:lineRule="exact"/>
        <w:rPr>
          <w:rFonts w:hint="eastAsia" w:asciiTheme="majorEastAsia" w:hAnsiTheme="majorEastAsia" w:eastAsiaTheme="majorEastAsia" w:cstheme="majorEastAsia"/>
          <w:b w:val="0"/>
          <w:bCs w:val="0"/>
          <w:color w:val="auto"/>
          <w:kern w:val="2"/>
          <w:sz w:val="24"/>
          <w:szCs w:val="24"/>
          <w:lang w:val="en-US" w:eastAsia="zh-CN" w:bidi="ar-SA"/>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任务来源</w:t>
      </w:r>
    </w:p>
    <w:p w14:paraId="367B6E89">
      <w:pPr>
        <w:pStyle w:val="52"/>
        <w:spacing w:line="360" w:lineRule="auto"/>
        <w:ind w:firstLine="480"/>
        <w:rPr>
          <w:rFonts w:hint="eastAsia" w:ascii="Times New Roman" w:hAnsi="Times New Roman"/>
          <w:sz w:val="24"/>
          <w:szCs w:val="24"/>
        </w:rPr>
      </w:pPr>
      <w:r>
        <w:rPr>
          <w:rFonts w:hint="eastAsia" w:asciiTheme="majorEastAsia" w:hAnsiTheme="majorEastAsia" w:eastAsiaTheme="majorEastAsia" w:cstheme="majorEastAsia"/>
          <w:color w:val="auto"/>
          <w:sz w:val="24"/>
          <w:szCs w:val="24"/>
          <w:lang w:val="en-US" w:eastAsia="zh-CN"/>
        </w:rPr>
        <w:t>本团体标准根据中国仪器仪表行业协会《关于&lt;反窃电智能诊断模型评价导则&gt;等10项团体标准立项的批复》（中仪协﹝2025﹞2号）文件立项，</w:t>
      </w:r>
      <w:r>
        <w:rPr>
          <w:rFonts w:hint="eastAsia" w:ascii="Times New Roman" w:hAnsi="Times New Roman" w:eastAsiaTheme="majorEastAsia"/>
          <w:sz w:val="24"/>
          <w:szCs w:val="24"/>
          <w:highlight w:val="none"/>
          <w:lang w:val="en-US" w:eastAsia="zh-CN"/>
        </w:rPr>
        <w:t>项目</w:t>
      </w:r>
      <w:r>
        <w:rPr>
          <w:rFonts w:hint="eastAsia" w:ascii="Times New Roman" w:hAnsi="Times New Roman"/>
          <w:sz w:val="24"/>
          <w:szCs w:val="24"/>
          <w:highlight w:val="none"/>
        </w:rPr>
        <w:t>名称为《基于电力流的碳排放计量  第4部分：计量设备</w:t>
      </w:r>
      <w:r>
        <w:rPr>
          <w:rFonts w:hint="eastAsia" w:ascii="Times New Roman" w:hAnsi="Times New Roman"/>
          <w:sz w:val="24"/>
          <w:szCs w:val="24"/>
          <w:highlight w:val="none"/>
          <w:lang w:val="en-US" w:eastAsia="zh-CN"/>
        </w:rPr>
        <w:t>检测</w:t>
      </w:r>
      <w:r>
        <w:rPr>
          <w:rFonts w:hint="eastAsia" w:ascii="Times New Roman" w:hAnsi="Times New Roman"/>
          <w:sz w:val="24"/>
          <w:szCs w:val="24"/>
          <w:highlight w:val="none"/>
        </w:rPr>
        <w:t>技术规范》，</w:t>
      </w:r>
      <w:r>
        <w:rPr>
          <w:rFonts w:hint="eastAsia" w:ascii="Times New Roman" w:hAnsi="Times New Roman"/>
          <w:sz w:val="24"/>
          <w:szCs w:val="24"/>
          <w:lang w:val="en-US" w:eastAsia="zh-CN"/>
        </w:rPr>
        <w:t>项目</w:t>
      </w:r>
      <w:r>
        <w:rPr>
          <w:rFonts w:hint="eastAsia" w:ascii="Times New Roman" w:hAnsi="Times New Roman"/>
          <w:sz w:val="24"/>
          <w:szCs w:val="24"/>
        </w:rPr>
        <w:t xml:space="preserve">编号为T/CIMA </w:t>
      </w:r>
      <w:r>
        <w:rPr>
          <w:rFonts w:hint="eastAsia" w:ascii="Times New Roman" w:hAnsi="Times New Roman"/>
          <w:sz w:val="24"/>
          <w:szCs w:val="24"/>
          <w:lang w:val="en-US" w:eastAsia="zh-CN"/>
        </w:rPr>
        <w:t>0184</w:t>
      </w:r>
      <w:r>
        <w:rPr>
          <w:rFonts w:hint="eastAsia" w:ascii="Times New Roman" w:hAnsi="Times New Roman"/>
          <w:sz w:val="24"/>
          <w:szCs w:val="24"/>
        </w:rPr>
        <w:t>。本文件由中国仪器仪表行业协会电工仪器仪表分会提出，由中国仪器仪表行业协会归口。计划编制完成年限为202</w:t>
      </w:r>
      <w:r>
        <w:rPr>
          <w:rFonts w:hint="eastAsia" w:ascii="Times New Roman" w:hAnsi="Times New Roman"/>
          <w:sz w:val="24"/>
          <w:szCs w:val="24"/>
          <w:lang w:val="en-US" w:eastAsia="zh-CN"/>
        </w:rPr>
        <w:t>6</w:t>
      </w:r>
      <w:r>
        <w:rPr>
          <w:rFonts w:hint="eastAsia" w:ascii="Times New Roman" w:hAnsi="Times New Roman"/>
          <w:sz w:val="24"/>
          <w:szCs w:val="24"/>
        </w:rPr>
        <w:t>年。</w:t>
      </w:r>
    </w:p>
    <w:p w14:paraId="08A3904C">
      <w:pPr>
        <w:pStyle w:val="3"/>
        <w:spacing w:line="400" w:lineRule="exact"/>
        <w:rPr>
          <w:rFonts w:hint="eastAsia" w:ascii="宋体" w:hAnsi="宋体" w:eastAsia="宋体" w:cs="宋体"/>
          <w:sz w:val="28"/>
          <w:szCs w:val="28"/>
        </w:rPr>
      </w:pPr>
      <w:r>
        <w:rPr>
          <w:rFonts w:hint="eastAsia" w:ascii="宋体" w:hAnsi="宋体" w:eastAsia="宋体" w:cs="宋体"/>
          <w:sz w:val="28"/>
          <w:szCs w:val="28"/>
        </w:rPr>
        <w:t>2  主要工作过程</w:t>
      </w:r>
    </w:p>
    <w:p w14:paraId="6F5114E2">
      <w:pPr>
        <w:spacing w:line="360" w:lineRule="auto"/>
        <w:ind w:firstLine="482" w:firstLineChars="200"/>
        <w:rPr>
          <w:rFonts w:hint="eastAsia" w:ascii="宋体" w:hAnsi="宋体" w:eastAsia="宋体" w:cs="宋体"/>
          <w:b/>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4</w:t>
      </w:r>
      <w:r>
        <w:rPr>
          <w:rFonts w:hint="eastAsia" w:asciiTheme="majorEastAsia" w:hAnsiTheme="majorEastAsia" w:eastAsiaTheme="majorEastAsia" w:cstheme="majorEastAsia"/>
          <w:b/>
          <w:color w:val="auto"/>
          <w:sz w:val="24"/>
          <w:szCs w:val="24"/>
        </w:rPr>
        <w:t>年</w:t>
      </w:r>
      <w:r>
        <w:rPr>
          <w:rFonts w:asciiTheme="majorEastAsia" w:hAnsiTheme="majorEastAsia" w:eastAsiaTheme="majorEastAsia" w:cstheme="majorEastAsia"/>
          <w:b/>
          <w:color w:val="auto"/>
          <w:sz w:val="24"/>
          <w:szCs w:val="24"/>
        </w:rPr>
        <w:t>1</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申请立项并上报标准的</w:t>
      </w:r>
      <w:r>
        <w:rPr>
          <w:rFonts w:hint="eastAsia" w:ascii="宋体" w:hAnsi="宋体" w:eastAsia="宋体" w:cs="宋体"/>
          <w:b/>
          <w:sz w:val="24"/>
          <w:szCs w:val="24"/>
        </w:rPr>
        <w:t>草案稿和项目建议书</w:t>
      </w:r>
      <w:r>
        <w:rPr>
          <w:rFonts w:hint="eastAsia" w:ascii="宋体" w:hAnsi="宋体" w:eastAsia="宋体" w:cs="宋体"/>
          <w:bCs/>
          <w:sz w:val="24"/>
          <w:szCs w:val="24"/>
        </w:rPr>
        <w:t>。</w:t>
      </w:r>
    </w:p>
    <w:p w14:paraId="2D97BA0D">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1</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中国仪器仪表行业协会组织召开立项评审会，会后下达了会后下达了立项批复</w:t>
      </w:r>
      <w:r>
        <w:rPr>
          <w:rFonts w:hint="eastAsia" w:ascii="宋体" w:hAnsi="宋体" w:eastAsia="宋体" w:cs="宋体"/>
          <w:sz w:val="24"/>
          <w:szCs w:val="24"/>
          <w:highlight w:val="none"/>
        </w:rPr>
        <w:t>文件。</w:t>
      </w:r>
      <w:r>
        <w:rPr>
          <w:rFonts w:hint="eastAsia" w:asciiTheme="majorEastAsia" w:hAnsiTheme="majorEastAsia" w:eastAsiaTheme="majorEastAsia" w:cstheme="majorEastAsia"/>
          <w:color w:val="auto"/>
          <w:sz w:val="24"/>
          <w:szCs w:val="24"/>
        </w:rPr>
        <w:t>由</w:t>
      </w:r>
      <w:r>
        <w:rPr>
          <w:rFonts w:hint="eastAsia" w:asciiTheme="majorEastAsia" w:hAnsiTheme="majorEastAsia" w:eastAsiaTheme="majorEastAsia" w:cstheme="majorEastAsia"/>
          <w:color w:val="auto"/>
          <w:sz w:val="24"/>
          <w:szCs w:val="24"/>
          <w:lang w:val="en-US" w:eastAsia="zh-CN"/>
        </w:rPr>
        <w:t>国网安徽省电力有限公司营销服务中心</w:t>
      </w:r>
      <w:r>
        <w:rPr>
          <w:rFonts w:hint="eastAsia" w:asciiTheme="majorEastAsia" w:hAnsiTheme="majorEastAsia" w:eastAsiaTheme="majorEastAsia" w:cstheme="majorEastAsia"/>
          <w:color w:val="auto"/>
          <w:sz w:val="24"/>
          <w:szCs w:val="24"/>
        </w:rPr>
        <w:t>牵头，组织</w:t>
      </w:r>
      <w:r>
        <w:rPr>
          <w:rFonts w:hint="eastAsia" w:asciiTheme="majorEastAsia" w:hAnsiTheme="majorEastAsia" w:eastAsiaTheme="majorEastAsia" w:cstheme="majorEastAsia"/>
          <w:b/>
          <w:color w:val="auto"/>
          <w:sz w:val="24"/>
          <w:szCs w:val="24"/>
        </w:rPr>
        <w:t>成立标准起草工作组</w:t>
      </w:r>
      <w:r>
        <w:rPr>
          <w:rFonts w:hint="eastAsia" w:asciiTheme="majorEastAsia" w:hAnsiTheme="majorEastAsia" w:eastAsiaTheme="majorEastAsia" w:cstheme="majorEastAsia"/>
          <w:color w:val="auto"/>
          <w:sz w:val="24"/>
          <w:szCs w:val="24"/>
        </w:rPr>
        <w:t>。</w:t>
      </w:r>
    </w:p>
    <w:p w14:paraId="5DF48177">
      <w:pPr>
        <w:spacing w:line="360" w:lineRule="auto"/>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启动团体标准制定工作。起草组严格按照GB/T 1.1-2020《标准化工作导则 第1部分：标准化文件的结构和起草规则》等文件的要求进行标准制定并形成了</w:t>
      </w:r>
      <w:r>
        <w:rPr>
          <w:rFonts w:hint="eastAsia" w:ascii="宋体" w:hAnsi="宋体" w:eastAsia="宋体" w:cs="宋体"/>
          <w:b/>
          <w:bCs/>
          <w:sz w:val="24"/>
          <w:szCs w:val="24"/>
        </w:rPr>
        <w:t>工作组讨论稿</w:t>
      </w:r>
      <w:r>
        <w:rPr>
          <w:rFonts w:hint="eastAsia" w:ascii="宋体" w:hAnsi="宋体" w:eastAsia="宋体" w:cs="宋体"/>
          <w:sz w:val="24"/>
          <w:szCs w:val="24"/>
        </w:rPr>
        <w:t>。</w:t>
      </w:r>
    </w:p>
    <w:p w14:paraId="0E019F5E">
      <w:pPr>
        <w:spacing w:line="400" w:lineRule="exact"/>
        <w:ind w:firstLine="472" w:firstLineChars="196"/>
        <w:rPr>
          <w:rFonts w:hint="eastAsia" w:asciiTheme="majorEastAsia" w:hAnsiTheme="majorEastAsia" w:eastAsiaTheme="majorEastAsia" w:cstheme="majorEastAsia"/>
          <w:color w:val="auto"/>
          <w:sz w:val="24"/>
          <w:szCs w:val="24"/>
        </w:rPr>
      </w:pPr>
      <w:bookmarkStart w:id="0" w:name="_Hlk17657671"/>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年4月</w:t>
      </w:r>
      <w:bookmarkEnd w:id="0"/>
      <w:r>
        <w:rPr>
          <w:rFonts w:hint="eastAsia" w:asciiTheme="majorEastAsia" w:hAnsiTheme="majorEastAsia" w:eastAsiaTheme="majorEastAsia" w:cstheme="majorEastAsia"/>
          <w:color w:val="auto"/>
          <w:sz w:val="24"/>
          <w:szCs w:val="24"/>
        </w:rPr>
        <w:t>：工作组讨论稿在标准编制工作组内部第一次征求意见，共回收意见</w:t>
      </w:r>
      <w:r>
        <w:rPr>
          <w:rFonts w:hint="eastAsia" w:asciiTheme="majorEastAsia" w:hAnsiTheme="majorEastAsia" w:eastAsiaTheme="majorEastAsia" w:cstheme="majorEastAsia"/>
          <w:color w:val="auto"/>
          <w:sz w:val="24"/>
          <w:szCs w:val="24"/>
          <w:lang w:val="en-US" w:eastAsia="zh-CN"/>
        </w:rPr>
        <w:t>4</w:t>
      </w:r>
      <w:r>
        <w:rPr>
          <w:rFonts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条，主笔单位按照回收意见对工作组讨论稿进行了修改完善。</w:t>
      </w:r>
    </w:p>
    <w:p w14:paraId="6A0AEF21">
      <w:pPr>
        <w:spacing w:line="400" w:lineRule="exact"/>
        <w:ind w:firstLine="472" w:firstLineChars="196"/>
        <w:rPr>
          <w:rFonts w:hint="eastAsia" w:ascii="宋体" w:hAnsi="宋体" w:eastAsia="宋体" w:cs="宋体"/>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6</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起草工作组</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安徽省池州市</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起草第一次工作组会议</w:t>
      </w:r>
      <w:r>
        <w:rPr>
          <w:rFonts w:hint="eastAsia" w:asciiTheme="majorEastAsia" w:hAnsiTheme="majorEastAsia" w:eastAsiaTheme="majorEastAsia" w:cstheme="majorEastAsia"/>
          <w:color w:val="auto"/>
          <w:sz w:val="24"/>
          <w:szCs w:val="24"/>
        </w:rPr>
        <w:t>，</w:t>
      </w:r>
      <w:r>
        <w:rPr>
          <w:rFonts w:hint="eastAsia" w:ascii="宋体" w:hAnsi="宋体" w:eastAsia="宋体" w:cs="宋体"/>
          <w:sz w:val="24"/>
          <w:szCs w:val="24"/>
        </w:rPr>
        <w:t>对</w:t>
      </w:r>
      <w:r>
        <w:rPr>
          <w:rFonts w:hint="eastAsia" w:ascii="宋体" w:hAnsi="宋体" w:eastAsia="宋体" w:cs="宋体"/>
          <w:bCs/>
          <w:sz w:val="24"/>
          <w:szCs w:val="24"/>
        </w:rPr>
        <w:t>工作组讨论</w:t>
      </w:r>
      <w:r>
        <w:rPr>
          <w:rFonts w:hint="eastAsia" w:ascii="宋体" w:hAnsi="宋体" w:eastAsia="宋体" w:cs="宋体"/>
          <w:sz w:val="24"/>
          <w:szCs w:val="24"/>
        </w:rPr>
        <w:t>稿的标准化对象、结构进行了认真、细致的逐条讨论，并对主要技术内容达成了一致意见，形成会议纪要。</w:t>
      </w:r>
    </w:p>
    <w:p w14:paraId="00054FE5">
      <w:pPr>
        <w:pStyle w:val="52"/>
        <w:spacing w:line="360" w:lineRule="auto"/>
        <w:ind w:firstLine="482"/>
        <w:rPr>
          <w:rFonts w:hint="eastAsia" w:ascii="宋体" w:hAnsi="宋体" w:eastAsia="宋体" w:cs="宋体"/>
          <w:sz w:val="24"/>
          <w:szCs w:val="24"/>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5</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7</w:t>
      </w: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8</w:t>
      </w:r>
      <w:r>
        <w:rPr>
          <w:rFonts w:hint="eastAsia" w:asciiTheme="majorEastAsia" w:hAnsiTheme="majorEastAsia" w:eastAsiaTheme="majorEastAsia" w:cstheme="majorEastAsia"/>
          <w:b/>
          <w:bCs/>
          <w:color w:val="auto"/>
          <w:sz w:val="24"/>
          <w:szCs w:val="24"/>
        </w:rPr>
        <w:t>月：</w:t>
      </w:r>
      <w:r>
        <w:rPr>
          <w:rFonts w:hint="eastAsia" w:ascii="宋体" w:hAnsi="宋体" w:eastAsia="宋体" w:cs="宋体"/>
          <w:sz w:val="24"/>
          <w:szCs w:val="24"/>
        </w:rPr>
        <w:t>形成工作组讨论稿，开展第二次征求意见，共回收意见</w:t>
      </w:r>
      <w:r>
        <w:rPr>
          <w:rFonts w:hint="eastAsia" w:ascii="宋体" w:hAnsi="宋体" w:cs="宋体"/>
          <w:sz w:val="24"/>
          <w:szCs w:val="24"/>
          <w:lang w:val="en-US" w:eastAsia="zh-CN"/>
        </w:rPr>
        <w:t>11</w:t>
      </w:r>
      <w:r>
        <w:rPr>
          <w:rFonts w:hint="eastAsia" w:ascii="宋体" w:hAnsi="宋体" w:eastAsia="宋体" w:cs="宋体"/>
          <w:sz w:val="24"/>
          <w:szCs w:val="24"/>
        </w:rPr>
        <w:t>条，主笔单位按照回收意见对工作组讨论稿进行了修改完善。</w:t>
      </w:r>
    </w:p>
    <w:p w14:paraId="7DA084FC">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lang w:val="en-US" w:eastAsia="zh-CN"/>
        </w:rPr>
        <w:t>起草工作组</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安徽省合肥市</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起草工作组第二次会议</w:t>
      </w:r>
      <w:r>
        <w:rPr>
          <w:rFonts w:hint="eastAsia" w:asciiTheme="majorEastAsia" w:hAnsiTheme="majorEastAsia" w:eastAsiaTheme="majorEastAsia" w:cstheme="majorEastAsia"/>
          <w:color w:val="auto"/>
          <w:sz w:val="24"/>
          <w:szCs w:val="24"/>
        </w:rPr>
        <w:t>，对标准工作组讨论稿以及所征求的意见内容进行了仔细讨论，形成会议纪要。</w:t>
      </w:r>
    </w:p>
    <w:p w14:paraId="0EE9B9B7">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，形成征求意见稿。</w:t>
      </w:r>
    </w:p>
    <w:p w14:paraId="63A189BC">
      <w:pPr>
        <w:pStyle w:val="3"/>
        <w:spacing w:line="400" w:lineRule="exact"/>
        <w:rPr>
          <w:rFonts w:hint="eastAsia" w:ascii="宋体" w:hAnsi="宋体" w:eastAsia="宋体" w:cs="宋体"/>
          <w:sz w:val="28"/>
          <w:szCs w:val="28"/>
        </w:rPr>
      </w:pPr>
      <w:r>
        <w:rPr>
          <w:rFonts w:hint="eastAsia" w:ascii="宋体" w:hAnsi="宋体" w:eastAsia="宋体" w:cs="宋体"/>
          <w:sz w:val="28"/>
          <w:szCs w:val="28"/>
        </w:rPr>
        <w:t>3  主要参加单位和工作组成员及其所做的工作</w:t>
      </w:r>
    </w:p>
    <w:p w14:paraId="740D3907">
      <w:pPr>
        <w:spacing w:line="400" w:lineRule="exact"/>
        <w:ind w:firstLine="480" w:firstLineChars="200"/>
        <w:rPr>
          <w:rFonts w:hint="eastAsia" w:asciiTheme="majorEastAsia" w:hAnsiTheme="majorEastAsia" w:eastAsiaTheme="majorEastAsia" w:cstheme="majorEastAsia"/>
          <w:sz w:val="24"/>
          <w:szCs w:val="24"/>
          <w:lang w:val="en-US" w:eastAsia="zh-CN"/>
        </w:rPr>
      </w:pPr>
      <w:r>
        <w:rPr>
          <w:rFonts w:ascii="Times New Roman" w:hAnsi="Times New Roman"/>
          <w:sz w:val="24"/>
          <w:szCs w:val="24"/>
        </w:rPr>
        <w:t>牵头起草单</w:t>
      </w:r>
      <w:r>
        <w:rPr>
          <w:rFonts w:hint="eastAsia" w:asciiTheme="majorEastAsia" w:hAnsiTheme="majorEastAsia" w:eastAsiaTheme="majorEastAsia" w:cstheme="majorEastAsia"/>
          <w:sz w:val="24"/>
          <w:szCs w:val="24"/>
          <w:lang w:val="en-US" w:eastAsia="zh-CN"/>
        </w:rPr>
        <w:t>位是国网安徽省电力有限公司营销服务中心，主要起草单位有哈尔滨电工仪表研究所有限公司、国网安徽省电力有限公司、中国能源建设集团安徽省电力设计院有限公司、合肥工业大学、国网安徽综合能源服务有限公司、国网省电力有限公司经济技术研究院、国网宁夏电力有限公司中卫供电公司、安徽南瑞中天电力电子有限公司、威胜集团有限公司等。</w:t>
      </w:r>
    </w:p>
    <w:p w14:paraId="7EB3D703">
      <w:pPr>
        <w:spacing w:line="400" w:lineRule="exact"/>
        <w:ind w:firstLine="480" w:firstLineChars="200"/>
        <w:rPr>
          <w:rFonts w:ascii="Times New Roman"/>
          <w:sz w:val="24"/>
          <w:szCs w:val="24"/>
        </w:rPr>
      </w:pPr>
      <w:r>
        <w:rPr>
          <w:rFonts w:hint="eastAsia" w:asciiTheme="majorEastAsia" w:hAnsiTheme="majorEastAsia" w:eastAsiaTheme="majorEastAsia" w:cstheme="majorEastAsia"/>
          <w:sz w:val="24"/>
          <w:szCs w:val="24"/>
          <w:lang w:val="en-US" w:eastAsia="zh-CN"/>
        </w:rPr>
        <w:t>国网安徽省电力有限公司营销服务中心</w:t>
      </w:r>
      <w:r>
        <w:rPr>
          <w:rFonts w:ascii="Times New Roman"/>
          <w:sz w:val="24"/>
          <w:szCs w:val="24"/>
        </w:rPr>
        <w:t>作为执笔单位负责了本标准的工作组讨论稿和征求意见稿的起草、修改工作。</w:t>
      </w:r>
    </w:p>
    <w:p w14:paraId="2D5BCBBC">
      <w:pPr>
        <w:pStyle w:val="22"/>
        <w:spacing w:line="400" w:lineRule="exact"/>
        <w:ind w:firstLine="480"/>
        <w:rPr>
          <w:rFonts w:ascii="Times New Roman"/>
          <w:sz w:val="24"/>
          <w:szCs w:val="24"/>
        </w:rPr>
      </w:pPr>
      <w:r>
        <w:rPr>
          <w:rFonts w:ascii="Times New Roman"/>
          <w:sz w:val="24"/>
          <w:szCs w:val="24"/>
        </w:rPr>
        <w:t>本标准主要起草人：</w:t>
      </w:r>
      <w:bookmarkStart w:id="6" w:name="_GoBack"/>
      <w:r>
        <w:rPr>
          <w:rFonts w:hint="eastAsia" w:ascii="Calibri" w:hAnsi="宋体" w:cs="宋体"/>
          <w:kern w:val="2"/>
          <w:sz w:val="24"/>
          <w:szCs w:val="24"/>
          <w:lang w:val="en-US" w:eastAsia="zh-CN"/>
        </w:rPr>
        <w:t>蔺菲、刘辉舟、刘献成、于雷、金鑫、何海洋、张倩、单永梅、金义、张光亚、嵇爱琼、郭立勇等</w:t>
      </w:r>
      <w:bookmarkEnd w:id="6"/>
      <w:r>
        <w:rPr>
          <w:rFonts w:hint="eastAsia" w:ascii="Calibri" w:hAnsi="宋体" w:cs="宋体"/>
          <w:kern w:val="2"/>
          <w:sz w:val="24"/>
          <w:szCs w:val="24"/>
          <w:lang w:val="en-US" w:eastAsia="zh-CN"/>
        </w:rPr>
        <w:t>。</w:t>
      </w:r>
    </w:p>
    <w:p w14:paraId="12AC7C39">
      <w:pPr>
        <w:spacing w:line="360" w:lineRule="auto"/>
        <w:ind w:firstLine="480" w:firstLineChars="200"/>
        <w:rPr>
          <w:rFonts w:hint="eastAsia" w:ascii="Times New Roman" w:hAnsi="Times New Roman"/>
          <w:kern w:val="0"/>
          <w:sz w:val="24"/>
          <w:szCs w:val="24"/>
        </w:rPr>
      </w:pPr>
      <w:r>
        <w:rPr>
          <w:rFonts w:hint="eastAsia" w:hAnsi="宋体" w:cs="宋体"/>
          <w:sz w:val="24"/>
          <w:szCs w:val="24"/>
          <w:lang w:val="en-US" w:eastAsia="zh-CN"/>
        </w:rPr>
        <w:t>蔺菲</w:t>
      </w:r>
      <w:r>
        <w:rPr>
          <w:rFonts w:hint="eastAsia" w:ascii="宋体" w:hAnsi="宋体" w:eastAsia="宋体" w:cs="宋体"/>
          <w:sz w:val="24"/>
          <w:szCs w:val="24"/>
          <w:highlight w:val="none"/>
          <w:lang w:val="en-US" w:eastAsia="zh-CN"/>
        </w:rPr>
        <w:t>为本文件的主笔人，负责标准的编写；</w:t>
      </w:r>
      <w:r>
        <w:rPr>
          <w:rFonts w:hint="eastAsia" w:ascii="Times New Roman" w:hAnsi="Times New Roman"/>
          <w:kern w:val="0"/>
          <w:sz w:val="24"/>
          <w:szCs w:val="24"/>
          <w:lang w:val="en-US" w:eastAsia="zh-CN"/>
        </w:rPr>
        <w:t>刘辉舟</w:t>
      </w:r>
      <w:r>
        <w:rPr>
          <w:rFonts w:hint="eastAsia" w:ascii="宋体" w:hAnsi="宋体" w:eastAsia="宋体" w:cs="宋体"/>
          <w:sz w:val="24"/>
          <w:szCs w:val="24"/>
          <w:highlight w:val="none"/>
          <w:lang w:val="en-US" w:eastAsia="zh-CN"/>
        </w:rPr>
        <w:t>为本文件的技术负责人，为标准的总体内容进行全面指导；刘献成为本文件起草工作组的组长，金鑫为本文件起草工作组的组员，负责标准的编写进程和组织协调工作。何海洋、张倩、单永梅、金义、张光亚、嵇爱琼、郭立勇等工作组成员为本标准的编写和修改工作给与大量帮助。</w:t>
      </w:r>
    </w:p>
    <w:p w14:paraId="2024CA79">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二</w:t>
      </w:r>
      <w:r>
        <w:rPr>
          <w:rFonts w:hint="eastAsia" w:asciiTheme="majorEastAsia" w:hAnsiTheme="majorEastAsia" w:eastAsiaTheme="majorEastAsia"/>
          <w:sz w:val="28"/>
          <w:szCs w:val="28"/>
        </w:rPr>
        <w:t>、</w:t>
      </w:r>
      <w:r>
        <w:rPr>
          <w:rFonts w:hint="eastAsia" w:cs="黑体" w:asciiTheme="majorEastAsia" w:hAnsiTheme="majorEastAsia" w:eastAsiaTheme="majorEastAsia"/>
          <w:sz w:val="28"/>
          <w:szCs w:val="28"/>
        </w:rPr>
        <w:t xml:space="preserve">  标准编制原则和主要技术内容确定的依据</w:t>
      </w:r>
    </w:p>
    <w:p w14:paraId="7F6D4888">
      <w:pPr>
        <w:pStyle w:val="3"/>
        <w:spacing w:line="400" w:lineRule="exact"/>
        <w:rPr>
          <w:rFonts w:hint="eastAsia" w:ascii="宋体" w:hAnsi="宋体" w:eastAsia="宋体" w:cs="宋体"/>
          <w:sz w:val="28"/>
          <w:szCs w:val="28"/>
        </w:rPr>
      </w:pPr>
      <w:r>
        <w:rPr>
          <w:rFonts w:hint="eastAsia" w:ascii="宋体" w:hAnsi="宋体" w:eastAsia="宋体" w:cs="宋体"/>
          <w:sz w:val="28"/>
          <w:szCs w:val="28"/>
        </w:rPr>
        <w:t>1  主要阐述标准制定或修订过程遵循的基本原则</w:t>
      </w:r>
    </w:p>
    <w:p w14:paraId="4D3FEAC9">
      <w:pPr>
        <w:spacing w:line="400" w:lineRule="exact"/>
        <w:ind w:firstLine="600" w:firstLineChars="250"/>
        <w:rPr>
          <w:rFonts w:hint="eastAsia" w:ascii="宋体" w:hAnsi="宋体" w:cs="宋体"/>
          <w:sz w:val="24"/>
          <w:szCs w:val="24"/>
        </w:rPr>
      </w:pPr>
      <w:r>
        <w:rPr>
          <w:rFonts w:hint="eastAsia" w:ascii="宋体" w:hAnsi="宋体" w:cs="宋体"/>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2F47C09F">
      <w:pPr>
        <w:pStyle w:val="3"/>
        <w:spacing w:line="400" w:lineRule="exact"/>
        <w:rPr>
          <w:rFonts w:hint="eastAsia" w:ascii="宋体" w:hAnsi="宋体" w:eastAsia="宋体" w:cs="宋体"/>
          <w:sz w:val="28"/>
          <w:szCs w:val="28"/>
        </w:rPr>
      </w:pPr>
      <w:r>
        <w:rPr>
          <w:rFonts w:hint="eastAsia" w:ascii="宋体" w:hAnsi="宋体" w:eastAsia="宋体" w:cs="宋体"/>
          <w:sz w:val="28"/>
          <w:szCs w:val="28"/>
        </w:rPr>
        <w:t>2  标准主要内容中范围、技术要求、试验方法、检验规则依据</w:t>
      </w:r>
    </w:p>
    <w:p w14:paraId="185E1F89">
      <w:pPr>
        <w:pStyle w:val="22"/>
        <w:spacing w:line="360" w:lineRule="auto"/>
        <w:ind w:firstLine="480"/>
        <w:rPr>
          <w:rFonts w:hint="eastAsia" w:hAnsi="宋体" w:eastAsia="宋体" w:cs="宋体"/>
          <w:b w:val="0"/>
          <w:bCs w:val="0"/>
          <w:sz w:val="24"/>
          <w:szCs w:val="24"/>
          <w:lang w:eastAsia="zh-CN"/>
        </w:rPr>
      </w:pPr>
      <w:r>
        <w:rPr>
          <w:rFonts w:hint="eastAsia"/>
          <w:sz w:val="24"/>
          <w:szCs w:val="24"/>
        </w:rPr>
        <w:t>在基于电力流的</w:t>
      </w:r>
      <w:bookmarkStart w:id="1" w:name="OLE_LINK1"/>
      <w:bookmarkStart w:id="2" w:name="OLE_LINK2"/>
      <w:r>
        <w:rPr>
          <w:rFonts w:hint="eastAsia"/>
          <w:sz w:val="24"/>
          <w:szCs w:val="24"/>
        </w:rPr>
        <w:t>碳排放计量</w:t>
      </w:r>
      <w:bookmarkEnd w:id="1"/>
      <w:bookmarkEnd w:id="2"/>
      <w:r>
        <w:rPr>
          <w:rFonts w:hint="eastAsia"/>
          <w:sz w:val="24"/>
          <w:szCs w:val="24"/>
        </w:rPr>
        <w:t>设备的检验条件、检验项目和检验规则等方面提出了技术规定。</w:t>
      </w:r>
      <w:r>
        <w:rPr>
          <w:rFonts w:hint="eastAsia" w:hAnsi="宋体" w:cs="宋体"/>
          <w:sz w:val="24"/>
          <w:szCs w:val="24"/>
        </w:rPr>
        <w:t>相关参数、指标的</w:t>
      </w:r>
      <w:r>
        <w:rPr>
          <w:rFonts w:hint="eastAsia" w:hAnsi="宋体" w:cs="宋体"/>
          <w:b w:val="0"/>
          <w:bCs w:val="0"/>
          <w:sz w:val="24"/>
          <w:szCs w:val="24"/>
        </w:rPr>
        <w:t>设定是依据了应用场景的物理环境条件、电气环境条件，以及相关国家、行业标准制定的，其中</w:t>
      </w:r>
      <w:r>
        <w:rPr>
          <w:rFonts w:hint="eastAsia" w:hAnsi="宋体" w:cs="宋体"/>
          <w:b w:val="0"/>
          <w:bCs w:val="0"/>
          <w:sz w:val="24"/>
          <w:szCs w:val="24"/>
          <w:lang w:val="en-US" w:eastAsia="zh-CN"/>
        </w:rPr>
        <w:t>术语和定义引用了</w:t>
      </w:r>
      <w:r>
        <w:rPr>
          <w:rFonts w:hint="eastAsia" w:hAnsi="宋体" w:cs="宋体"/>
          <w:b w:val="0"/>
          <w:bCs w:val="0"/>
          <w:sz w:val="24"/>
          <w:szCs w:val="24"/>
        </w:rPr>
        <w:t>T/CIMA 0079.1—2023 基于电力流的碳排放计量 第1部分：计量模型</w:t>
      </w:r>
      <w:r>
        <w:rPr>
          <w:rFonts w:hint="eastAsia" w:hAnsi="宋体" w:cs="宋体"/>
          <w:b w:val="0"/>
          <w:bCs w:val="0"/>
          <w:sz w:val="24"/>
          <w:szCs w:val="24"/>
          <w:lang w:val="en-US" w:eastAsia="zh-CN"/>
        </w:rPr>
        <w:t>中的相关要求；</w:t>
      </w:r>
      <w:r>
        <w:rPr>
          <w:rFonts w:hint="eastAsia" w:hAnsi="宋体" w:cs="宋体"/>
          <w:b w:val="0"/>
          <w:bCs w:val="0"/>
          <w:sz w:val="24"/>
          <w:szCs w:val="24"/>
        </w:rPr>
        <w:t>机械</w:t>
      </w:r>
      <w:r>
        <w:rPr>
          <w:rFonts w:hint="eastAsia" w:hAnsi="宋体" w:cs="宋体"/>
          <w:b w:val="0"/>
          <w:bCs w:val="0"/>
          <w:sz w:val="24"/>
          <w:szCs w:val="24"/>
          <w:lang w:val="en-US" w:eastAsia="zh-CN"/>
        </w:rPr>
        <w:t>性能</w:t>
      </w:r>
      <w:r>
        <w:rPr>
          <w:rFonts w:hint="eastAsia" w:hAnsi="宋体" w:cs="宋体"/>
          <w:b w:val="0"/>
          <w:bCs w:val="0"/>
          <w:sz w:val="24"/>
          <w:szCs w:val="24"/>
        </w:rPr>
        <w:t>引用了GB/T 2423.17-2024环境试验  第2部分：试验方法  试验Ka：盐雾</w:t>
      </w:r>
      <w:r>
        <w:rPr>
          <w:rFonts w:hint="eastAsia" w:hAnsi="宋体" w:cs="宋体"/>
          <w:b w:val="0"/>
          <w:bCs w:val="0"/>
          <w:sz w:val="24"/>
          <w:szCs w:val="24"/>
          <w:lang w:eastAsia="zh-CN"/>
        </w:rPr>
        <w:t>、</w:t>
      </w:r>
      <w:r>
        <w:rPr>
          <w:rFonts w:hint="eastAsia" w:hAnsi="宋体" w:cs="宋体"/>
          <w:b w:val="0"/>
          <w:bCs w:val="0"/>
          <w:sz w:val="24"/>
          <w:szCs w:val="24"/>
        </w:rPr>
        <w:t>GB/T 4208-2017</w:t>
      </w:r>
      <w:r>
        <w:rPr>
          <w:rFonts w:hint="eastAsia" w:hAnsi="宋体" w:cs="宋体"/>
          <w:b w:val="0"/>
          <w:bCs w:val="0"/>
          <w:sz w:val="24"/>
          <w:szCs w:val="24"/>
          <w:lang w:val="en-US" w:eastAsia="zh-CN"/>
        </w:rPr>
        <w:t xml:space="preserve"> </w:t>
      </w:r>
      <w:r>
        <w:rPr>
          <w:rFonts w:hint="eastAsia" w:hAnsi="宋体" w:cs="宋体"/>
          <w:b w:val="0"/>
          <w:bCs w:val="0"/>
          <w:sz w:val="24"/>
          <w:szCs w:val="24"/>
        </w:rPr>
        <w:t>外壳防护等级(IP代码)</w:t>
      </w:r>
      <w:bookmarkStart w:id="3" w:name="OLE_LINK13"/>
      <w:bookmarkStart w:id="4" w:name="OLE_LINK14"/>
      <w:r>
        <w:rPr>
          <w:rFonts w:hint="eastAsia" w:hAnsi="宋体" w:cs="宋体"/>
          <w:b w:val="0"/>
          <w:bCs w:val="0"/>
          <w:sz w:val="24"/>
          <w:szCs w:val="24"/>
          <w:lang w:eastAsia="zh-CN"/>
        </w:rPr>
        <w:t>、</w:t>
      </w:r>
      <w:r>
        <w:rPr>
          <w:rFonts w:hint="eastAsia" w:hAnsi="宋体" w:cs="宋体"/>
          <w:b w:val="0"/>
          <w:bCs w:val="0"/>
          <w:sz w:val="24"/>
          <w:szCs w:val="24"/>
        </w:rPr>
        <w:t>GB/T 17215.211</w:t>
      </w:r>
      <w:bookmarkEnd w:id="3"/>
      <w:bookmarkEnd w:id="4"/>
      <w:r>
        <w:rPr>
          <w:rFonts w:hint="eastAsia" w:hAnsi="宋体" w:cs="宋体"/>
          <w:b w:val="0"/>
          <w:bCs w:val="0"/>
          <w:sz w:val="24"/>
          <w:szCs w:val="24"/>
        </w:rPr>
        <w:t>—2021</w:t>
      </w:r>
      <w:r>
        <w:rPr>
          <w:rFonts w:hint="eastAsia" w:hAnsi="宋体" w:cs="宋体"/>
          <w:b w:val="0"/>
          <w:bCs w:val="0"/>
          <w:sz w:val="24"/>
          <w:szCs w:val="24"/>
          <w:lang w:val="en-US" w:eastAsia="zh-CN"/>
        </w:rPr>
        <w:t xml:space="preserve"> </w:t>
      </w:r>
      <w:r>
        <w:rPr>
          <w:rFonts w:hint="eastAsia" w:hAnsi="宋体" w:cs="宋体"/>
          <w:b w:val="0"/>
          <w:bCs w:val="0"/>
          <w:sz w:val="24"/>
          <w:szCs w:val="24"/>
        </w:rPr>
        <w:t>电测量设备(交流) 通用要求、试验和试验条件 第11部分：测量设备</w:t>
      </w:r>
      <w:r>
        <w:rPr>
          <w:rFonts w:hint="eastAsia" w:hAnsi="宋体" w:cs="宋体"/>
          <w:b w:val="0"/>
          <w:bCs w:val="0"/>
          <w:sz w:val="24"/>
          <w:szCs w:val="24"/>
          <w:lang w:eastAsia="zh-CN"/>
        </w:rPr>
        <w:t>、</w:t>
      </w:r>
      <w:r>
        <w:rPr>
          <w:rFonts w:hint="eastAsia" w:hAnsi="宋体" w:cs="宋体"/>
          <w:b w:val="0"/>
          <w:bCs w:val="0"/>
          <w:sz w:val="24"/>
          <w:szCs w:val="24"/>
        </w:rPr>
        <w:t>GB/T 17215.231—2021电测量设备(交流)通用要求、试验和试验条件第31部分：产品安全要求和试验中的相关要求</w:t>
      </w:r>
      <w:r>
        <w:rPr>
          <w:rFonts w:hint="eastAsia" w:hAnsi="宋体" w:cs="宋体"/>
          <w:b w:val="0"/>
          <w:bCs w:val="0"/>
          <w:sz w:val="24"/>
          <w:szCs w:val="24"/>
          <w:lang w:eastAsia="zh-CN"/>
        </w:rPr>
        <w:t>；</w:t>
      </w:r>
      <w:r>
        <w:rPr>
          <w:rFonts w:hint="eastAsia" w:hAnsi="宋体" w:cs="宋体"/>
          <w:b w:val="0"/>
          <w:bCs w:val="0"/>
          <w:sz w:val="24"/>
          <w:szCs w:val="24"/>
          <w:lang w:val="en-US" w:eastAsia="zh-CN"/>
        </w:rPr>
        <w:t>电气性能引用了</w:t>
      </w:r>
      <w:r>
        <w:rPr>
          <w:rFonts w:hint="eastAsia" w:hAnsi="宋体" w:cs="宋体"/>
          <w:b w:val="0"/>
          <w:bCs w:val="0"/>
          <w:sz w:val="24"/>
          <w:szCs w:val="24"/>
        </w:rPr>
        <w:t>GB/T 17215.321—2021 电测量设备（交流） 特殊要求 第21部分：静止式有功电能表 (A级、B级、C级、D级和E级)</w:t>
      </w:r>
      <w:r>
        <w:rPr>
          <w:rFonts w:hint="eastAsia" w:hAnsi="宋体" w:cs="宋体"/>
          <w:b w:val="0"/>
          <w:bCs w:val="0"/>
          <w:sz w:val="24"/>
          <w:szCs w:val="24"/>
          <w:lang w:val="en-US" w:eastAsia="zh-CN"/>
        </w:rPr>
        <w:t>中的相关要求。</w:t>
      </w:r>
    </w:p>
    <w:p w14:paraId="3B85B2D9">
      <w:pPr>
        <w:pStyle w:val="3"/>
        <w:spacing w:line="400" w:lineRule="exact"/>
        <w:rPr>
          <w:rFonts w:hint="eastAsia" w:cs="黑体" w:asciiTheme="majorEastAsia" w:hAnsiTheme="majorEastAsia" w:eastAsiaTheme="majorEastAsia"/>
          <w:sz w:val="28"/>
          <w:szCs w:val="28"/>
          <w:highlight w:val="yellow"/>
        </w:rPr>
      </w:pPr>
      <w:r>
        <w:rPr>
          <w:rFonts w:hint="eastAsia" w:cs="黑体" w:asciiTheme="majorEastAsia" w:hAnsiTheme="majorEastAsia" w:eastAsiaTheme="majorEastAsia"/>
          <w:sz w:val="28"/>
          <w:szCs w:val="28"/>
        </w:rPr>
        <w:t>三、主要试验（或验收）情况</w:t>
      </w:r>
    </w:p>
    <w:p w14:paraId="4247F908">
      <w:pPr>
        <w:pStyle w:val="3"/>
        <w:spacing w:line="400" w:lineRule="exact"/>
        <w:rPr>
          <w:rFonts w:hint="eastAsia" w:ascii="宋体" w:hAnsi="宋体" w:eastAsia="宋体" w:cs="宋体"/>
          <w:sz w:val="28"/>
          <w:szCs w:val="28"/>
        </w:rPr>
      </w:pPr>
      <w:r>
        <w:rPr>
          <w:rFonts w:hint="eastAsia" w:ascii="宋体" w:hAnsi="宋体" w:eastAsia="宋体" w:cs="宋体"/>
          <w:sz w:val="28"/>
          <w:szCs w:val="28"/>
        </w:rPr>
        <w:t>1 试验概述</w:t>
      </w:r>
    </w:p>
    <w:p w14:paraId="2E3256E3">
      <w:pPr>
        <w:pStyle w:val="15"/>
        <w:spacing w:before="120" w:beforeAutospacing="0" w:after="120" w:afterAutospacing="0" w:line="400" w:lineRule="exact"/>
        <w:ind w:firstLine="480" w:firstLineChars="200"/>
        <w:rPr>
          <w:rFonts w:hint="eastAsia"/>
          <w:kern w:val="2"/>
        </w:rPr>
      </w:pPr>
      <w:r>
        <w:rPr>
          <w:rFonts w:hint="eastAsia"/>
          <w:kern w:val="2"/>
        </w:rPr>
        <w:t>在《基于电力流的碳排放计量  第4部分：计量设备检验技术规范》起草过程中，我们对标准中规定的主要技术指标进行了全面的验证试验，以确保标准的准确性和可行性。试验覆盖了</w:t>
      </w:r>
      <w:r>
        <w:rPr>
          <w:rFonts w:hint="eastAsia"/>
          <w:kern w:val="2"/>
          <w:lang w:val="en-US" w:eastAsia="zh-CN"/>
        </w:rPr>
        <w:t>基于电力流的碳排放计量设备</w:t>
      </w:r>
      <w:r>
        <w:rPr>
          <w:rFonts w:hint="eastAsia"/>
          <w:kern w:val="2"/>
        </w:rPr>
        <w:t>的关键性能参数，包括但不限于</w:t>
      </w:r>
      <w:r>
        <w:rPr>
          <w:rFonts w:hint="eastAsia"/>
          <w:kern w:val="2"/>
          <w:lang w:val="en-US" w:eastAsia="zh-CN"/>
        </w:rPr>
        <w:t>气候</w:t>
      </w:r>
      <w:r>
        <w:rPr>
          <w:rFonts w:hint="eastAsia"/>
          <w:kern w:val="2"/>
        </w:rPr>
        <w:t>环境</w:t>
      </w:r>
      <w:r>
        <w:rPr>
          <w:rFonts w:hint="eastAsia"/>
          <w:kern w:val="2"/>
          <w:lang w:val="en-US" w:eastAsia="zh-CN"/>
        </w:rPr>
        <w:t>影响</w:t>
      </w:r>
      <w:r>
        <w:rPr>
          <w:rFonts w:hint="eastAsia"/>
          <w:kern w:val="2"/>
        </w:rPr>
        <w:t>试验、一般性检查、机械性能试验、电气性能检验以及</w:t>
      </w:r>
      <w:r>
        <w:rPr>
          <w:rFonts w:hint="eastAsia"/>
          <w:kern w:val="2"/>
          <w:lang w:val="en-US" w:eastAsia="zh-CN"/>
        </w:rPr>
        <w:t>计量性能</w:t>
      </w:r>
      <w:r>
        <w:rPr>
          <w:rFonts w:hint="eastAsia"/>
          <w:kern w:val="2"/>
        </w:rPr>
        <w:t>等。</w:t>
      </w:r>
    </w:p>
    <w:p w14:paraId="2E1B59F4">
      <w:pPr>
        <w:pStyle w:val="3"/>
        <w:spacing w:line="400" w:lineRule="exact"/>
        <w:rPr>
          <w:rFonts w:hint="eastAsia" w:ascii="宋体" w:hAnsi="宋体" w:eastAsia="宋体" w:cs="宋体"/>
          <w:sz w:val="28"/>
          <w:szCs w:val="28"/>
        </w:rPr>
      </w:pPr>
      <w:r>
        <w:rPr>
          <w:rFonts w:hint="eastAsia" w:ascii="宋体" w:hAnsi="宋体" w:eastAsia="宋体" w:cs="宋体"/>
          <w:sz w:val="28"/>
          <w:szCs w:val="28"/>
        </w:rPr>
        <w:t>2 试验机构与合作企业</w:t>
      </w:r>
    </w:p>
    <w:p w14:paraId="7CB1D15D">
      <w:pPr>
        <w:pStyle w:val="15"/>
        <w:spacing w:before="120" w:beforeAutospacing="0" w:after="120" w:afterAutospacing="0" w:line="400" w:lineRule="exact"/>
        <w:ind w:firstLine="480" w:firstLineChars="200"/>
        <w:rPr>
          <w:rFonts w:hint="eastAsia"/>
          <w:color w:val="2C2C36"/>
        </w:rPr>
      </w:pPr>
      <w:r>
        <w:rPr>
          <w:rFonts w:hint="eastAsia"/>
          <w:color w:val="2C2C36"/>
        </w:rPr>
        <w:t>试验工作由烟台东方威思顿电气有限公司</w:t>
      </w:r>
      <w:r>
        <w:rPr>
          <w:rFonts w:hint="eastAsia"/>
          <w:color w:val="2C2C36"/>
          <w:lang w:eastAsia="zh-CN"/>
        </w:rPr>
        <w:t>、</w:t>
      </w:r>
      <w:r>
        <w:rPr>
          <w:rFonts w:hint="eastAsia" w:ascii="宋体" w:hAnsi="宋体" w:eastAsia="宋体" w:cs="宋体"/>
          <w:kern w:val="2"/>
          <w:lang w:val="en-US" w:eastAsia="zh-CN"/>
        </w:rPr>
        <w:t>宁夏隆</w:t>
      </w:r>
      <w:r>
        <w:rPr>
          <w:rFonts w:hint="eastAsia" w:ascii="宋体" w:hAnsi="宋体" w:eastAsia="宋体" w:cs="宋体"/>
          <w:color w:val="2C2C36"/>
          <w:lang w:val="en-US" w:eastAsia="zh-CN"/>
        </w:rPr>
        <w:t>基宁光仪表股份有限公司</w:t>
      </w:r>
      <w:r>
        <w:rPr>
          <w:rFonts w:hint="eastAsia" w:ascii="宋体" w:hAnsi="宋体" w:eastAsia="宋体" w:cs="宋体"/>
          <w:color w:val="2C2C36"/>
        </w:rPr>
        <w:t>等企业共同配合开展，这些企业</w:t>
      </w:r>
      <w:r>
        <w:rPr>
          <w:rFonts w:hint="eastAsia"/>
          <w:color w:val="2C2C36"/>
        </w:rPr>
        <w:t>具备先进的测试设备和丰富的试验经验，能够提供权威的试验数据支持。</w:t>
      </w:r>
    </w:p>
    <w:p w14:paraId="6F751A30">
      <w:pPr>
        <w:pStyle w:val="3"/>
        <w:spacing w:line="400" w:lineRule="exac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具体试验项目</w:t>
      </w:r>
    </w:p>
    <w:p w14:paraId="17A6EEC3">
      <w:pPr>
        <w:widowControl/>
        <w:spacing w:before="100" w:beforeAutospacing="1" w:after="100" w:afterAutospacing="1" w:line="400" w:lineRule="exact"/>
        <w:jc w:val="left"/>
        <w:rPr>
          <w:rFonts w:hint="eastAsia" w:ascii="宋体" w:hAnsi="宋体" w:cs="宋体"/>
          <w:sz w:val="24"/>
          <w:szCs w:val="24"/>
        </w:rPr>
      </w:pPr>
      <w:r>
        <w:rPr>
          <w:rStyle w:val="18"/>
          <w:rFonts w:hint="eastAsia" w:ascii="宋体" w:hAnsi="宋体" w:cs="宋体"/>
          <w:color w:val="2C2C36"/>
          <w:sz w:val="24"/>
          <w:szCs w:val="24"/>
        </w:rPr>
        <w:t>3.1</w:t>
      </w:r>
      <w:r>
        <w:rPr>
          <w:rStyle w:val="18"/>
          <w:rFonts w:hint="eastAsia" w:ascii="宋体" w:hAnsi="宋体" w:cs="宋体"/>
          <w:color w:val="2C2C36"/>
          <w:sz w:val="24"/>
          <w:szCs w:val="24"/>
          <w:lang w:val="en-US" w:eastAsia="zh-CN"/>
        </w:rPr>
        <w:t>气候</w:t>
      </w:r>
      <w:r>
        <w:rPr>
          <w:rStyle w:val="18"/>
          <w:rFonts w:hint="eastAsia" w:ascii="宋体" w:hAnsi="宋体" w:cs="宋体"/>
          <w:color w:val="2C2C36"/>
          <w:sz w:val="24"/>
          <w:szCs w:val="24"/>
        </w:rPr>
        <w:t>环境</w:t>
      </w:r>
      <w:r>
        <w:rPr>
          <w:rStyle w:val="18"/>
          <w:rFonts w:hint="eastAsia" w:ascii="宋体" w:hAnsi="宋体" w:cs="宋体"/>
          <w:color w:val="2C2C36"/>
          <w:sz w:val="24"/>
          <w:szCs w:val="24"/>
          <w:lang w:val="en-US" w:eastAsia="zh-CN"/>
        </w:rPr>
        <w:t>影响</w:t>
      </w:r>
      <w:r>
        <w:rPr>
          <w:rStyle w:val="18"/>
          <w:rFonts w:hint="eastAsia" w:ascii="宋体" w:hAnsi="宋体" w:cs="宋体"/>
          <w:color w:val="2C2C36"/>
          <w:sz w:val="24"/>
          <w:szCs w:val="24"/>
        </w:rPr>
        <w:t>试验</w:t>
      </w:r>
      <w:r>
        <w:rPr>
          <w:rFonts w:hint="eastAsia" w:ascii="宋体" w:hAnsi="宋体" w:cs="宋体"/>
          <w:color w:val="2C2C36"/>
          <w:sz w:val="24"/>
          <w:szCs w:val="24"/>
        </w:rPr>
        <w:t>：</w:t>
      </w:r>
      <w:r>
        <w:rPr>
          <w:rFonts w:hint="eastAsia" w:ascii="宋体" w:hAnsi="宋体" w:cs="宋体"/>
          <w:color w:val="2C2C36"/>
          <w:sz w:val="24"/>
          <w:szCs w:val="24"/>
          <w:lang w:val="en-US" w:eastAsia="zh-CN"/>
        </w:rPr>
        <w:t>按照</w:t>
      </w:r>
      <w:r>
        <w:rPr>
          <w:rFonts w:hint="eastAsia" w:ascii="宋体" w:hAnsi="宋体" w:eastAsia="宋体" w:cs="宋体"/>
          <w:sz w:val="24"/>
          <w:szCs w:val="24"/>
        </w:rPr>
        <w:t>GB/T 17215.211—2021第8章</w:t>
      </w:r>
      <w:r>
        <w:rPr>
          <w:rFonts w:hint="eastAsia" w:ascii="宋体" w:hAnsi="宋体" w:eastAsia="宋体" w:cs="宋体"/>
          <w:sz w:val="24"/>
          <w:szCs w:val="24"/>
          <w:lang w:val="en-US" w:eastAsia="zh-CN"/>
        </w:rPr>
        <w:t>规定的方法进行</w:t>
      </w:r>
      <w:r>
        <w:rPr>
          <w:rFonts w:hint="eastAsia" w:ascii="宋体" w:hAnsi="宋体" w:cs="宋体"/>
          <w:sz w:val="24"/>
          <w:szCs w:val="24"/>
        </w:rPr>
        <w:t>，模拟不同环境条件，测试</w:t>
      </w:r>
      <w:r>
        <w:rPr>
          <w:rFonts w:hint="eastAsia" w:ascii="宋体" w:hAnsi="宋体" w:cs="宋体"/>
          <w:sz w:val="24"/>
          <w:szCs w:val="24"/>
          <w:lang w:val="en-US" w:eastAsia="zh-CN"/>
        </w:rPr>
        <w:t>基于电力流的碳排放计量设备</w:t>
      </w:r>
      <w:r>
        <w:rPr>
          <w:rFonts w:hint="eastAsia" w:ascii="宋体" w:hAnsi="宋体" w:cs="宋体"/>
          <w:sz w:val="24"/>
          <w:szCs w:val="24"/>
        </w:rPr>
        <w:t>在各种气候和条件下的性能稳定性。</w:t>
      </w:r>
    </w:p>
    <w:p w14:paraId="268B8ED5">
      <w:pPr>
        <w:widowControl/>
        <w:spacing w:before="100" w:beforeAutospacing="1" w:after="100" w:afterAutospacing="1" w:line="400" w:lineRule="exact"/>
        <w:jc w:val="left"/>
        <w:rPr>
          <w:rFonts w:hint="eastAsia" w:ascii="宋体" w:hAnsi="宋体" w:cs="宋体"/>
          <w:sz w:val="24"/>
          <w:szCs w:val="24"/>
        </w:rPr>
      </w:pPr>
      <w:r>
        <w:rPr>
          <w:rStyle w:val="18"/>
          <w:rFonts w:hint="eastAsia" w:ascii="宋体" w:hAnsi="宋体" w:cs="宋体"/>
          <w:color w:val="2C2C36"/>
          <w:sz w:val="24"/>
          <w:szCs w:val="24"/>
        </w:rPr>
        <w:t>3.2外观与</w:t>
      </w:r>
      <w:r>
        <w:rPr>
          <w:rStyle w:val="18"/>
          <w:rFonts w:hint="eastAsia" w:ascii="宋体" w:hAnsi="宋体" w:cs="宋体"/>
          <w:color w:val="2C2C36"/>
          <w:sz w:val="24"/>
          <w:szCs w:val="24"/>
          <w:lang w:val="en-US" w:eastAsia="zh-CN"/>
        </w:rPr>
        <w:t>标识</w:t>
      </w:r>
      <w:r>
        <w:rPr>
          <w:rStyle w:val="18"/>
          <w:rFonts w:hint="eastAsia" w:ascii="宋体" w:hAnsi="宋体" w:cs="宋体"/>
          <w:color w:val="2C2C36"/>
          <w:sz w:val="24"/>
          <w:szCs w:val="24"/>
        </w:rPr>
        <w:t>试验</w:t>
      </w:r>
      <w:r>
        <w:rPr>
          <w:rFonts w:hint="eastAsia" w:ascii="宋体" w:hAnsi="宋体" w:cs="宋体"/>
          <w:color w:val="2C2C36"/>
          <w:sz w:val="24"/>
          <w:szCs w:val="24"/>
        </w:rPr>
        <w:t>：</w:t>
      </w:r>
      <w:r>
        <w:rPr>
          <w:rFonts w:hint="eastAsia" w:ascii="宋体" w:hAnsi="宋体" w:cs="宋体"/>
          <w:sz w:val="24"/>
          <w:szCs w:val="24"/>
        </w:rPr>
        <w:t>验证</w:t>
      </w:r>
      <w:r>
        <w:rPr>
          <w:rFonts w:hint="eastAsia" w:ascii="宋体" w:hAnsi="宋体" w:cs="宋体"/>
          <w:sz w:val="24"/>
          <w:szCs w:val="24"/>
          <w:lang w:val="en-US" w:eastAsia="zh-CN"/>
        </w:rPr>
        <w:t>基于电力流的碳排放计量设备</w:t>
      </w:r>
      <w:r>
        <w:rPr>
          <w:rFonts w:hint="eastAsia" w:ascii="宋体" w:hAnsi="宋体" w:cs="宋体"/>
          <w:sz w:val="24"/>
          <w:szCs w:val="24"/>
        </w:rPr>
        <w:t>的外观和</w:t>
      </w:r>
      <w:r>
        <w:rPr>
          <w:rFonts w:hint="eastAsia" w:ascii="宋体" w:hAnsi="宋体" w:cs="宋体"/>
          <w:sz w:val="24"/>
          <w:szCs w:val="24"/>
          <w:lang w:val="en-US" w:eastAsia="zh-CN"/>
        </w:rPr>
        <w:t>标识</w:t>
      </w:r>
      <w:r>
        <w:rPr>
          <w:rFonts w:hint="eastAsia" w:ascii="宋体" w:hAnsi="宋体" w:cs="宋体"/>
          <w:sz w:val="24"/>
          <w:szCs w:val="24"/>
        </w:rPr>
        <w:t>是否符合设计要求。</w:t>
      </w:r>
    </w:p>
    <w:p w14:paraId="6EA44A21">
      <w:pPr>
        <w:widowControl/>
        <w:spacing w:before="100" w:beforeAutospacing="1" w:after="100" w:afterAutospacing="1" w:line="400" w:lineRule="exact"/>
        <w:jc w:val="left"/>
        <w:rPr>
          <w:rFonts w:hint="eastAsia" w:ascii="宋体" w:hAnsi="宋体" w:cs="宋体"/>
          <w:sz w:val="24"/>
          <w:szCs w:val="24"/>
        </w:rPr>
      </w:pPr>
      <w:r>
        <w:rPr>
          <w:rStyle w:val="18"/>
          <w:rFonts w:ascii="宋体" w:hAnsi="宋体" w:cs="宋体"/>
          <w:color w:val="2C2C36"/>
          <w:sz w:val="24"/>
          <w:szCs w:val="24"/>
        </w:rPr>
        <w:t>3.</w:t>
      </w:r>
      <w:r>
        <w:rPr>
          <w:rStyle w:val="18"/>
          <w:rFonts w:hint="eastAsia" w:ascii="宋体" w:hAnsi="宋体" w:cs="宋体"/>
          <w:color w:val="2C2C36"/>
          <w:sz w:val="24"/>
          <w:szCs w:val="24"/>
        </w:rPr>
        <w:t>3机械</w:t>
      </w:r>
      <w:r>
        <w:rPr>
          <w:rStyle w:val="18"/>
          <w:rFonts w:hint="eastAsia" w:ascii="宋体" w:hAnsi="宋体" w:cs="宋体"/>
          <w:color w:val="2C2C36"/>
          <w:sz w:val="24"/>
          <w:szCs w:val="24"/>
          <w:lang w:val="en-US" w:eastAsia="zh-CN"/>
        </w:rPr>
        <w:t>性能</w:t>
      </w:r>
      <w:r>
        <w:rPr>
          <w:rStyle w:val="18"/>
          <w:rFonts w:hint="eastAsia" w:ascii="宋体" w:hAnsi="宋体" w:cs="宋体"/>
          <w:color w:val="2C2C36"/>
          <w:sz w:val="24"/>
          <w:szCs w:val="24"/>
        </w:rPr>
        <w:t>试验</w:t>
      </w:r>
      <w:r>
        <w:rPr>
          <w:rFonts w:hint="eastAsia" w:ascii="宋体" w:hAnsi="宋体" w:cs="宋体"/>
          <w:color w:val="2C2C36"/>
          <w:sz w:val="24"/>
          <w:szCs w:val="24"/>
        </w:rPr>
        <w:t>：</w:t>
      </w:r>
      <w:r>
        <w:rPr>
          <w:rFonts w:hint="eastAsia" w:ascii="宋体" w:hAnsi="宋体" w:eastAsia="宋体" w:cs="宋体"/>
          <w:sz w:val="24"/>
          <w:szCs w:val="24"/>
          <w:lang w:val="en-US" w:eastAsia="zh-CN"/>
        </w:rPr>
        <w:t>根据GB/T 2423.17-2024、GB 4208—2017、GB/T 17215.211—2021</w:t>
      </w:r>
      <w:bookmarkStart w:id="5" w:name="OLE_LINK12"/>
      <w:r>
        <w:rPr>
          <w:rFonts w:hint="eastAsia" w:ascii="宋体" w:hAnsi="宋体" w:eastAsia="宋体" w:cs="宋体"/>
          <w:sz w:val="24"/>
          <w:szCs w:val="24"/>
          <w:lang w:val="en-US" w:eastAsia="zh-CN"/>
        </w:rPr>
        <w:t>和GB/T 17215.231—2021</w:t>
      </w:r>
      <w:bookmarkEnd w:id="5"/>
      <w:r>
        <w:rPr>
          <w:rFonts w:hint="eastAsia" w:ascii="宋体" w:hAnsi="宋体" w:eastAsia="宋体" w:cs="宋体"/>
          <w:sz w:val="24"/>
          <w:szCs w:val="24"/>
          <w:lang w:val="en-US" w:eastAsia="zh-CN"/>
        </w:rPr>
        <w:t>标</w:t>
      </w:r>
      <w:r>
        <w:rPr>
          <w:rFonts w:hint="eastAsia" w:ascii="宋体" w:hAnsi="宋体" w:eastAsia="宋体" w:cs="宋体"/>
          <w:sz w:val="24"/>
          <w:szCs w:val="24"/>
        </w:rPr>
        <w:t>准，评</w:t>
      </w:r>
      <w:r>
        <w:rPr>
          <w:rFonts w:hint="eastAsia" w:ascii="宋体" w:hAnsi="宋体" w:cs="宋体"/>
          <w:sz w:val="24"/>
          <w:szCs w:val="24"/>
        </w:rPr>
        <w:t>估</w:t>
      </w:r>
      <w:r>
        <w:rPr>
          <w:rFonts w:hint="eastAsia" w:ascii="宋体" w:hAnsi="宋体" w:cs="宋体"/>
          <w:sz w:val="24"/>
          <w:szCs w:val="24"/>
          <w:lang w:val="en-US" w:eastAsia="zh-CN"/>
        </w:rPr>
        <w:t>基于电力流的碳排放计量设备</w:t>
      </w:r>
      <w:r>
        <w:rPr>
          <w:rFonts w:hint="eastAsia" w:ascii="宋体" w:hAnsi="宋体" w:cs="宋体"/>
          <w:sz w:val="24"/>
          <w:szCs w:val="24"/>
        </w:rPr>
        <w:t>的防护性能，测试防护等级，确保其在运输和安装过程中的结构完整性。</w:t>
      </w:r>
    </w:p>
    <w:p w14:paraId="7F3C01C6">
      <w:pPr>
        <w:widowControl/>
        <w:spacing w:before="100" w:beforeAutospacing="1" w:after="100" w:afterAutospacing="1" w:line="400" w:lineRule="exact"/>
        <w:jc w:val="left"/>
        <w:rPr>
          <w:rFonts w:hint="eastAsia" w:ascii="宋体" w:hAnsi="宋体" w:cs="宋体"/>
          <w:color w:val="2C2C36"/>
          <w:sz w:val="24"/>
          <w:szCs w:val="24"/>
        </w:rPr>
      </w:pPr>
      <w:r>
        <w:rPr>
          <w:rStyle w:val="18"/>
          <w:rFonts w:hint="eastAsia" w:ascii="宋体" w:hAnsi="宋体" w:cs="宋体"/>
          <w:color w:val="2C2C36"/>
          <w:sz w:val="24"/>
          <w:szCs w:val="24"/>
        </w:rPr>
        <w:t>3.4电气</w:t>
      </w:r>
      <w:r>
        <w:rPr>
          <w:rStyle w:val="18"/>
          <w:rFonts w:hint="eastAsia" w:ascii="宋体" w:hAnsi="宋体" w:cs="宋体"/>
          <w:color w:val="2C2C36"/>
          <w:sz w:val="24"/>
          <w:szCs w:val="24"/>
          <w:lang w:val="en-US" w:eastAsia="zh-CN"/>
        </w:rPr>
        <w:t>性能</w:t>
      </w:r>
      <w:r>
        <w:rPr>
          <w:rStyle w:val="18"/>
          <w:rFonts w:hint="eastAsia" w:ascii="宋体" w:hAnsi="宋体" w:cs="宋体"/>
          <w:color w:val="2C2C36"/>
          <w:sz w:val="24"/>
          <w:szCs w:val="24"/>
        </w:rPr>
        <w:t>试验</w:t>
      </w:r>
      <w:r>
        <w:rPr>
          <w:rFonts w:hint="eastAsia" w:ascii="宋体" w:hAnsi="宋体" w:cs="宋体"/>
          <w:color w:val="2C2C36"/>
          <w:sz w:val="24"/>
          <w:szCs w:val="24"/>
        </w:rPr>
        <w:t>：验证</w:t>
      </w:r>
      <w:r>
        <w:rPr>
          <w:rFonts w:hint="eastAsia" w:ascii="宋体" w:hAnsi="宋体" w:cs="宋体"/>
          <w:sz w:val="24"/>
          <w:szCs w:val="24"/>
          <w:lang w:val="en-US" w:eastAsia="zh-CN"/>
        </w:rPr>
        <w:t>基于电力流的碳排放计量设备</w:t>
      </w:r>
      <w:r>
        <w:rPr>
          <w:rFonts w:hint="eastAsia" w:ascii="宋体" w:hAnsi="宋体" w:cs="宋体"/>
          <w:color w:val="2C2C36"/>
          <w:sz w:val="24"/>
          <w:szCs w:val="24"/>
        </w:rPr>
        <w:t>的各项电气要求是否符合设计要求。</w:t>
      </w:r>
    </w:p>
    <w:p w14:paraId="20D2DA4B">
      <w:pPr>
        <w:widowControl/>
        <w:spacing w:before="100" w:beforeAutospacing="1" w:after="100" w:afterAutospacing="1" w:line="400" w:lineRule="exact"/>
        <w:jc w:val="left"/>
        <w:rPr>
          <w:rFonts w:hint="eastAsia" w:ascii="宋体" w:hAnsi="宋体" w:cs="宋体"/>
          <w:color w:val="2C2C36"/>
          <w:sz w:val="24"/>
          <w:szCs w:val="24"/>
        </w:rPr>
      </w:pPr>
      <w:r>
        <w:rPr>
          <w:rStyle w:val="18"/>
          <w:rFonts w:hint="eastAsia" w:ascii="宋体" w:hAnsi="宋体" w:cs="宋体"/>
          <w:color w:val="2C2C36"/>
          <w:sz w:val="24"/>
          <w:szCs w:val="24"/>
        </w:rPr>
        <w:t>3.5</w:t>
      </w:r>
      <w:r>
        <w:rPr>
          <w:rStyle w:val="18"/>
          <w:rFonts w:hint="eastAsia" w:ascii="宋体" w:hAnsi="宋体" w:cs="宋体"/>
          <w:color w:val="2C2C36"/>
          <w:sz w:val="24"/>
          <w:szCs w:val="24"/>
          <w:lang w:val="en-US" w:eastAsia="zh-CN"/>
        </w:rPr>
        <w:t>计量性能</w:t>
      </w:r>
      <w:r>
        <w:rPr>
          <w:rStyle w:val="18"/>
          <w:rFonts w:hint="eastAsia" w:ascii="宋体" w:hAnsi="宋体" w:cs="宋体"/>
          <w:color w:val="2C2C36"/>
          <w:sz w:val="24"/>
          <w:szCs w:val="24"/>
        </w:rPr>
        <w:t>试验</w:t>
      </w:r>
      <w:r>
        <w:rPr>
          <w:rFonts w:hint="eastAsia" w:ascii="宋体" w:hAnsi="宋体" w:cs="宋体"/>
          <w:color w:val="2C2C36"/>
          <w:sz w:val="24"/>
          <w:szCs w:val="24"/>
        </w:rPr>
        <w:t>：按照</w:t>
      </w:r>
      <w:r>
        <w:rPr>
          <w:rFonts w:hint="eastAsia" w:ascii="宋体" w:hAnsi="宋体" w:eastAsia="宋体" w:cs="宋体"/>
          <w:color w:val="2C2C36"/>
          <w:sz w:val="24"/>
          <w:szCs w:val="24"/>
        </w:rPr>
        <w:t>GB/T 17215.211—2021系</w:t>
      </w:r>
      <w:r>
        <w:rPr>
          <w:rFonts w:hint="eastAsia" w:ascii="宋体" w:hAnsi="宋体" w:cs="宋体"/>
          <w:color w:val="2C2C36"/>
          <w:sz w:val="24"/>
          <w:szCs w:val="24"/>
        </w:rPr>
        <w:t>列标准，检查</w:t>
      </w:r>
      <w:r>
        <w:rPr>
          <w:rFonts w:hint="eastAsia" w:ascii="宋体" w:hAnsi="宋体" w:cs="宋体"/>
          <w:sz w:val="24"/>
          <w:szCs w:val="24"/>
          <w:lang w:val="en-US" w:eastAsia="zh-CN"/>
        </w:rPr>
        <w:t>基于电力流的碳排放计量设备达到</w:t>
      </w:r>
      <w:r>
        <w:rPr>
          <w:rFonts w:hint="eastAsia" w:ascii="宋体" w:hAnsi="宋体" w:cs="宋体"/>
          <w:color w:val="2C2C36"/>
          <w:sz w:val="24"/>
          <w:szCs w:val="24"/>
          <w:lang w:val="en-US" w:eastAsia="zh-CN"/>
        </w:rPr>
        <w:t>电能计量准确度能力，同时检查</w:t>
      </w:r>
      <w:r>
        <w:rPr>
          <w:rFonts w:hint="eastAsia" w:ascii="宋体" w:hAnsi="宋体" w:cs="宋体"/>
          <w:color w:val="2C2C36"/>
          <w:sz w:val="24"/>
          <w:szCs w:val="24"/>
        </w:rPr>
        <w:t>设备</w:t>
      </w:r>
      <w:r>
        <w:rPr>
          <w:rFonts w:hint="eastAsia" w:ascii="宋体" w:hAnsi="宋体" w:cs="宋体"/>
          <w:color w:val="2C2C36"/>
          <w:sz w:val="24"/>
          <w:szCs w:val="24"/>
          <w:lang w:val="en-US" w:eastAsia="zh-CN"/>
        </w:rPr>
        <w:t>达到电碳计量准确度</w:t>
      </w:r>
      <w:r>
        <w:rPr>
          <w:rFonts w:hint="eastAsia" w:ascii="宋体" w:hAnsi="宋体" w:cs="宋体"/>
          <w:color w:val="2C2C36"/>
          <w:sz w:val="24"/>
          <w:szCs w:val="24"/>
        </w:rPr>
        <w:t>能力。</w:t>
      </w:r>
    </w:p>
    <w:p w14:paraId="39705063">
      <w:pPr>
        <w:pStyle w:val="8"/>
        <w:jc w:val="both"/>
        <w:rPr>
          <w:rFonts w:hint="eastAsia"/>
        </w:rPr>
      </w:pPr>
    </w:p>
    <w:p w14:paraId="351EED1E">
      <w:pPr>
        <w:pStyle w:val="3"/>
        <w:spacing w:line="400" w:lineRule="exact"/>
        <w:rPr>
          <w:rFonts w:hint="eastAsia" w:ascii="宋体" w:hAnsi="宋体" w:eastAsia="宋体" w:cs="宋体"/>
          <w:sz w:val="28"/>
          <w:szCs w:val="28"/>
        </w:rPr>
      </w:pPr>
      <w:r>
        <w:rPr>
          <w:rFonts w:hint="eastAsia" w:ascii="宋体" w:hAnsi="宋体" w:eastAsia="宋体" w:cs="宋体"/>
          <w:sz w:val="28"/>
          <w:szCs w:val="28"/>
        </w:rPr>
        <w:t>4 试验结果与分析</w:t>
      </w:r>
    </w:p>
    <w:tbl>
      <w:tblPr>
        <w:tblStyle w:val="16"/>
        <w:tblW w:w="85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52"/>
        <w:gridCol w:w="3645"/>
      </w:tblGrid>
      <w:tr w14:paraId="7896C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597" w:type="dxa"/>
            <w:gridSpan w:val="2"/>
            <w:vAlign w:val="center"/>
          </w:tcPr>
          <w:p w14:paraId="2EAB3180">
            <w:pPr>
              <w:jc w:val="center"/>
              <w:rPr>
                <w:bCs/>
                <w:sz w:val="18"/>
                <w:szCs w:val="18"/>
                <w:highlight w:val="none"/>
              </w:rPr>
            </w:pPr>
            <w:r>
              <w:rPr>
                <w:rFonts w:hint="eastAsia"/>
                <w:b/>
                <w:bCs w:val="0"/>
                <w:sz w:val="18"/>
                <w:szCs w:val="18"/>
                <w:highlight w:val="none"/>
              </w:rPr>
              <w:t>基于电力流的碳排放计量  第4部分：计量设备检验技术规范</w:t>
            </w:r>
          </w:p>
        </w:tc>
      </w:tr>
      <w:tr w14:paraId="40986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952" w:type="dxa"/>
            <w:vAlign w:val="center"/>
          </w:tcPr>
          <w:p w14:paraId="4ABA5C5A">
            <w:pPr>
              <w:jc w:val="center"/>
              <w:rPr>
                <w:rFonts w:hint="eastAsia" w:ascii="宋体" w:hAnsi="宋体"/>
                <w:b/>
                <w:bCs w:val="0"/>
                <w:sz w:val="18"/>
                <w:szCs w:val="18"/>
                <w:highlight w:val="none"/>
              </w:rPr>
            </w:pPr>
            <w:r>
              <w:rPr>
                <w:rFonts w:ascii="宋体" w:hAnsi="宋体"/>
                <w:b/>
                <w:bCs w:val="0"/>
                <w:sz w:val="18"/>
                <w:szCs w:val="18"/>
                <w:highlight w:val="none"/>
              </w:rPr>
              <w:t>被测</w:t>
            </w:r>
            <w:r>
              <w:rPr>
                <w:rFonts w:hint="eastAsia" w:ascii="宋体" w:hAnsi="宋体"/>
                <w:b/>
                <w:bCs w:val="0"/>
                <w:sz w:val="18"/>
                <w:szCs w:val="18"/>
                <w:highlight w:val="none"/>
                <w:lang w:val="en-US" w:eastAsia="zh-CN"/>
              </w:rPr>
              <w:t>设备</w:t>
            </w:r>
            <w:r>
              <w:rPr>
                <w:rFonts w:hint="eastAsia" w:ascii="宋体" w:hAnsi="宋体"/>
                <w:b/>
                <w:bCs w:val="0"/>
                <w:sz w:val="18"/>
                <w:szCs w:val="18"/>
                <w:highlight w:val="none"/>
              </w:rPr>
              <w:t>型号</w:t>
            </w:r>
          </w:p>
        </w:tc>
        <w:tc>
          <w:tcPr>
            <w:tcW w:w="3645" w:type="dxa"/>
            <w:vAlign w:val="center"/>
          </w:tcPr>
          <w:p w14:paraId="6A75B472">
            <w:pPr>
              <w:jc w:val="left"/>
              <w:rPr>
                <w:rFonts w:hint="default" w:eastAsia="宋体"/>
                <w:bCs/>
                <w:sz w:val="18"/>
                <w:szCs w:val="18"/>
                <w:highlight w:val="none"/>
                <w:lang w:val="en-US" w:eastAsia="zh-CN"/>
              </w:rPr>
            </w:pPr>
            <w:r>
              <w:rPr>
                <w:rFonts w:hint="eastAsia"/>
                <w:bCs/>
                <w:sz w:val="18"/>
                <w:szCs w:val="18"/>
                <w:highlight w:val="none"/>
                <w:lang w:val="en-US" w:eastAsia="zh-CN"/>
              </w:rPr>
              <w:t>DTZ178</w:t>
            </w:r>
          </w:p>
        </w:tc>
      </w:tr>
      <w:tr w14:paraId="7B3F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952" w:type="dxa"/>
            <w:vAlign w:val="center"/>
          </w:tcPr>
          <w:p w14:paraId="326AABFF">
            <w:pPr>
              <w:jc w:val="center"/>
              <w:rPr>
                <w:rFonts w:hint="eastAsia" w:ascii="宋体" w:hAnsi="宋体"/>
                <w:b/>
                <w:bCs w:val="0"/>
                <w:sz w:val="18"/>
                <w:szCs w:val="18"/>
                <w:highlight w:val="none"/>
              </w:rPr>
            </w:pPr>
            <w:r>
              <w:rPr>
                <w:rFonts w:ascii="宋体" w:hAnsi="宋体"/>
                <w:b/>
                <w:bCs w:val="0"/>
                <w:sz w:val="18"/>
                <w:szCs w:val="18"/>
                <w:highlight w:val="none"/>
              </w:rPr>
              <w:t>测试条件</w:t>
            </w:r>
          </w:p>
        </w:tc>
        <w:tc>
          <w:tcPr>
            <w:tcW w:w="3645" w:type="dxa"/>
            <w:vAlign w:val="center"/>
          </w:tcPr>
          <w:p w14:paraId="41552A28">
            <w:pPr>
              <w:ind w:left="-105" w:leftChars="-50" w:right="-136" w:rightChars="-65" w:firstLine="221"/>
              <w:jc w:val="left"/>
              <w:rPr>
                <w:bCs/>
                <w:sz w:val="18"/>
                <w:szCs w:val="18"/>
                <w:highlight w:val="none"/>
              </w:rPr>
            </w:pPr>
            <w:r>
              <w:rPr>
                <w:rFonts w:hint="eastAsia"/>
                <w:bCs/>
                <w:sz w:val="18"/>
                <w:szCs w:val="18"/>
                <w:highlight w:val="none"/>
                <w:lang w:val="en-US" w:eastAsia="zh-CN"/>
              </w:rPr>
              <w:t>设备</w:t>
            </w:r>
            <w:r>
              <w:rPr>
                <w:rFonts w:hint="eastAsia"/>
                <w:bCs/>
                <w:sz w:val="18"/>
                <w:szCs w:val="18"/>
                <w:highlight w:val="none"/>
              </w:rPr>
              <w:t>正常开机使用</w:t>
            </w:r>
          </w:p>
        </w:tc>
      </w:tr>
      <w:tr w14:paraId="1AFE4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952" w:type="dxa"/>
            <w:vAlign w:val="center"/>
          </w:tcPr>
          <w:p w14:paraId="58F7D80C">
            <w:pPr>
              <w:jc w:val="center"/>
              <w:rPr>
                <w:rFonts w:ascii="宋体" w:hAnsi="宋体"/>
                <w:b/>
                <w:bCs w:val="0"/>
                <w:sz w:val="18"/>
                <w:szCs w:val="18"/>
                <w:highlight w:val="none"/>
              </w:rPr>
            </w:pPr>
            <w:r>
              <w:rPr>
                <w:rFonts w:hint="eastAsia" w:ascii="宋体" w:hAnsi="宋体"/>
                <w:b/>
                <w:bCs w:val="0"/>
                <w:sz w:val="18"/>
                <w:szCs w:val="18"/>
                <w:highlight w:val="none"/>
              </w:rPr>
              <w:t>测试项</w:t>
            </w:r>
          </w:p>
        </w:tc>
        <w:tc>
          <w:tcPr>
            <w:tcW w:w="3645" w:type="dxa"/>
            <w:vAlign w:val="center"/>
          </w:tcPr>
          <w:p w14:paraId="37282ACA">
            <w:pPr>
              <w:ind w:left="-105" w:leftChars="-50" w:right="-136" w:rightChars="-65" w:firstLine="221"/>
              <w:jc w:val="center"/>
              <w:rPr>
                <w:rFonts w:hint="eastAsia"/>
                <w:bCs/>
                <w:sz w:val="18"/>
                <w:szCs w:val="18"/>
                <w:highlight w:val="none"/>
              </w:rPr>
            </w:pPr>
            <w:r>
              <w:rPr>
                <w:rFonts w:hint="eastAsia"/>
                <w:b/>
                <w:bCs w:val="0"/>
                <w:sz w:val="18"/>
                <w:szCs w:val="18"/>
                <w:highlight w:val="none"/>
              </w:rPr>
              <w:t>测试结果</w:t>
            </w:r>
          </w:p>
        </w:tc>
      </w:tr>
      <w:tr w14:paraId="027C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3E42876D">
            <w:pPr>
              <w:ind w:right="-145" w:rightChars="-69"/>
              <w:jc w:val="center"/>
              <w:rPr>
                <w:rFonts w:hint="eastAsia"/>
                <w:bCs/>
                <w:sz w:val="18"/>
                <w:szCs w:val="18"/>
                <w:highlight w:val="none"/>
              </w:rPr>
            </w:pPr>
            <w:r>
              <w:rPr>
                <w:rFonts w:hint="eastAsia"/>
                <w:bCs/>
                <w:sz w:val="18"/>
                <w:szCs w:val="18"/>
                <w:highlight w:val="none"/>
              </w:rPr>
              <w:t>高温试验</w:t>
            </w:r>
          </w:p>
        </w:tc>
        <w:tc>
          <w:tcPr>
            <w:tcW w:w="3645" w:type="dxa"/>
            <w:vAlign w:val="center"/>
          </w:tcPr>
          <w:p w14:paraId="09F1209B">
            <w:pPr>
              <w:jc w:val="left"/>
              <w:rPr>
                <w:bCs/>
                <w:sz w:val="18"/>
                <w:szCs w:val="18"/>
                <w:highlight w:val="none"/>
              </w:rPr>
            </w:pPr>
            <w:r>
              <w:rPr>
                <w:rFonts w:hint="eastAsia"/>
                <w:bCs/>
                <w:sz w:val="18"/>
                <w:szCs w:val="18"/>
                <w:highlight w:val="none"/>
              </w:rPr>
              <w:t>试验后误差偏移量满足要求</w:t>
            </w:r>
          </w:p>
        </w:tc>
      </w:tr>
      <w:tr w14:paraId="7242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2008E5B4">
            <w:pPr>
              <w:ind w:right="-145" w:rightChars="-69"/>
              <w:jc w:val="center"/>
              <w:rPr>
                <w:rFonts w:hint="eastAsia"/>
                <w:color w:val="2C2C36"/>
                <w:highlight w:val="none"/>
              </w:rPr>
            </w:pPr>
            <w:r>
              <w:rPr>
                <w:rFonts w:hint="eastAsia"/>
                <w:color w:val="2C2C36"/>
                <w:highlight w:val="none"/>
              </w:rPr>
              <w:t>低温试验</w:t>
            </w:r>
          </w:p>
        </w:tc>
        <w:tc>
          <w:tcPr>
            <w:tcW w:w="3645" w:type="dxa"/>
            <w:vAlign w:val="center"/>
          </w:tcPr>
          <w:p w14:paraId="1060F27A">
            <w:pPr>
              <w:jc w:val="left"/>
              <w:rPr>
                <w:rFonts w:hint="eastAsia"/>
                <w:bCs/>
                <w:sz w:val="18"/>
                <w:szCs w:val="18"/>
                <w:highlight w:val="none"/>
              </w:rPr>
            </w:pPr>
            <w:r>
              <w:rPr>
                <w:rFonts w:hint="eastAsia"/>
                <w:bCs/>
                <w:sz w:val="18"/>
                <w:szCs w:val="18"/>
                <w:highlight w:val="none"/>
              </w:rPr>
              <w:t>试验后误差偏移量满足要求</w:t>
            </w:r>
          </w:p>
        </w:tc>
      </w:tr>
      <w:tr w14:paraId="7A4B1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5A48541E">
            <w:pPr>
              <w:ind w:right="-145" w:rightChars="-69"/>
              <w:jc w:val="center"/>
              <w:rPr>
                <w:rFonts w:hint="eastAsia"/>
                <w:color w:val="2C2C36"/>
                <w:highlight w:val="none"/>
              </w:rPr>
            </w:pPr>
            <w:r>
              <w:rPr>
                <w:rFonts w:hint="eastAsia"/>
                <w:color w:val="2C2C36"/>
                <w:highlight w:val="none"/>
              </w:rPr>
              <w:t>交变湿热试验</w:t>
            </w:r>
          </w:p>
        </w:tc>
        <w:tc>
          <w:tcPr>
            <w:tcW w:w="3645" w:type="dxa"/>
            <w:vAlign w:val="center"/>
          </w:tcPr>
          <w:p w14:paraId="23CFE9DA">
            <w:pPr>
              <w:jc w:val="left"/>
              <w:rPr>
                <w:rFonts w:hint="eastAsia"/>
                <w:bCs/>
                <w:sz w:val="18"/>
                <w:szCs w:val="18"/>
                <w:highlight w:val="none"/>
              </w:rPr>
            </w:pPr>
            <w:r>
              <w:rPr>
                <w:rFonts w:hint="eastAsia"/>
                <w:bCs/>
                <w:sz w:val="18"/>
                <w:szCs w:val="18"/>
                <w:highlight w:val="none"/>
              </w:rPr>
              <w:t>不应出现影响仪表功能的机械损伤或腐蚀，绝缘交流耐压试验符合要求，试验后误差偏移量满足要求</w:t>
            </w:r>
          </w:p>
        </w:tc>
      </w:tr>
      <w:tr w14:paraId="6FA1B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3DF0C0C7">
            <w:pPr>
              <w:ind w:right="-145" w:rightChars="-69"/>
              <w:jc w:val="center"/>
              <w:rPr>
                <w:rFonts w:hint="eastAsia"/>
                <w:color w:val="2C2C36"/>
                <w:highlight w:val="none"/>
              </w:rPr>
            </w:pPr>
            <w:r>
              <w:rPr>
                <w:rFonts w:hint="eastAsia"/>
                <w:color w:val="2C2C36"/>
                <w:highlight w:val="none"/>
              </w:rPr>
              <w:t>冲击试验</w:t>
            </w:r>
          </w:p>
        </w:tc>
        <w:tc>
          <w:tcPr>
            <w:tcW w:w="3645" w:type="dxa"/>
            <w:vAlign w:val="center"/>
          </w:tcPr>
          <w:p w14:paraId="58207127">
            <w:pPr>
              <w:jc w:val="left"/>
              <w:rPr>
                <w:rFonts w:hint="eastAsia"/>
                <w:bCs/>
                <w:sz w:val="18"/>
                <w:szCs w:val="18"/>
                <w:highlight w:val="none"/>
              </w:rPr>
            </w:pPr>
            <w:r>
              <w:rPr>
                <w:rFonts w:hint="eastAsia"/>
                <w:bCs/>
                <w:sz w:val="18"/>
                <w:szCs w:val="18"/>
                <w:highlight w:val="none"/>
              </w:rPr>
              <w:t>试验后误差偏移量满足要求</w:t>
            </w:r>
          </w:p>
        </w:tc>
      </w:tr>
      <w:tr w14:paraId="43A1C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40E7CFF0">
            <w:pPr>
              <w:ind w:right="-145" w:rightChars="-69"/>
              <w:jc w:val="center"/>
              <w:rPr>
                <w:rFonts w:hint="eastAsia"/>
                <w:color w:val="2C2C36"/>
                <w:highlight w:val="none"/>
              </w:rPr>
            </w:pPr>
            <w:r>
              <w:rPr>
                <w:rFonts w:hint="eastAsia"/>
                <w:color w:val="2C2C36"/>
                <w:highlight w:val="none"/>
              </w:rPr>
              <w:t>振动试验</w:t>
            </w:r>
          </w:p>
        </w:tc>
        <w:tc>
          <w:tcPr>
            <w:tcW w:w="3645" w:type="dxa"/>
            <w:vAlign w:val="center"/>
          </w:tcPr>
          <w:p w14:paraId="1820F69E">
            <w:pPr>
              <w:jc w:val="left"/>
              <w:rPr>
                <w:rFonts w:hint="eastAsia"/>
                <w:bCs/>
                <w:sz w:val="18"/>
                <w:szCs w:val="18"/>
                <w:highlight w:val="none"/>
              </w:rPr>
            </w:pPr>
            <w:r>
              <w:rPr>
                <w:rFonts w:hint="eastAsia"/>
                <w:bCs/>
                <w:sz w:val="18"/>
                <w:szCs w:val="18"/>
                <w:highlight w:val="none"/>
              </w:rPr>
              <w:t>试验后误差偏移量满足要求</w:t>
            </w:r>
          </w:p>
        </w:tc>
      </w:tr>
      <w:tr w14:paraId="15CB2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670D3A0D">
            <w:pPr>
              <w:ind w:right="-145" w:rightChars="-69"/>
              <w:jc w:val="center"/>
              <w:rPr>
                <w:rFonts w:hint="eastAsia"/>
                <w:color w:val="2C2C36"/>
                <w:highlight w:val="none"/>
              </w:rPr>
            </w:pPr>
            <w:r>
              <w:rPr>
                <w:rFonts w:hint="eastAsia"/>
                <w:color w:val="2C2C36"/>
                <w:highlight w:val="none"/>
              </w:rPr>
              <w:t>外观及标识检查</w:t>
            </w:r>
          </w:p>
        </w:tc>
        <w:tc>
          <w:tcPr>
            <w:tcW w:w="3645" w:type="dxa"/>
            <w:vAlign w:val="center"/>
          </w:tcPr>
          <w:p w14:paraId="0178E3E3">
            <w:pPr>
              <w:jc w:val="left"/>
              <w:rPr>
                <w:rFonts w:hint="eastAsia"/>
                <w:bCs/>
                <w:sz w:val="18"/>
                <w:szCs w:val="18"/>
                <w:highlight w:val="none"/>
              </w:rPr>
            </w:pPr>
            <w:r>
              <w:rPr>
                <w:rFonts w:hint="eastAsia"/>
                <w:bCs/>
                <w:sz w:val="18"/>
                <w:szCs w:val="18"/>
                <w:highlight w:val="none"/>
              </w:rPr>
              <w:t>壳体尺寸，颜色及显示等满足型式要求</w:t>
            </w:r>
          </w:p>
        </w:tc>
      </w:tr>
      <w:tr w14:paraId="666C2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12068806">
            <w:pPr>
              <w:ind w:right="-145" w:rightChars="-69"/>
              <w:jc w:val="center"/>
              <w:rPr>
                <w:rFonts w:hint="eastAsia"/>
                <w:color w:val="2C2C36"/>
                <w:highlight w:val="none"/>
              </w:rPr>
            </w:pPr>
            <w:r>
              <w:rPr>
                <w:rFonts w:hint="eastAsia"/>
                <w:color w:val="2C2C36"/>
                <w:highlight w:val="none"/>
              </w:rPr>
              <w:t>静电放电试验</w:t>
            </w:r>
          </w:p>
        </w:tc>
        <w:tc>
          <w:tcPr>
            <w:tcW w:w="3645" w:type="dxa"/>
            <w:vAlign w:val="center"/>
          </w:tcPr>
          <w:p w14:paraId="6ACEE9D9">
            <w:pPr>
              <w:jc w:val="left"/>
              <w:rPr>
                <w:bCs/>
                <w:sz w:val="18"/>
                <w:szCs w:val="18"/>
                <w:highlight w:val="none"/>
              </w:rPr>
            </w:pPr>
            <w:r>
              <w:rPr>
                <w:rFonts w:hint="eastAsia"/>
                <w:bCs/>
                <w:sz w:val="18"/>
                <w:szCs w:val="18"/>
                <w:highlight w:val="none"/>
              </w:rPr>
              <w:t>工作正常，信息无变化；</w:t>
            </w:r>
          </w:p>
          <w:p w14:paraId="146EAFA5">
            <w:pPr>
              <w:jc w:val="left"/>
              <w:rPr>
                <w:rFonts w:hint="eastAsia"/>
                <w:bCs/>
                <w:sz w:val="18"/>
                <w:szCs w:val="18"/>
                <w:highlight w:val="none"/>
              </w:rPr>
            </w:pPr>
            <w:r>
              <w:rPr>
                <w:rFonts w:hint="eastAsia"/>
                <w:bCs/>
                <w:sz w:val="18"/>
                <w:szCs w:val="18"/>
                <w:highlight w:val="none"/>
              </w:rPr>
              <w:t>试验后符合最大允许误差限值要求</w:t>
            </w:r>
          </w:p>
        </w:tc>
      </w:tr>
      <w:tr w14:paraId="67425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1DA09731">
            <w:pPr>
              <w:ind w:right="-145" w:rightChars="-69"/>
              <w:jc w:val="center"/>
              <w:rPr>
                <w:rFonts w:hint="eastAsia"/>
                <w:color w:val="2C2C36"/>
                <w:highlight w:val="none"/>
              </w:rPr>
            </w:pPr>
            <w:r>
              <w:rPr>
                <w:rFonts w:hint="eastAsia"/>
                <w:color w:val="2C2C36"/>
                <w:highlight w:val="none"/>
              </w:rPr>
              <w:t>快速瞬变脉冲群试验</w:t>
            </w:r>
          </w:p>
        </w:tc>
        <w:tc>
          <w:tcPr>
            <w:tcW w:w="3645" w:type="dxa"/>
            <w:vAlign w:val="center"/>
          </w:tcPr>
          <w:p w14:paraId="34D4EAD9">
            <w:pPr>
              <w:jc w:val="left"/>
              <w:rPr>
                <w:rFonts w:hint="eastAsia"/>
                <w:bCs/>
                <w:sz w:val="18"/>
                <w:szCs w:val="18"/>
                <w:highlight w:val="none"/>
              </w:rPr>
            </w:pPr>
            <w:r>
              <w:rPr>
                <w:rFonts w:hint="eastAsia"/>
                <w:bCs/>
                <w:sz w:val="18"/>
                <w:szCs w:val="18"/>
                <w:highlight w:val="none"/>
              </w:rPr>
              <w:t>试验中误差偏移量满足要求</w:t>
            </w:r>
          </w:p>
        </w:tc>
      </w:tr>
      <w:tr w14:paraId="2F418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130DCE2A">
            <w:pPr>
              <w:ind w:right="-145" w:rightChars="-69"/>
              <w:jc w:val="center"/>
              <w:rPr>
                <w:rFonts w:hint="eastAsia"/>
                <w:color w:val="2C2C36"/>
                <w:highlight w:val="none"/>
              </w:rPr>
            </w:pPr>
            <w:r>
              <w:rPr>
                <w:rFonts w:hint="eastAsia"/>
                <w:color w:val="2C2C36"/>
                <w:highlight w:val="none"/>
              </w:rPr>
              <w:t>浪涌试验</w:t>
            </w:r>
          </w:p>
        </w:tc>
        <w:tc>
          <w:tcPr>
            <w:tcW w:w="3645" w:type="dxa"/>
            <w:vAlign w:val="center"/>
          </w:tcPr>
          <w:p w14:paraId="2C05492C">
            <w:pPr>
              <w:jc w:val="left"/>
              <w:rPr>
                <w:bCs/>
                <w:sz w:val="18"/>
                <w:szCs w:val="18"/>
                <w:highlight w:val="none"/>
              </w:rPr>
            </w:pPr>
            <w:r>
              <w:rPr>
                <w:rFonts w:hint="eastAsia"/>
                <w:bCs/>
                <w:sz w:val="18"/>
                <w:szCs w:val="18"/>
                <w:highlight w:val="none"/>
              </w:rPr>
              <w:t>工作正常，信息无变化；</w:t>
            </w:r>
          </w:p>
          <w:p w14:paraId="4EDA80AB">
            <w:pPr>
              <w:jc w:val="left"/>
              <w:rPr>
                <w:rFonts w:hint="eastAsia"/>
                <w:bCs/>
                <w:sz w:val="18"/>
                <w:szCs w:val="18"/>
                <w:highlight w:val="none"/>
              </w:rPr>
            </w:pPr>
            <w:r>
              <w:rPr>
                <w:rFonts w:hint="eastAsia"/>
                <w:bCs/>
                <w:sz w:val="18"/>
                <w:szCs w:val="18"/>
                <w:highlight w:val="none"/>
              </w:rPr>
              <w:t>试验后符合最大允许误差限值要求</w:t>
            </w:r>
          </w:p>
        </w:tc>
      </w:tr>
      <w:tr w14:paraId="2C062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1143F5D8">
            <w:pPr>
              <w:ind w:right="-145" w:rightChars="-69"/>
              <w:jc w:val="center"/>
              <w:rPr>
                <w:rFonts w:hint="eastAsia"/>
                <w:color w:val="2C2C36"/>
                <w:highlight w:val="none"/>
              </w:rPr>
            </w:pPr>
            <w:r>
              <w:rPr>
                <w:rFonts w:hint="eastAsia"/>
                <w:color w:val="2C2C36"/>
                <w:highlight w:val="none"/>
              </w:rPr>
              <w:t>重复性试验</w:t>
            </w:r>
          </w:p>
        </w:tc>
        <w:tc>
          <w:tcPr>
            <w:tcW w:w="3645" w:type="dxa"/>
            <w:vAlign w:val="center"/>
          </w:tcPr>
          <w:p w14:paraId="6D892B3E">
            <w:pPr>
              <w:jc w:val="left"/>
              <w:rPr>
                <w:rFonts w:hint="eastAsia"/>
                <w:bCs/>
                <w:sz w:val="18"/>
                <w:szCs w:val="18"/>
                <w:highlight w:val="none"/>
              </w:rPr>
            </w:pPr>
            <w:r>
              <w:rPr>
                <w:rFonts w:hint="eastAsia"/>
                <w:bCs/>
                <w:sz w:val="18"/>
                <w:szCs w:val="18"/>
                <w:highlight w:val="none"/>
              </w:rPr>
              <w:t>误差偏移量满足要求</w:t>
            </w:r>
          </w:p>
        </w:tc>
      </w:tr>
    </w:tbl>
    <w:p w14:paraId="160DAF45">
      <w:pPr>
        <w:pStyle w:val="15"/>
        <w:spacing w:before="120" w:beforeAutospacing="0" w:after="120" w:afterAutospacing="0" w:line="400" w:lineRule="exact"/>
        <w:ind w:firstLine="480" w:firstLineChars="200"/>
        <w:rPr>
          <w:rFonts w:hint="eastAsia"/>
          <w:color w:val="2C2C36"/>
        </w:rPr>
      </w:pPr>
      <w:r>
        <w:rPr>
          <w:rFonts w:hint="eastAsia"/>
          <w:color w:val="2C2C36"/>
        </w:rPr>
        <w:t>所有参与试验的企业均提供了详细的试验报告，证实了</w:t>
      </w:r>
      <w:r>
        <w:rPr>
          <w:rFonts w:hint="eastAsia" w:ascii="宋体" w:hAnsi="宋体" w:cs="宋体"/>
          <w:sz w:val="24"/>
          <w:szCs w:val="24"/>
          <w:lang w:val="en-US" w:eastAsia="zh-CN"/>
        </w:rPr>
        <w:t>基于电力流的碳排放计量设备</w:t>
      </w:r>
      <w:r>
        <w:rPr>
          <w:rFonts w:hint="eastAsia"/>
          <w:color w:val="2C2C36"/>
        </w:rPr>
        <w:t>的各项技术指标符合或超过预期目标。试验结果表明，</w:t>
      </w:r>
      <w:r>
        <w:rPr>
          <w:rFonts w:hint="eastAsia" w:ascii="宋体" w:hAnsi="宋体" w:cs="宋体"/>
          <w:sz w:val="24"/>
          <w:szCs w:val="24"/>
          <w:lang w:val="en-US" w:eastAsia="zh-CN"/>
        </w:rPr>
        <w:t>基于电力流的碳排放计量设备</w:t>
      </w:r>
      <w:r>
        <w:rPr>
          <w:rFonts w:hint="eastAsia"/>
          <w:color w:val="2C2C36"/>
        </w:rPr>
        <w:t>能够在复杂多变的环境中稳定运行，具备良好的环境适应性、机械耐用性、电气安全性和</w:t>
      </w:r>
      <w:r>
        <w:rPr>
          <w:rFonts w:hint="eastAsia"/>
          <w:color w:val="2C2C36"/>
          <w:lang w:val="en-US" w:eastAsia="zh-CN"/>
        </w:rPr>
        <w:t>计量准确性</w:t>
      </w:r>
      <w:r>
        <w:rPr>
          <w:rFonts w:hint="eastAsia"/>
          <w:color w:val="2C2C36"/>
        </w:rPr>
        <w:t>，同时确保了操作人员的安全。</w:t>
      </w:r>
    </w:p>
    <w:p w14:paraId="0D3E9BD5">
      <w:pPr>
        <w:pStyle w:val="3"/>
        <w:spacing w:line="400" w:lineRule="exact"/>
        <w:rPr>
          <w:rFonts w:hint="eastAsia" w:cs="黑体" w:asciiTheme="majorEastAsia" w:hAnsiTheme="majorEastAsia" w:eastAsiaTheme="majorEastAsia"/>
          <w:b w:val="0"/>
          <w:bCs w:val="0"/>
          <w:color w:val="FF0000"/>
          <w:sz w:val="28"/>
          <w:szCs w:val="28"/>
        </w:rPr>
      </w:pPr>
      <w:r>
        <w:rPr>
          <w:rFonts w:hint="eastAsia" w:cs="黑体" w:asciiTheme="majorEastAsia" w:hAnsiTheme="majorEastAsia" w:eastAsiaTheme="majorEastAsia"/>
          <w:sz w:val="28"/>
          <w:szCs w:val="28"/>
        </w:rPr>
        <w:t>四、</w:t>
      </w:r>
      <w:r>
        <w:rPr>
          <w:sz w:val="28"/>
          <w:szCs w:val="28"/>
        </w:rPr>
        <w:t>标准涉及国内外专利及处置情况</w:t>
      </w:r>
    </w:p>
    <w:p w14:paraId="776769F9">
      <w:pPr>
        <w:pStyle w:val="3"/>
        <w:spacing w:line="400" w:lineRule="exact"/>
        <w:ind w:firstLine="480" w:firstLineChars="200"/>
        <w:rPr>
          <w:rFonts w:hint="eastAsia" w:eastAsiaTheme="majorEastAsia"/>
          <w:b w:val="0"/>
          <w:bCs w:val="0"/>
          <w:sz w:val="24"/>
          <w:szCs w:val="24"/>
          <w:lang w:val="en-US" w:eastAsia="zh-CN"/>
        </w:rPr>
      </w:pPr>
      <w:r>
        <w:rPr>
          <w:rFonts w:hint="eastAsia" w:eastAsiaTheme="majorEastAsia"/>
          <w:b w:val="0"/>
          <w:bCs w:val="0"/>
          <w:sz w:val="24"/>
          <w:szCs w:val="24"/>
          <w:lang w:val="en-US" w:eastAsia="zh-CN"/>
        </w:rPr>
        <w:t>无。</w:t>
      </w:r>
    </w:p>
    <w:p w14:paraId="49CF008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五、 预期达到的社会效益、对产业发展的作用</w:t>
      </w:r>
    </w:p>
    <w:p w14:paraId="0E07C934">
      <w:pPr>
        <w:spacing w:line="360" w:lineRule="auto"/>
        <w:ind w:firstLine="480" w:firstLineChars="200"/>
        <w:rPr>
          <w:rFonts w:hint="eastAsia" w:eastAsia="宋体" w:cs="Times New Roman"/>
          <w:sz w:val="24"/>
          <w:szCs w:val="24"/>
          <w:lang w:val="en-US" w:eastAsia="zh-CN"/>
        </w:rPr>
      </w:pPr>
      <w:r>
        <w:rPr>
          <w:rFonts w:hint="eastAsia" w:ascii="宋体" w:hAnsi="宋体" w:cs="宋体"/>
          <w:sz w:val="24"/>
          <w:szCs w:val="24"/>
          <w:lang w:val="en-US" w:eastAsia="zh-CN"/>
        </w:rPr>
        <w:t>本标准</w:t>
      </w:r>
      <w:r>
        <w:rPr>
          <w:rFonts w:hint="eastAsia" w:eastAsia="宋体" w:cs="Times New Roman"/>
          <w:sz w:val="24"/>
          <w:szCs w:val="24"/>
          <w:lang w:val="en-US" w:eastAsia="zh-CN"/>
        </w:rPr>
        <w:t>明确基于电力流的碳排放计量设备的检验条件、检验项目及检验规则，且适用于电碳计量设备全周期检验，将从环境治理、民生保障、社会治理三大维度释放显著社会效益，为 “双碳” 目标落地提供刚性技术保障：</w:t>
      </w:r>
      <w:r>
        <w:rPr>
          <w:rFonts w:hint="eastAsia" w:eastAsia="宋体" w:cs="Times New Roman"/>
          <w:b/>
          <w:bCs/>
          <w:sz w:val="24"/>
          <w:szCs w:val="24"/>
          <w:lang w:val="en-US" w:eastAsia="zh-CN"/>
        </w:rPr>
        <w:t>夯实环境治理数据质量，支撑精准碳管控。</w:t>
      </w:r>
      <w:r>
        <w:rPr>
          <w:rFonts w:hint="eastAsia" w:eastAsia="宋体" w:cs="Times New Roman"/>
          <w:sz w:val="24"/>
          <w:szCs w:val="24"/>
          <w:lang w:val="en-US" w:eastAsia="zh-CN"/>
        </w:rPr>
        <w:t>电力行业碳排放占全国总排放比重较高，其计量数据质量直接关系碳减排政策落地效果。本标准通过规范检验条件，确保检验结果不受外部环境干扰；通过细化检验项目，精准识别设备计量偏差问题；通过明确检验规则，杜绝 “带病设备” 投入使用。这一系列要求可有效解决当前部分电碳计量设备 “数据不准、口径不一” 的痛点，确保电力行业碳排放核算数据真实、可比，为政府制定分区域电力碳配额、开展碳市场清缴履约核查提供可靠数据支撑，推动环境治理从 “宏观管控” 向 “精准施策” 转型。</w:t>
      </w:r>
      <w:r>
        <w:rPr>
          <w:rFonts w:hint="eastAsia" w:eastAsia="宋体" w:cs="Times New Roman"/>
          <w:b/>
          <w:bCs/>
          <w:sz w:val="24"/>
          <w:szCs w:val="24"/>
          <w:lang w:val="en-US" w:eastAsia="zh-CN"/>
        </w:rPr>
        <w:t>守护民生用能公平权益，增强社会信任。</w:t>
      </w:r>
      <w:r>
        <w:rPr>
          <w:rFonts w:hint="eastAsia" w:eastAsia="宋体" w:cs="Times New Roman"/>
          <w:sz w:val="24"/>
          <w:szCs w:val="24"/>
          <w:lang w:val="en-US" w:eastAsia="zh-CN"/>
        </w:rPr>
        <w:t>随着碳普惠、阶梯电价等政策与居民用电碳排放数据挂钩，电碳计量设备的计量准确性直接影响民生权益。本标准通过统一检验规则，可避免因设备长期未检验、计量偏差导致的 “多计碳排放量、变相增加用电成本” 问题；通过规范检验项目，保障居民用电碳排放数据的安全性与真实性。同时，标准公开的检验条件与项目，可提升碳排放计量工作的透明度，让公众清晰了解设备计量的合规性依据，增强对碳减排工作的认同感，进而引导全社会主动践行绿色用电习惯，助力形成低碳社会共识。</w:t>
      </w:r>
      <w:r>
        <w:rPr>
          <w:rFonts w:hint="eastAsia" w:eastAsia="宋体" w:cs="Times New Roman"/>
          <w:b/>
          <w:bCs/>
          <w:sz w:val="24"/>
          <w:szCs w:val="24"/>
          <w:lang w:val="en-US" w:eastAsia="zh-CN"/>
        </w:rPr>
        <w:t>优化社会治理效率，降低政企合规成本。</w:t>
      </w:r>
      <w:r>
        <w:rPr>
          <w:rFonts w:hint="eastAsia" w:eastAsia="宋体" w:cs="Times New Roman"/>
          <w:sz w:val="24"/>
          <w:szCs w:val="24"/>
          <w:lang w:val="en-US" w:eastAsia="zh-CN"/>
        </w:rPr>
        <w:t>当前电碳计量设备检验存在 “检验条件不统一、项目不明确、规则不清晰” 的问题，导致监管部门需反复调整检验方案，企业需应对多套检验标准，双方合规成本居高不下。本标准通过统一检验条件、项目与规则，实现“一次检验、全域认可”。监管部门无需针对不同企业、不同型号设备制定差异化检验流程，可依据标准快速开展核查，大幅减少人力与时间投入；企业无需为满足不同检验要求重复准备材料、调整设备状态，仅需按照标准规定的检验周期与项目提前筹备，合规成本预计可降低30%以上。这一变化将推动社会治理体系向 “高效协同、低成本运行” 升级，营造更优的营商环境与监管环境。</w:t>
      </w:r>
    </w:p>
    <w:p w14:paraId="008995C6">
      <w:pPr>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本标准以电碳计量设备检验为核心，通过明确检验条件、项目与规则，将从技术创新、市场规范、产业协同三个层面为电力行业、电碳计量设备产业及上下游关联产业注入发展动能，推动产业高质量升级：</w:t>
      </w:r>
      <w:r>
        <w:rPr>
          <w:rFonts w:hint="eastAsia" w:eastAsia="宋体" w:cs="Times New Roman"/>
          <w:b/>
          <w:bCs/>
          <w:sz w:val="24"/>
          <w:szCs w:val="24"/>
          <w:lang w:val="en-US" w:eastAsia="zh-CN"/>
        </w:rPr>
        <w:t>倒逼技术创新突破，引领设备产业升级。</w:t>
      </w:r>
      <w:r>
        <w:rPr>
          <w:rFonts w:hint="eastAsia" w:eastAsia="宋体" w:cs="Times New Roman"/>
          <w:sz w:val="24"/>
          <w:szCs w:val="24"/>
          <w:lang w:val="en-US" w:eastAsia="zh-CN"/>
        </w:rPr>
        <w:t>本标准在检验项目中提出高要求，抽样检验需100%通过校验，且明确检验条件需适配设备实际运行环境，将倒逼设备生产企业加大研发投入。同时，标准明确的检验项目与规则，为高校、科研机构提供了清晰的研发方向，可推动 “产学研用” 协同攻关新型校验技术，加速电碳计量设备向 “高精准、高稳定、智能化” 转型，助力我国电碳计量设备产业摆脱中低端依赖，抢占全球技术制高点。</w:t>
      </w:r>
      <w:r>
        <w:rPr>
          <w:rFonts w:hint="eastAsia" w:eastAsia="宋体" w:cs="Times New Roman"/>
          <w:b/>
          <w:bCs/>
          <w:sz w:val="24"/>
          <w:szCs w:val="24"/>
          <w:lang w:val="en-US" w:eastAsia="zh-CN"/>
        </w:rPr>
        <w:t>规范市场竞争秩序，激活产业发展活力。</w:t>
      </w:r>
      <w:r>
        <w:rPr>
          <w:rFonts w:hint="eastAsia" w:eastAsia="宋体" w:cs="Times New Roman"/>
          <w:sz w:val="24"/>
          <w:szCs w:val="24"/>
          <w:lang w:val="en-US" w:eastAsia="zh-CN"/>
        </w:rPr>
        <w:t>当前电碳计量设备市场存在部分企业因缺乏统一检验规则难以被有效监管的现象。本标准通过明确检验条件、检验项目及检验规则，建立清晰的市场准入门槛。这将淘汰不符合标准的低质产品，引导企业从“价格战”转向“技术与质量竞争”；同时，标准公开的检验要求可降低市场信息不对称，帮助下游电力企业、碳咨询机构精准筛选合规设备，推动市场资源向技术领先、质量可靠的企业集中。</w:t>
      </w:r>
      <w:r>
        <w:rPr>
          <w:rFonts w:hint="eastAsia" w:eastAsia="宋体" w:cs="Times New Roman"/>
          <w:b/>
          <w:bCs/>
          <w:sz w:val="24"/>
          <w:szCs w:val="24"/>
          <w:lang w:val="en-US" w:eastAsia="zh-CN"/>
        </w:rPr>
        <w:t>推动产业协同联动，构建全链条生态。</w:t>
      </w:r>
      <w:r>
        <w:rPr>
          <w:rFonts w:hint="eastAsia" w:eastAsia="宋体" w:cs="Times New Roman"/>
          <w:sz w:val="24"/>
          <w:szCs w:val="24"/>
          <w:lang w:val="en-US" w:eastAsia="zh-CN"/>
        </w:rPr>
        <w:t>本标准的检验要求不仅覆盖电碳计量设备本身，还间接关联设备研发、生产、检验、应用、服务等上下游环节，可推动产业协同发展：在上游，为满足检验条件中的环境适应性要求，设备核心零部件需求将大幅增长，拉动电子元器件产业升级；在中游，标准规范的检验项目与规则将催生专业检验服务机构，推动检验检测产业向“精细化、专业化”发展；在下游，电力企业可依据标准检验结果，精准管控碳排放数据，降低碳市场履约风险，同时带动碳咨询、碳核查等服务业发展。此外，标准适用于全类型电碳计量设备检验，可推动电力行业与钢铁、化工等行业的电碳计量数据格式统一，为跨行业碳数据互通共享奠定基础，助力构建“设备研发-生产-检验-应用-碳服务”的全产业链生态，为我国“双碳”目标下的产业结构优化提供关键支撑。</w:t>
      </w:r>
    </w:p>
    <w:p w14:paraId="333D5113">
      <w:pPr>
        <w:pStyle w:val="2"/>
        <w:rPr>
          <w:rFonts w:hint="eastAsia"/>
          <w:sz w:val="28"/>
          <w:szCs w:val="28"/>
        </w:rPr>
      </w:pPr>
      <w:r>
        <w:rPr>
          <w:rFonts w:hint="eastAsia" w:cs="黑体" w:asciiTheme="majorEastAsia" w:hAnsiTheme="majorEastAsia" w:eastAsiaTheme="majorEastAsia"/>
          <w:sz w:val="28"/>
          <w:szCs w:val="28"/>
        </w:rPr>
        <w:t>六、</w:t>
      </w:r>
      <w:r>
        <w:rPr>
          <w:rFonts w:hint="eastAsia"/>
          <w:sz w:val="28"/>
          <w:szCs w:val="28"/>
        </w:rPr>
        <w:t>标准与现有标准、制定中标准的协调配套情况</w:t>
      </w:r>
    </w:p>
    <w:p w14:paraId="5E47E2D3">
      <w:pPr>
        <w:spacing w:line="360" w:lineRule="auto"/>
        <w:ind w:firstLine="480" w:firstLineChars="200"/>
        <w:rPr>
          <w:sz w:val="24"/>
          <w:szCs w:val="24"/>
        </w:rPr>
      </w:pPr>
      <w:r>
        <w:rPr>
          <w:sz w:val="24"/>
          <w:szCs w:val="24"/>
        </w:rPr>
        <w:t>与现有标准、制定中的标准没有矛盾。</w:t>
      </w:r>
    </w:p>
    <w:p w14:paraId="5AB8C268">
      <w:pPr>
        <w:pStyle w:val="2"/>
        <w:rPr>
          <w:rFonts w:hint="eastAsia"/>
          <w:sz w:val="28"/>
          <w:szCs w:val="28"/>
          <w:lang w:val="zh-CN"/>
        </w:rPr>
      </w:pPr>
      <w:r>
        <w:rPr>
          <w:rFonts w:hint="eastAsia"/>
          <w:sz w:val="28"/>
          <w:szCs w:val="28"/>
          <w:lang w:val="zh-CN"/>
        </w:rPr>
        <w:t>七、采用国际标准和国外先进标准情况</w:t>
      </w:r>
    </w:p>
    <w:p w14:paraId="70CC73CF">
      <w:pPr>
        <w:spacing w:line="400" w:lineRule="exact"/>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当前国际电工委员会（IEC）、国际标准化组织（ISO）暂未发布针对“基于电力流的碳排放计量设备”的专项检验标准，相关要求分散于电力计量IEC 62053 系列、碳核算ISO 14064标准中，缺乏系统性检验框架。国外方面，欧盟《碳边境调节机制（CBAM）》配套规范、美国 EPA 碳计量指南，仅侧重设备数据合规性要求，未明确检验条件、项目及规则的完整体系。</w:t>
      </w:r>
    </w:p>
    <w:p w14:paraId="04806335">
      <w:pPr>
        <w:spacing w:line="360" w:lineRule="auto"/>
        <w:ind w:firstLine="480" w:firstLineChars="200"/>
        <w:rPr>
          <w:sz w:val="24"/>
          <w:szCs w:val="24"/>
        </w:rPr>
      </w:pPr>
      <w:r>
        <w:rPr>
          <w:rFonts w:hint="eastAsia"/>
          <w:sz w:val="24"/>
          <w:szCs w:val="24"/>
        </w:rPr>
        <w:t>目前国内外没有《基于电力流的碳排放计量  第4部分：计量设备检验技术规范》相关行业标准。通过制定《基于电力流的碳排放计量  第4部分：计量设备检验技术规范》，能够统一</w:t>
      </w:r>
      <w:r>
        <w:rPr>
          <w:rFonts w:hint="eastAsia"/>
          <w:sz w:val="24"/>
          <w:szCs w:val="24"/>
          <w:lang w:val="en-US" w:eastAsia="zh-CN"/>
        </w:rPr>
        <w:t>基于电力流的碳排放计量设备</w:t>
      </w:r>
      <w:r>
        <w:rPr>
          <w:rFonts w:hint="eastAsia"/>
          <w:sz w:val="24"/>
          <w:szCs w:val="24"/>
        </w:rPr>
        <w:t>的</w:t>
      </w:r>
      <w:r>
        <w:rPr>
          <w:rFonts w:hint="eastAsia"/>
          <w:sz w:val="24"/>
          <w:szCs w:val="24"/>
          <w:lang w:val="en-US" w:eastAsia="zh-CN"/>
        </w:rPr>
        <w:t>检验条件</w:t>
      </w:r>
      <w:r>
        <w:rPr>
          <w:rFonts w:hint="eastAsia"/>
          <w:sz w:val="24"/>
          <w:szCs w:val="24"/>
        </w:rPr>
        <w:t>、</w:t>
      </w:r>
      <w:r>
        <w:rPr>
          <w:rFonts w:hint="eastAsia"/>
          <w:sz w:val="24"/>
          <w:szCs w:val="24"/>
          <w:lang w:val="en-US" w:eastAsia="zh-CN"/>
        </w:rPr>
        <w:t>检验项目和检验规则</w:t>
      </w:r>
      <w:r>
        <w:rPr>
          <w:rFonts w:hint="eastAsia"/>
          <w:sz w:val="24"/>
          <w:szCs w:val="24"/>
        </w:rPr>
        <w:t>，便于</w:t>
      </w:r>
      <w:r>
        <w:rPr>
          <w:rFonts w:hint="eastAsia"/>
          <w:sz w:val="24"/>
          <w:szCs w:val="24"/>
          <w:lang w:val="en-US" w:eastAsia="zh-CN"/>
        </w:rPr>
        <w:t>基于电力流的碳排放计量设备</w:t>
      </w:r>
      <w:r>
        <w:rPr>
          <w:rFonts w:hint="eastAsia"/>
          <w:sz w:val="24"/>
          <w:szCs w:val="24"/>
        </w:rPr>
        <w:t>的大规模推广应用。适用于</w:t>
      </w:r>
      <w:r>
        <w:rPr>
          <w:rFonts w:hint="eastAsia"/>
          <w:sz w:val="24"/>
          <w:szCs w:val="24"/>
          <w:lang w:val="en-US" w:eastAsia="zh-CN"/>
        </w:rPr>
        <w:t>基于电力流的碳排放计量设备</w:t>
      </w:r>
      <w:r>
        <w:rPr>
          <w:rFonts w:hint="eastAsia"/>
          <w:sz w:val="24"/>
          <w:szCs w:val="24"/>
        </w:rPr>
        <w:t>的</w:t>
      </w:r>
      <w:r>
        <w:rPr>
          <w:rFonts w:hint="eastAsia"/>
          <w:sz w:val="24"/>
          <w:szCs w:val="24"/>
          <w:lang w:val="en-US" w:eastAsia="zh-CN"/>
        </w:rPr>
        <w:t>检验</w:t>
      </w:r>
      <w:r>
        <w:rPr>
          <w:rFonts w:hint="eastAsia"/>
          <w:sz w:val="24"/>
          <w:szCs w:val="24"/>
        </w:rPr>
        <w:t xml:space="preserve">。 </w:t>
      </w:r>
    </w:p>
    <w:p w14:paraId="223D2E80">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八、标准性质的重大分歧意见的处理经过和依据</w:t>
      </w:r>
    </w:p>
    <w:p w14:paraId="7E631C4A">
      <w:pPr>
        <w:spacing w:line="400" w:lineRule="exact"/>
        <w:ind w:firstLine="480" w:firstLineChars="200"/>
        <w:rPr>
          <w:rFonts w:ascii="Times New Roman" w:hAnsi="Times New Roman"/>
          <w:sz w:val="24"/>
          <w:szCs w:val="24"/>
          <w:lang w:val="zh-CN"/>
        </w:rPr>
      </w:pPr>
      <w:r>
        <w:rPr>
          <w:rFonts w:ascii="Times New Roman" w:hAnsi="Times New Roman"/>
          <w:sz w:val="24"/>
          <w:szCs w:val="24"/>
          <w:lang w:val="zh-CN"/>
        </w:rPr>
        <w:t>无。</w:t>
      </w:r>
    </w:p>
    <w:p w14:paraId="7475FE4B">
      <w:pPr>
        <w:pStyle w:val="2"/>
        <w:rPr>
          <w:b w:val="0"/>
          <w:bCs w:val="0"/>
          <w:sz w:val="28"/>
          <w:szCs w:val="28"/>
        </w:rPr>
      </w:pPr>
      <w:r>
        <w:rPr>
          <w:rFonts w:hint="eastAsia"/>
          <w:bCs w:val="0"/>
          <w:sz w:val="28"/>
          <w:szCs w:val="28"/>
        </w:rPr>
        <w:t>九</w:t>
      </w:r>
      <w:r>
        <w:rPr>
          <w:bCs w:val="0"/>
          <w:sz w:val="28"/>
          <w:szCs w:val="28"/>
        </w:rPr>
        <w:t>、</w:t>
      </w:r>
      <w:r>
        <w:rPr>
          <w:sz w:val="28"/>
          <w:szCs w:val="28"/>
        </w:rPr>
        <w:t>标准作为强制性或推荐性标准发布的意见</w:t>
      </w:r>
    </w:p>
    <w:p w14:paraId="354328BA">
      <w:pPr>
        <w:pStyle w:val="3"/>
        <w:ind w:firstLine="480" w:firstLineChars="200"/>
        <w:rPr>
          <w:rFonts w:ascii="Times New Roman" w:hAnsi="Times New Roman"/>
          <w:b w:val="0"/>
          <w:bCs w:val="0"/>
          <w:kern w:val="2"/>
          <w:sz w:val="24"/>
          <w:szCs w:val="24"/>
        </w:rPr>
      </w:pPr>
      <w:r>
        <w:rPr>
          <w:rFonts w:ascii="Times New Roman" w:hAnsi="Times New Roman"/>
          <w:b w:val="0"/>
          <w:bCs w:val="0"/>
          <w:kern w:val="2"/>
          <w:sz w:val="24"/>
          <w:szCs w:val="24"/>
        </w:rPr>
        <w:t>本</w:t>
      </w:r>
      <w:r>
        <w:rPr>
          <w:rFonts w:hint="eastAsia" w:ascii="Times New Roman" w:hAnsi="Times New Roman"/>
          <w:b w:val="0"/>
          <w:bCs w:val="0"/>
          <w:kern w:val="2"/>
          <w:sz w:val="24"/>
          <w:szCs w:val="24"/>
        </w:rPr>
        <w:t>文件为首次制定，</w:t>
      </w:r>
      <w:r>
        <w:rPr>
          <w:rFonts w:ascii="Times New Roman" w:hAnsi="Times New Roman"/>
          <w:b w:val="0"/>
          <w:bCs w:val="0"/>
          <w:kern w:val="2"/>
          <w:sz w:val="24"/>
          <w:szCs w:val="24"/>
        </w:rPr>
        <w:t>为推荐性</w:t>
      </w:r>
      <w:r>
        <w:rPr>
          <w:rFonts w:hint="eastAsia" w:ascii="Times New Roman" w:hAnsi="Times New Roman"/>
          <w:b w:val="0"/>
          <w:bCs w:val="0"/>
          <w:kern w:val="2"/>
          <w:sz w:val="24"/>
          <w:szCs w:val="24"/>
        </w:rPr>
        <w:t>团体</w:t>
      </w:r>
      <w:r>
        <w:rPr>
          <w:rFonts w:ascii="Times New Roman" w:hAnsi="Times New Roman"/>
          <w:b w:val="0"/>
          <w:bCs w:val="0"/>
          <w:kern w:val="2"/>
          <w:sz w:val="24"/>
          <w:szCs w:val="24"/>
        </w:rPr>
        <w:t>标准。</w:t>
      </w:r>
    </w:p>
    <w:p w14:paraId="339DC1FB">
      <w:pPr>
        <w:pStyle w:val="3"/>
        <w:rPr>
          <w:rFonts w:ascii="Times New Roman" w:hAnsi="Times New Roman"/>
          <w:sz w:val="28"/>
          <w:szCs w:val="28"/>
        </w:rPr>
      </w:pPr>
      <w:r>
        <w:rPr>
          <w:rFonts w:hint="eastAsia" w:ascii="Times New Roman" w:hAnsi="Times New Roman"/>
          <w:sz w:val="28"/>
          <w:szCs w:val="28"/>
        </w:rPr>
        <w:t>十</w:t>
      </w:r>
      <w:r>
        <w:rPr>
          <w:rFonts w:ascii="Times New Roman" w:hAnsi="Times New Roman"/>
          <w:sz w:val="28"/>
          <w:szCs w:val="28"/>
        </w:rPr>
        <w:t>、</w:t>
      </w:r>
      <w:r>
        <w:rPr>
          <w:rFonts w:hint="eastAsia" w:ascii="Times New Roman" w:hAnsi="Times New Roman"/>
          <w:sz w:val="28"/>
          <w:szCs w:val="28"/>
        </w:rPr>
        <w:t>贯彻标准的要求和措施建议</w:t>
      </w:r>
    </w:p>
    <w:p w14:paraId="1A0972B4">
      <w:pPr>
        <w:spacing w:line="400" w:lineRule="exac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无。</w:t>
      </w:r>
    </w:p>
    <w:p w14:paraId="0797CBC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十一、废止现行相关标准的建议</w:t>
      </w:r>
    </w:p>
    <w:p w14:paraId="50440448">
      <w:pPr>
        <w:spacing w:line="400" w:lineRule="exact"/>
        <w:rPr>
          <w:rFonts w:hint="eastAsia" w:ascii="黑体" w:hAnsi="黑体" w:eastAsia="黑体" w:cs="黑体"/>
          <w:b/>
          <w:bCs/>
          <w:sz w:val="24"/>
          <w:szCs w:val="24"/>
        </w:rPr>
      </w:pPr>
      <w:r>
        <w:rPr>
          <w:rFonts w:hint="eastAsia" w:ascii="宋体" w:hAnsi="宋体" w:cs="宋体"/>
          <w:szCs w:val="21"/>
        </w:rPr>
        <w:t xml:space="preserve">  </w:t>
      </w:r>
      <w:r>
        <w:rPr>
          <w:rFonts w:hint="eastAsia" w:ascii="宋体" w:hAnsi="宋体" w:cs="宋体"/>
          <w:sz w:val="24"/>
          <w:szCs w:val="24"/>
        </w:rPr>
        <w:t xml:space="preserve">  无。</w:t>
      </w:r>
    </w:p>
    <w:p w14:paraId="746E6445">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十二、其他予以说明的事项</w:t>
      </w:r>
    </w:p>
    <w:p w14:paraId="3ACF3809">
      <w:pPr>
        <w:spacing w:line="360" w:lineRule="auto"/>
        <w:ind w:firstLine="420" w:firstLineChars="200"/>
        <w:rPr>
          <w:rFonts w:hint="eastAsia" w:ascii="宋体" w:hAnsi="宋体" w:cs="宋体"/>
          <w:sz w:val="24"/>
          <w:szCs w:val="24"/>
        </w:rPr>
      </w:pPr>
      <w:r>
        <w:rPr>
          <w:rFonts w:hint="eastAsia" w:ascii="宋体" w:hAnsi="宋体" w:cs="宋体"/>
          <w:szCs w:val="21"/>
        </w:rPr>
        <w:t xml:space="preserve"> </w:t>
      </w: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11-12</w:t>
      </w:r>
      <w:r>
        <w:rPr>
          <w:rFonts w:hint="eastAsia"/>
          <w:sz w:val="24"/>
          <w:szCs w:val="24"/>
        </w:rPr>
        <w:t>日，在</w:t>
      </w:r>
      <w:r>
        <w:rPr>
          <w:rFonts w:hint="eastAsia"/>
          <w:sz w:val="24"/>
          <w:szCs w:val="24"/>
          <w:lang w:val="en-US" w:eastAsia="zh-CN"/>
        </w:rPr>
        <w:t>池州</w:t>
      </w:r>
      <w:r>
        <w:rPr>
          <w:rFonts w:hint="eastAsia"/>
          <w:sz w:val="24"/>
          <w:szCs w:val="24"/>
        </w:rPr>
        <w:t>市组织召开第一次工作组会议，对工作组讨论稿的标准化对象、结构进行了认真、细致的逐条讨论，达成标准名字共识，经工作组成员共同讨论</w:t>
      </w:r>
      <w:r>
        <w:rPr>
          <w:rFonts w:hint="eastAsia" w:ascii="宋体" w:hAnsi="宋体" w:cs="宋体"/>
          <w:sz w:val="24"/>
          <w:szCs w:val="24"/>
        </w:rPr>
        <w:t>将原立项名称《基于电力流的碳排放计量 第4部分：计量设备检测技术规范》改为《基于电力流的碳排放计量 第4部分：计量设备</w:t>
      </w:r>
      <w:r>
        <w:rPr>
          <w:rFonts w:hint="eastAsia" w:ascii="宋体" w:hAnsi="宋体" w:cs="宋体"/>
          <w:sz w:val="24"/>
          <w:szCs w:val="24"/>
          <w:lang w:val="en-US" w:eastAsia="zh-CN"/>
        </w:rPr>
        <w:t>检验</w:t>
      </w:r>
      <w:r>
        <w:rPr>
          <w:rFonts w:hint="eastAsia" w:ascii="宋体" w:hAnsi="宋体" w:cs="宋体"/>
          <w:sz w:val="24"/>
          <w:szCs w:val="24"/>
        </w:rPr>
        <w:t>技术规范》。</w:t>
      </w:r>
    </w:p>
    <w:p w14:paraId="68651CB6">
      <w:pPr>
        <w:spacing w:line="400" w:lineRule="exact"/>
        <w:rPr>
          <w:rFonts w:hint="eastAsia" w:ascii="宋体" w:hAnsi="宋体" w:cs="宋体"/>
          <w:sz w:val="24"/>
          <w:szCs w:val="24"/>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F">
    <w:pPr>
      <w:pStyle w:val="11"/>
      <w:jc w:val="center"/>
    </w:pPr>
    <w:r>
      <w:fldChar w:fldCharType="begin"/>
    </w:r>
    <w:r>
      <w:instrText xml:space="preserve">PAGE   \* MERGEFORMAT</w:instrText>
    </w:r>
    <w:r>
      <w:fldChar w:fldCharType="separate"/>
    </w:r>
    <w:r>
      <w:t>5</w:t>
    </w:r>
    <w:r>
      <w:fldChar w:fldCharType="end"/>
    </w:r>
  </w:p>
  <w:p w14:paraId="7F7501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A74A">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424B"/>
    <w:rsid w:val="001A507A"/>
    <w:rsid w:val="001A72FB"/>
    <w:rsid w:val="001B4E14"/>
    <w:rsid w:val="001C06AA"/>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031"/>
    <w:rsid w:val="002C06C2"/>
    <w:rsid w:val="002C464D"/>
    <w:rsid w:val="002C4E91"/>
    <w:rsid w:val="002C769C"/>
    <w:rsid w:val="002E1DAF"/>
    <w:rsid w:val="002E1F6F"/>
    <w:rsid w:val="002E2F23"/>
    <w:rsid w:val="002E30C6"/>
    <w:rsid w:val="002F02C5"/>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46D83"/>
    <w:rsid w:val="00450B65"/>
    <w:rsid w:val="00453CFD"/>
    <w:rsid w:val="00454BA9"/>
    <w:rsid w:val="0046366A"/>
    <w:rsid w:val="00472477"/>
    <w:rsid w:val="00473EC6"/>
    <w:rsid w:val="00491AAF"/>
    <w:rsid w:val="00493324"/>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06C65"/>
    <w:rsid w:val="00514919"/>
    <w:rsid w:val="0052574F"/>
    <w:rsid w:val="0053279D"/>
    <w:rsid w:val="005370AB"/>
    <w:rsid w:val="0054263F"/>
    <w:rsid w:val="005453CA"/>
    <w:rsid w:val="00547862"/>
    <w:rsid w:val="005517EF"/>
    <w:rsid w:val="00551D13"/>
    <w:rsid w:val="00552196"/>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E5126"/>
    <w:rsid w:val="005F1579"/>
    <w:rsid w:val="005F2E08"/>
    <w:rsid w:val="005F79C2"/>
    <w:rsid w:val="00601078"/>
    <w:rsid w:val="00604FD1"/>
    <w:rsid w:val="00607AF6"/>
    <w:rsid w:val="00612AE7"/>
    <w:rsid w:val="00625C85"/>
    <w:rsid w:val="00626486"/>
    <w:rsid w:val="00634184"/>
    <w:rsid w:val="00642FCC"/>
    <w:rsid w:val="00644264"/>
    <w:rsid w:val="00647254"/>
    <w:rsid w:val="00656F8B"/>
    <w:rsid w:val="00657FF9"/>
    <w:rsid w:val="00667F80"/>
    <w:rsid w:val="00670A94"/>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42878"/>
    <w:rsid w:val="00752B3F"/>
    <w:rsid w:val="00755DF0"/>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422E2"/>
    <w:rsid w:val="0085109D"/>
    <w:rsid w:val="008652F1"/>
    <w:rsid w:val="00876073"/>
    <w:rsid w:val="008A1B7C"/>
    <w:rsid w:val="008A4BB3"/>
    <w:rsid w:val="008B5921"/>
    <w:rsid w:val="008B5D3C"/>
    <w:rsid w:val="008B6F36"/>
    <w:rsid w:val="008C2741"/>
    <w:rsid w:val="008C2E7C"/>
    <w:rsid w:val="008D51C7"/>
    <w:rsid w:val="008E7074"/>
    <w:rsid w:val="008F1A3F"/>
    <w:rsid w:val="00904D19"/>
    <w:rsid w:val="0091049B"/>
    <w:rsid w:val="00911E72"/>
    <w:rsid w:val="009123EA"/>
    <w:rsid w:val="00915B37"/>
    <w:rsid w:val="00916365"/>
    <w:rsid w:val="009303E4"/>
    <w:rsid w:val="0094073D"/>
    <w:rsid w:val="00946D87"/>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82307"/>
    <w:rsid w:val="00B90740"/>
    <w:rsid w:val="00B94948"/>
    <w:rsid w:val="00BA1248"/>
    <w:rsid w:val="00BB392C"/>
    <w:rsid w:val="00BC2A58"/>
    <w:rsid w:val="00BC463B"/>
    <w:rsid w:val="00BC4820"/>
    <w:rsid w:val="00BD2A6B"/>
    <w:rsid w:val="00BE01BA"/>
    <w:rsid w:val="00BE06D9"/>
    <w:rsid w:val="00BE638C"/>
    <w:rsid w:val="00BE6DB7"/>
    <w:rsid w:val="00BF3D86"/>
    <w:rsid w:val="00BF5FAB"/>
    <w:rsid w:val="00C0109A"/>
    <w:rsid w:val="00C02B99"/>
    <w:rsid w:val="00C0676C"/>
    <w:rsid w:val="00C06773"/>
    <w:rsid w:val="00C07FD7"/>
    <w:rsid w:val="00C10DF5"/>
    <w:rsid w:val="00C1489F"/>
    <w:rsid w:val="00C15BDA"/>
    <w:rsid w:val="00C222DD"/>
    <w:rsid w:val="00C24F5C"/>
    <w:rsid w:val="00C267BF"/>
    <w:rsid w:val="00C27F6A"/>
    <w:rsid w:val="00C303B6"/>
    <w:rsid w:val="00C35947"/>
    <w:rsid w:val="00C35DF7"/>
    <w:rsid w:val="00C43FDE"/>
    <w:rsid w:val="00C5112C"/>
    <w:rsid w:val="00C63018"/>
    <w:rsid w:val="00C63B2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2770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97720"/>
    <w:rsid w:val="00EA4114"/>
    <w:rsid w:val="00EA7644"/>
    <w:rsid w:val="00EB1602"/>
    <w:rsid w:val="00EB46D7"/>
    <w:rsid w:val="00EC5B9D"/>
    <w:rsid w:val="00ED545D"/>
    <w:rsid w:val="00EE0B00"/>
    <w:rsid w:val="00EE33A6"/>
    <w:rsid w:val="00EF523C"/>
    <w:rsid w:val="00F113E9"/>
    <w:rsid w:val="00F34E25"/>
    <w:rsid w:val="00F3640C"/>
    <w:rsid w:val="00F3754A"/>
    <w:rsid w:val="00F439A4"/>
    <w:rsid w:val="00F46547"/>
    <w:rsid w:val="00F50275"/>
    <w:rsid w:val="00F5148D"/>
    <w:rsid w:val="00F51C56"/>
    <w:rsid w:val="00F52715"/>
    <w:rsid w:val="00F56F60"/>
    <w:rsid w:val="00F61FAD"/>
    <w:rsid w:val="00F64A7B"/>
    <w:rsid w:val="00F82FB7"/>
    <w:rsid w:val="00F842D4"/>
    <w:rsid w:val="00F9244E"/>
    <w:rsid w:val="00F937EE"/>
    <w:rsid w:val="00F96C35"/>
    <w:rsid w:val="00FA4E39"/>
    <w:rsid w:val="00FB4480"/>
    <w:rsid w:val="00FB7F69"/>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F27C8"/>
    <w:rsid w:val="03F3608F"/>
    <w:rsid w:val="03F73430"/>
    <w:rsid w:val="044D4541"/>
    <w:rsid w:val="04B406C8"/>
    <w:rsid w:val="051A11D0"/>
    <w:rsid w:val="055B54AE"/>
    <w:rsid w:val="05B71053"/>
    <w:rsid w:val="061D37E4"/>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257C4F"/>
    <w:rsid w:val="0B9567CA"/>
    <w:rsid w:val="0C7A2535"/>
    <w:rsid w:val="0C7A6ED4"/>
    <w:rsid w:val="0D1C75CD"/>
    <w:rsid w:val="0D5F0B5D"/>
    <w:rsid w:val="0EE86A55"/>
    <w:rsid w:val="10DF406E"/>
    <w:rsid w:val="11926D8D"/>
    <w:rsid w:val="11E90053"/>
    <w:rsid w:val="12012032"/>
    <w:rsid w:val="12BF58FF"/>
    <w:rsid w:val="12F24C1A"/>
    <w:rsid w:val="130509C1"/>
    <w:rsid w:val="13176148"/>
    <w:rsid w:val="13760D4E"/>
    <w:rsid w:val="13767950"/>
    <w:rsid w:val="14147A3B"/>
    <w:rsid w:val="15020CA3"/>
    <w:rsid w:val="155D62E6"/>
    <w:rsid w:val="16035571"/>
    <w:rsid w:val="162639CD"/>
    <w:rsid w:val="16436BBB"/>
    <w:rsid w:val="16970417"/>
    <w:rsid w:val="16BB474E"/>
    <w:rsid w:val="180E1119"/>
    <w:rsid w:val="18393541"/>
    <w:rsid w:val="18A176F2"/>
    <w:rsid w:val="18A500EF"/>
    <w:rsid w:val="18C35161"/>
    <w:rsid w:val="195D7E33"/>
    <w:rsid w:val="198552B3"/>
    <w:rsid w:val="19970503"/>
    <w:rsid w:val="19C27D7F"/>
    <w:rsid w:val="1A55EF0C"/>
    <w:rsid w:val="1B002FFA"/>
    <w:rsid w:val="1B9907D4"/>
    <w:rsid w:val="1BE76BEB"/>
    <w:rsid w:val="1C0C749B"/>
    <w:rsid w:val="1C2A1FFA"/>
    <w:rsid w:val="1CAD7018"/>
    <w:rsid w:val="1D4460EE"/>
    <w:rsid w:val="1D4C369E"/>
    <w:rsid w:val="1D7D286E"/>
    <w:rsid w:val="1D7F2551"/>
    <w:rsid w:val="1DD31238"/>
    <w:rsid w:val="1EE82BA1"/>
    <w:rsid w:val="1F16232A"/>
    <w:rsid w:val="1F417CF9"/>
    <w:rsid w:val="1F4E5D32"/>
    <w:rsid w:val="1F6736C2"/>
    <w:rsid w:val="1F783185"/>
    <w:rsid w:val="1FBF7A6F"/>
    <w:rsid w:val="2071095A"/>
    <w:rsid w:val="20840C8E"/>
    <w:rsid w:val="208D6BBB"/>
    <w:rsid w:val="21D7460A"/>
    <w:rsid w:val="2216145C"/>
    <w:rsid w:val="223649D8"/>
    <w:rsid w:val="22A45836"/>
    <w:rsid w:val="22B34C76"/>
    <w:rsid w:val="23027041"/>
    <w:rsid w:val="237A0EA4"/>
    <w:rsid w:val="238C742E"/>
    <w:rsid w:val="23A75EEF"/>
    <w:rsid w:val="24481FE0"/>
    <w:rsid w:val="248311C0"/>
    <w:rsid w:val="248764B8"/>
    <w:rsid w:val="24BC14A0"/>
    <w:rsid w:val="2538360D"/>
    <w:rsid w:val="259768C4"/>
    <w:rsid w:val="25F36AC0"/>
    <w:rsid w:val="26177B96"/>
    <w:rsid w:val="26A45E4D"/>
    <w:rsid w:val="26D20B6F"/>
    <w:rsid w:val="272711D4"/>
    <w:rsid w:val="27533EE6"/>
    <w:rsid w:val="27A75FE0"/>
    <w:rsid w:val="288C66FC"/>
    <w:rsid w:val="29417347"/>
    <w:rsid w:val="29A852E1"/>
    <w:rsid w:val="29EB4EC7"/>
    <w:rsid w:val="2A2F41FE"/>
    <w:rsid w:val="2A4D3368"/>
    <w:rsid w:val="2A721FF8"/>
    <w:rsid w:val="2AA1140C"/>
    <w:rsid w:val="2B187193"/>
    <w:rsid w:val="2B2C3011"/>
    <w:rsid w:val="2B59385C"/>
    <w:rsid w:val="2B882FE3"/>
    <w:rsid w:val="2BFE0E57"/>
    <w:rsid w:val="2CBD3F75"/>
    <w:rsid w:val="2CF27769"/>
    <w:rsid w:val="2CF74318"/>
    <w:rsid w:val="2CFB12C0"/>
    <w:rsid w:val="2E060545"/>
    <w:rsid w:val="2E1F36AF"/>
    <w:rsid w:val="2FFC7C4A"/>
    <w:rsid w:val="30305AEA"/>
    <w:rsid w:val="304B257B"/>
    <w:rsid w:val="307C0364"/>
    <w:rsid w:val="30B0524B"/>
    <w:rsid w:val="30B11B46"/>
    <w:rsid w:val="31EB4AD1"/>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6C85AB1"/>
    <w:rsid w:val="36E4386D"/>
    <w:rsid w:val="371812F1"/>
    <w:rsid w:val="37265173"/>
    <w:rsid w:val="37346B23"/>
    <w:rsid w:val="37D35893"/>
    <w:rsid w:val="383E4EC8"/>
    <w:rsid w:val="385A6D44"/>
    <w:rsid w:val="386A7099"/>
    <w:rsid w:val="389337B6"/>
    <w:rsid w:val="389B7811"/>
    <w:rsid w:val="393E24A6"/>
    <w:rsid w:val="39A560B6"/>
    <w:rsid w:val="3AA14BDA"/>
    <w:rsid w:val="3B267C8A"/>
    <w:rsid w:val="3BC86EC9"/>
    <w:rsid w:val="3BE6368D"/>
    <w:rsid w:val="3C211CB3"/>
    <w:rsid w:val="3C523343"/>
    <w:rsid w:val="3C772F67"/>
    <w:rsid w:val="3C890106"/>
    <w:rsid w:val="3D1651F0"/>
    <w:rsid w:val="3D4D254F"/>
    <w:rsid w:val="3D6B1A8C"/>
    <w:rsid w:val="3DED4844"/>
    <w:rsid w:val="3E712FA9"/>
    <w:rsid w:val="3EBE5E7C"/>
    <w:rsid w:val="3F5F3197"/>
    <w:rsid w:val="3F980BD8"/>
    <w:rsid w:val="3FAD462D"/>
    <w:rsid w:val="3FB809BF"/>
    <w:rsid w:val="3FEC7CB4"/>
    <w:rsid w:val="3FFD724D"/>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7F622E"/>
    <w:rsid w:val="46CB1754"/>
    <w:rsid w:val="46E771D4"/>
    <w:rsid w:val="47170634"/>
    <w:rsid w:val="47B411D0"/>
    <w:rsid w:val="47C066CC"/>
    <w:rsid w:val="47D55B81"/>
    <w:rsid w:val="48B6365C"/>
    <w:rsid w:val="48C64ECB"/>
    <w:rsid w:val="48FB6A8F"/>
    <w:rsid w:val="493A6E76"/>
    <w:rsid w:val="497F6E31"/>
    <w:rsid w:val="499D3D96"/>
    <w:rsid w:val="49C778F0"/>
    <w:rsid w:val="49DF1C3F"/>
    <w:rsid w:val="49EC488A"/>
    <w:rsid w:val="4A7207A7"/>
    <w:rsid w:val="4AA27F9B"/>
    <w:rsid w:val="4AE47C47"/>
    <w:rsid w:val="4B32363B"/>
    <w:rsid w:val="4B667B2B"/>
    <w:rsid w:val="4B735DE7"/>
    <w:rsid w:val="4BC3729A"/>
    <w:rsid w:val="4BF23E4F"/>
    <w:rsid w:val="4C4607DA"/>
    <w:rsid w:val="4CFF6B43"/>
    <w:rsid w:val="4D4675DD"/>
    <w:rsid w:val="4D6466CB"/>
    <w:rsid w:val="4E092FFA"/>
    <w:rsid w:val="4E347D1E"/>
    <w:rsid w:val="4EF1621C"/>
    <w:rsid w:val="4F523FD7"/>
    <w:rsid w:val="4F7D08F7"/>
    <w:rsid w:val="50016AC2"/>
    <w:rsid w:val="50123898"/>
    <w:rsid w:val="50427E43"/>
    <w:rsid w:val="51AB68BB"/>
    <w:rsid w:val="51BE3532"/>
    <w:rsid w:val="51FF6B10"/>
    <w:rsid w:val="52A73009"/>
    <w:rsid w:val="52D46729"/>
    <w:rsid w:val="530024DC"/>
    <w:rsid w:val="53194738"/>
    <w:rsid w:val="53836818"/>
    <w:rsid w:val="53DA11A0"/>
    <w:rsid w:val="53E32E8A"/>
    <w:rsid w:val="54915BA9"/>
    <w:rsid w:val="54C2402E"/>
    <w:rsid w:val="55C338E8"/>
    <w:rsid w:val="55FB82E4"/>
    <w:rsid w:val="564B6B63"/>
    <w:rsid w:val="56514C21"/>
    <w:rsid w:val="567345E6"/>
    <w:rsid w:val="568E367B"/>
    <w:rsid w:val="56A70A5C"/>
    <w:rsid w:val="570B3917"/>
    <w:rsid w:val="5749021F"/>
    <w:rsid w:val="5779299C"/>
    <w:rsid w:val="57AB43F8"/>
    <w:rsid w:val="57D85739"/>
    <w:rsid w:val="580F3D30"/>
    <w:rsid w:val="58221A49"/>
    <w:rsid w:val="58B42698"/>
    <w:rsid w:val="592D575A"/>
    <w:rsid w:val="596407D3"/>
    <w:rsid w:val="598B3C51"/>
    <w:rsid w:val="5A573610"/>
    <w:rsid w:val="5B2568B1"/>
    <w:rsid w:val="5B422B8B"/>
    <w:rsid w:val="5B6F6F42"/>
    <w:rsid w:val="5B825CAE"/>
    <w:rsid w:val="5B9B4131"/>
    <w:rsid w:val="5BEF6CB4"/>
    <w:rsid w:val="5C3929A3"/>
    <w:rsid w:val="5C476F4F"/>
    <w:rsid w:val="5C9748E3"/>
    <w:rsid w:val="5CBC6CD8"/>
    <w:rsid w:val="5CD740E4"/>
    <w:rsid w:val="5DB7078B"/>
    <w:rsid w:val="5DC015CE"/>
    <w:rsid w:val="5E0B66F4"/>
    <w:rsid w:val="5E7D3DE6"/>
    <w:rsid w:val="5EE83FD6"/>
    <w:rsid w:val="5F093E9D"/>
    <w:rsid w:val="5F8C425B"/>
    <w:rsid w:val="5FA42D8A"/>
    <w:rsid w:val="6045177F"/>
    <w:rsid w:val="60F308EF"/>
    <w:rsid w:val="61432360"/>
    <w:rsid w:val="6176717E"/>
    <w:rsid w:val="61A76DC0"/>
    <w:rsid w:val="62186AF3"/>
    <w:rsid w:val="622951B8"/>
    <w:rsid w:val="62492AD7"/>
    <w:rsid w:val="628E5FB9"/>
    <w:rsid w:val="62A10B56"/>
    <w:rsid w:val="62B80DBA"/>
    <w:rsid w:val="62BB5C43"/>
    <w:rsid w:val="63653051"/>
    <w:rsid w:val="63737A74"/>
    <w:rsid w:val="637A6826"/>
    <w:rsid w:val="639C2195"/>
    <w:rsid w:val="645B0D09"/>
    <w:rsid w:val="654D4B02"/>
    <w:rsid w:val="658028C9"/>
    <w:rsid w:val="66116ABA"/>
    <w:rsid w:val="665373D5"/>
    <w:rsid w:val="665A00E6"/>
    <w:rsid w:val="66924654"/>
    <w:rsid w:val="66C1218C"/>
    <w:rsid w:val="66DF3DF0"/>
    <w:rsid w:val="6702026A"/>
    <w:rsid w:val="677B141F"/>
    <w:rsid w:val="67FB3499"/>
    <w:rsid w:val="68467EA7"/>
    <w:rsid w:val="69C42446"/>
    <w:rsid w:val="6A2C74F0"/>
    <w:rsid w:val="6A613793"/>
    <w:rsid w:val="6AAB298E"/>
    <w:rsid w:val="6ABE6410"/>
    <w:rsid w:val="6B8D4C87"/>
    <w:rsid w:val="6C2E17BA"/>
    <w:rsid w:val="6C6B0957"/>
    <w:rsid w:val="6D48513C"/>
    <w:rsid w:val="6D762C20"/>
    <w:rsid w:val="6E1950F6"/>
    <w:rsid w:val="6E310AD8"/>
    <w:rsid w:val="6E940B7A"/>
    <w:rsid w:val="6FBFAB9A"/>
    <w:rsid w:val="6FF9CA01"/>
    <w:rsid w:val="703A272E"/>
    <w:rsid w:val="717C721C"/>
    <w:rsid w:val="719566D4"/>
    <w:rsid w:val="71DE7E1D"/>
    <w:rsid w:val="72294B2F"/>
    <w:rsid w:val="74D06A77"/>
    <w:rsid w:val="75065DB7"/>
    <w:rsid w:val="76CC29FB"/>
    <w:rsid w:val="770F35FE"/>
    <w:rsid w:val="777B5002"/>
    <w:rsid w:val="77FB6B4C"/>
    <w:rsid w:val="77FB9376"/>
    <w:rsid w:val="78477BB6"/>
    <w:rsid w:val="785A5B03"/>
    <w:rsid w:val="78B13B95"/>
    <w:rsid w:val="79C4024E"/>
    <w:rsid w:val="79FC265D"/>
    <w:rsid w:val="7A5B9116"/>
    <w:rsid w:val="7ABE4CD1"/>
    <w:rsid w:val="7AFE606B"/>
    <w:rsid w:val="7B5254FB"/>
    <w:rsid w:val="7B5935FD"/>
    <w:rsid w:val="7BB27F43"/>
    <w:rsid w:val="7BB72EDA"/>
    <w:rsid w:val="7BD31428"/>
    <w:rsid w:val="7BDB6CDC"/>
    <w:rsid w:val="7C340505"/>
    <w:rsid w:val="7C471EE4"/>
    <w:rsid w:val="7CEF2CDE"/>
    <w:rsid w:val="7D4635B2"/>
    <w:rsid w:val="7D64173C"/>
    <w:rsid w:val="7D777A3E"/>
    <w:rsid w:val="7DFC1F91"/>
    <w:rsid w:val="7E0916DD"/>
    <w:rsid w:val="7E405882"/>
    <w:rsid w:val="7EA254FE"/>
    <w:rsid w:val="7EA875E5"/>
    <w:rsid w:val="7F3F716A"/>
    <w:rsid w:val="7FFF168A"/>
    <w:rsid w:val="A7EFDA38"/>
    <w:rsid w:val="B5668F57"/>
    <w:rsid w:val="D68E3D55"/>
    <w:rsid w:val="D6BB14F3"/>
    <w:rsid w:val="DCF729B3"/>
    <w:rsid w:val="DFA96B7F"/>
    <w:rsid w:val="DFDF394B"/>
    <w:rsid w:val="F3AB2DC1"/>
    <w:rsid w:val="F5E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paragraph" w:styleId="5">
    <w:name w:val="heading 4"/>
    <w:basedOn w:val="1"/>
    <w:next w:val="1"/>
    <w:link w:val="49"/>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semiHidden/>
    <w:qFormat/>
    <w:uiPriority w:val="99"/>
    <w:pPr>
      <w:jc w:val="left"/>
    </w:pPr>
    <w:rPr>
      <w:kern w:val="0"/>
      <w:sz w:val="20"/>
      <w:szCs w:val="21"/>
    </w:rPr>
  </w:style>
  <w:style w:type="paragraph" w:styleId="7">
    <w:name w:val="Body Text"/>
    <w:basedOn w:val="1"/>
    <w:next w:val="8"/>
    <w:link w:val="48"/>
    <w:qFormat/>
    <w:locked/>
    <w:uiPriority w:val="1"/>
    <w:pPr>
      <w:autoSpaceDE w:val="0"/>
      <w:autoSpaceDN w:val="0"/>
      <w:jc w:val="left"/>
    </w:pPr>
    <w:rPr>
      <w:rFonts w:ascii="宋体" w:hAnsi="宋体" w:cs="宋体"/>
      <w:kern w:val="0"/>
      <w:szCs w:val="21"/>
    </w:rPr>
  </w:style>
  <w:style w:type="paragraph" w:styleId="8">
    <w:name w:val="Title"/>
    <w:basedOn w:val="1"/>
    <w:next w:val="1"/>
    <w:qFormat/>
    <w:locked/>
    <w:uiPriority w:val="0"/>
    <w:pPr>
      <w:spacing w:before="240" w:after="60"/>
      <w:jc w:val="center"/>
      <w:outlineLvl w:val="0"/>
    </w:pPr>
    <w:rPr>
      <w:rFonts w:ascii="Arial" w:hAnsi="Arial" w:cs="Arial"/>
      <w:b/>
      <w:bCs/>
      <w:sz w:val="32"/>
      <w:szCs w:val="32"/>
    </w:rPr>
  </w:style>
  <w:style w:type="paragraph" w:styleId="9">
    <w:name w:val="Date"/>
    <w:basedOn w:val="1"/>
    <w:next w:val="1"/>
    <w:link w:val="37"/>
    <w:semiHidden/>
    <w:qFormat/>
    <w:uiPriority w:val="99"/>
    <w:pPr>
      <w:ind w:left="100" w:leftChars="2500"/>
    </w:pPr>
  </w:style>
  <w:style w:type="paragraph" w:styleId="10">
    <w:name w:val="Balloon Text"/>
    <w:basedOn w:val="1"/>
    <w:link w:val="38"/>
    <w:semiHidden/>
    <w:qFormat/>
    <w:uiPriority w:val="99"/>
    <w:rPr>
      <w:kern w:val="0"/>
      <w:sz w:val="18"/>
      <w:szCs w:val="18"/>
    </w:rPr>
  </w:style>
  <w:style w:type="paragraph" w:styleId="11">
    <w:name w:val="footer"/>
    <w:basedOn w:val="1"/>
    <w:link w:val="39"/>
    <w:qFormat/>
    <w:uiPriority w:val="99"/>
    <w:pPr>
      <w:tabs>
        <w:tab w:val="center" w:pos="4153"/>
        <w:tab w:val="right" w:pos="8306"/>
      </w:tabs>
      <w:snapToGrid w:val="0"/>
      <w:jc w:val="left"/>
    </w:pPr>
    <w:rPr>
      <w:kern w:val="0"/>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241"/>
      </w:tabs>
      <w:spacing w:beforeLines="25" w:afterLines="25"/>
      <w:jc w:val="left"/>
    </w:pPr>
    <w:rPr>
      <w:rFonts w:ascii="宋体"/>
      <w:szCs w:val="21"/>
    </w:rPr>
  </w:style>
  <w:style w:type="paragraph" w:styleId="14">
    <w:name w:val="toc 2"/>
    <w:basedOn w:val="1"/>
    <w:next w:val="1"/>
    <w:qFormat/>
    <w:uiPriority w:val="99"/>
    <w:pPr>
      <w:tabs>
        <w:tab w:val="right" w:leader="dot" w:pos="9241"/>
      </w:tabs>
    </w:pPr>
    <w:rPr>
      <w:rFonts w:ascii="宋体"/>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locked/>
    <w:uiPriority w:val="22"/>
    <w:rPr>
      <w:b/>
      <w:bCs/>
    </w:rPr>
  </w:style>
  <w:style w:type="character" w:styleId="19">
    <w:name w:val="Emphasis"/>
    <w:basedOn w:val="17"/>
    <w:qFormat/>
    <w:locked/>
    <w:uiPriority w:val="20"/>
    <w:rPr>
      <w:i/>
    </w:rPr>
  </w:style>
  <w:style w:type="character" w:styleId="20">
    <w:name w:val="Hyperlink"/>
    <w:semiHidden/>
    <w:qFormat/>
    <w:uiPriority w:val="99"/>
    <w:rPr>
      <w:rFonts w:cs="Times New Roman"/>
      <w:color w:val="0000CC"/>
      <w:u w:val="single"/>
    </w:rPr>
  </w:style>
  <w:style w:type="character" w:styleId="21">
    <w:name w:val="annotation reference"/>
    <w:semiHidden/>
    <w:qFormat/>
    <w:uiPriority w:val="99"/>
    <w:rPr>
      <w:rFonts w:cs="Times New Roman"/>
      <w:sz w:val="21"/>
    </w:rPr>
  </w:style>
  <w:style w:type="paragraph" w:customStyle="1" w:styleId="22">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
    <w:name w:val="列出段落1"/>
    <w:basedOn w:val="1"/>
    <w:qFormat/>
    <w:uiPriority w:val="99"/>
    <w:pPr>
      <w:ind w:firstLine="420" w:firstLineChars="200"/>
    </w:pPr>
  </w:style>
  <w:style w:type="paragraph" w:customStyle="1" w:styleId="24">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1">
    <w:name w:val="标准文件_二级条标题"/>
    <w:next w:val="2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2">
    <w:name w:val="标准文件_三级条标题"/>
    <w:next w:val="26"/>
    <w:qFormat/>
    <w:uiPriority w:val="0"/>
    <w:pPr>
      <w:outlineLvl w:val="3"/>
    </w:pPr>
    <w:rPr>
      <w:rFonts w:ascii="Times New Roman" w:hAnsi="Times New Roman" w:eastAsia="宋体" w:cs="Times New Roman"/>
      <w:lang w:val="en-US" w:eastAsia="zh-CN" w:bidi="ar-SA"/>
    </w:rPr>
  </w:style>
  <w:style w:type="character" w:customStyle="1" w:styleId="33">
    <w:name w:val="标题 1 字符"/>
    <w:link w:val="2"/>
    <w:qFormat/>
    <w:locked/>
    <w:uiPriority w:val="99"/>
    <w:rPr>
      <w:rFonts w:cs="Times New Roman"/>
      <w:b/>
      <w:kern w:val="44"/>
      <w:sz w:val="44"/>
    </w:rPr>
  </w:style>
  <w:style w:type="character" w:customStyle="1" w:styleId="34">
    <w:name w:val="标题 2 字符"/>
    <w:link w:val="3"/>
    <w:qFormat/>
    <w:locked/>
    <w:uiPriority w:val="99"/>
    <w:rPr>
      <w:rFonts w:ascii="Cambria" w:hAnsi="Cambria" w:eastAsia="宋体" w:cs="Times New Roman"/>
      <w:b/>
      <w:sz w:val="32"/>
    </w:rPr>
  </w:style>
  <w:style w:type="character" w:customStyle="1" w:styleId="35">
    <w:name w:val="标题 3 字符"/>
    <w:link w:val="4"/>
    <w:qFormat/>
    <w:locked/>
    <w:uiPriority w:val="99"/>
    <w:rPr>
      <w:rFonts w:cs="黑体" w:asciiTheme="majorEastAsia" w:hAnsiTheme="majorEastAsia" w:eastAsiaTheme="majorEastAsia"/>
      <w:b/>
      <w:bCs/>
      <w:sz w:val="28"/>
      <w:szCs w:val="28"/>
    </w:rPr>
  </w:style>
  <w:style w:type="character" w:customStyle="1" w:styleId="36">
    <w:name w:val="批注文字 字符"/>
    <w:link w:val="6"/>
    <w:semiHidden/>
    <w:qFormat/>
    <w:locked/>
    <w:uiPriority w:val="99"/>
    <w:rPr>
      <w:rFonts w:ascii="Calibri" w:hAnsi="Calibri" w:eastAsia="宋体" w:cs="Times New Roman"/>
      <w:sz w:val="21"/>
    </w:rPr>
  </w:style>
  <w:style w:type="character" w:customStyle="1" w:styleId="37">
    <w:name w:val="日期 字符"/>
    <w:link w:val="9"/>
    <w:semiHidden/>
    <w:qFormat/>
    <w:locked/>
    <w:uiPriority w:val="99"/>
    <w:rPr>
      <w:rFonts w:cs="Times New Roman"/>
      <w:kern w:val="2"/>
      <w:sz w:val="22"/>
      <w:szCs w:val="22"/>
    </w:rPr>
  </w:style>
  <w:style w:type="character" w:customStyle="1" w:styleId="38">
    <w:name w:val="批注框文本 字符"/>
    <w:link w:val="10"/>
    <w:semiHidden/>
    <w:qFormat/>
    <w:locked/>
    <w:uiPriority w:val="99"/>
    <w:rPr>
      <w:rFonts w:cs="Times New Roman"/>
      <w:sz w:val="18"/>
    </w:rPr>
  </w:style>
  <w:style w:type="character" w:customStyle="1" w:styleId="39">
    <w:name w:val="页脚 字符"/>
    <w:link w:val="11"/>
    <w:qFormat/>
    <w:locked/>
    <w:uiPriority w:val="99"/>
    <w:rPr>
      <w:rFonts w:cs="Times New Roman"/>
      <w:sz w:val="18"/>
    </w:rPr>
  </w:style>
  <w:style w:type="character" w:customStyle="1" w:styleId="40">
    <w:name w:val="页眉 字符"/>
    <w:link w:val="12"/>
    <w:qFormat/>
    <w:locked/>
    <w:uiPriority w:val="99"/>
    <w:rPr>
      <w:rFonts w:cs="Times New Roman"/>
      <w:sz w:val="18"/>
    </w:rPr>
  </w:style>
  <w:style w:type="character" w:customStyle="1" w:styleId="41">
    <w:name w:val="段 Char"/>
    <w:link w:val="22"/>
    <w:qFormat/>
    <w:locked/>
    <w:uiPriority w:val="99"/>
    <w:rPr>
      <w:rFonts w:ascii="宋体" w:hAnsi="Times New Roman"/>
      <w:sz w:val="22"/>
    </w:rPr>
  </w:style>
  <w:style w:type="character" w:customStyle="1" w:styleId="42">
    <w:name w:val="占位符文本1"/>
    <w:semiHidden/>
    <w:qFormat/>
    <w:uiPriority w:val="99"/>
    <w:rPr>
      <w:rFonts w:cs="Times New Roman"/>
      <w:color w:val="808080"/>
    </w:rPr>
  </w:style>
  <w:style w:type="character" w:customStyle="1" w:styleId="43">
    <w:name w:val="fontstyle01"/>
    <w:qFormat/>
    <w:uiPriority w:val="0"/>
    <w:rPr>
      <w:rFonts w:ascii="宋体" w:hAnsi="宋体" w:eastAsia="宋体" w:cs="宋体"/>
      <w:color w:val="000000"/>
      <w:sz w:val="22"/>
      <w:szCs w:val="22"/>
    </w:rPr>
  </w:style>
  <w:style w:type="paragraph" w:customStyle="1" w:styleId="44">
    <w:name w:val="一级条标题"/>
    <w:next w:val="22"/>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22"/>
    <w:qFormat/>
    <w:uiPriority w:val="0"/>
    <w:pPr>
      <w:numPr>
        <w:ilvl w:val="2"/>
      </w:numPr>
      <w:spacing w:before="50" w:after="50"/>
      <w:outlineLvl w:val="3"/>
    </w:pPr>
  </w:style>
  <w:style w:type="paragraph" w:customStyle="1" w:styleId="46">
    <w:name w:val="标准文件_章标题"/>
    <w:next w:val="2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7">
    <w:name w:val="标准文件_一级条标题"/>
    <w:basedOn w:val="46"/>
    <w:next w:val="26"/>
    <w:qFormat/>
    <w:uiPriority w:val="0"/>
    <w:pPr>
      <w:numPr>
        <w:ilvl w:val="2"/>
      </w:numPr>
      <w:spacing w:before="50" w:beforeLines="50" w:after="50" w:afterLines="50"/>
      <w:outlineLvl w:val="1"/>
    </w:pPr>
  </w:style>
  <w:style w:type="character" w:customStyle="1" w:styleId="48">
    <w:name w:val="正文文本 字符"/>
    <w:basedOn w:val="17"/>
    <w:link w:val="7"/>
    <w:qFormat/>
    <w:uiPriority w:val="1"/>
    <w:rPr>
      <w:rFonts w:ascii="宋体" w:hAnsi="宋体" w:cs="宋体"/>
      <w:sz w:val="21"/>
      <w:szCs w:val="21"/>
    </w:rPr>
  </w:style>
  <w:style w:type="character" w:customStyle="1" w:styleId="49">
    <w:name w:val="标题 4 字符"/>
    <w:basedOn w:val="17"/>
    <w:link w:val="5"/>
    <w:qFormat/>
    <w:uiPriority w:val="9"/>
    <w:rPr>
      <w:rFonts w:asciiTheme="majorHAnsi" w:hAnsiTheme="majorHAnsi" w:eastAsiaTheme="majorEastAsia" w:cstheme="majorBidi"/>
      <w:b/>
      <w:bCs/>
      <w:kern w:val="2"/>
      <w:sz w:val="28"/>
      <w:szCs w:val="28"/>
    </w:rPr>
  </w:style>
  <w:style w:type="character" w:customStyle="1" w:styleId="50">
    <w:name w:val="apple-converted-space"/>
    <w:basedOn w:val="17"/>
    <w:qFormat/>
    <w:uiPriority w:val="0"/>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styleId="5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4869</Words>
  <Characters>5153</Characters>
  <Lines>732</Lines>
  <Paragraphs>524</Paragraphs>
  <TotalTime>0</TotalTime>
  <ScaleCrop>false</ScaleCrop>
  <LinksUpToDate>false</LinksUpToDate>
  <CharactersWithSpaces>5252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2025-08-20T09:08:00Z</dcterms:created>
  <dc:creator>liu</dc:creator>
  <cp:lastModifiedBy>金鑫</cp:lastModifiedBy>
  <cp:lastPrinted>2020-06-02T08:06:00Z</cp:lastPrinted>
  <dcterms:modified xsi:type="dcterms:W3CDTF">2025-09-22T07:06:57Z</dcterms:modified>
  <dc:title>中国仪器仪表行业协会团体标准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6BA0DACE00F244E2A13E813780E8DF6E_13</vt:lpwstr>
  </property>
  <property fmtid="{D5CDD505-2E9C-101B-9397-08002B2CF9AE}" pid="4" name="KSOTemplateDocerSaveRecord">
    <vt:lpwstr>eyJoZGlkIjoiOTJkNzE3MzJmZGU1YTg4ZmE0NjBlZTViNWY5ZmUyZjQiLCJ1c2VySWQiOiIxNDQ1MTQ3Nzk3In0=</vt:lpwstr>
  </property>
</Properties>
</file>