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79A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Borders>
              <w:tl2br w:val="nil"/>
              <w:tr2bl w:val="nil"/>
            </w:tcBorders>
          </w:tcPr>
          <w:p w14:paraId="1B2C989F">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Borders>
              <w:tl2br w:val="nil"/>
              <w:tr2bl w:val="nil"/>
            </w:tcBorders>
          </w:tcPr>
          <w:p w14:paraId="32EBBE8E">
            <w:pPr>
              <w:pStyle w:val="22"/>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sz w:val="21"/>
                <w:szCs w:val="21"/>
              </w:rPr>
              <w:fldChar w:fldCharType="begin">
                <w:ffData>
                  <w:name w:val="ICS"/>
                  <w:enabled/>
                  <w:calcOnExit w:val="0"/>
                  <w:textInput>
                    <w:default w:val="17.220.2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17.220.20</w:t>
            </w:r>
            <w:r>
              <w:rPr>
                <w:rFonts w:ascii="黑体" w:hAnsi="黑体" w:eastAsia="黑体"/>
                <w:sz w:val="21"/>
                <w:szCs w:val="21"/>
              </w:rPr>
              <w:fldChar w:fldCharType="end"/>
            </w:r>
            <w:bookmarkEnd w:id="0"/>
          </w:p>
        </w:tc>
      </w:tr>
      <w:tr w14:paraId="5EA1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Borders>
              <w:tl2br w:val="nil"/>
              <w:tr2bl w:val="nil"/>
            </w:tcBorders>
          </w:tcPr>
          <w:p w14:paraId="0C4E19E5">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Borders>
              <w:tl2br w:val="nil"/>
              <w:tr2bl w:val="nil"/>
            </w:tcBorders>
          </w:tcPr>
          <w:tbl>
            <w:tblPr>
              <w:tblStyle w:val="30"/>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2D165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7CC72C0">
                  <w:pPr>
                    <w:pStyle w:val="52"/>
                    <w:framePr w:wrap="notBeside" w:vAnchor="page" w:hAnchor="page" w:x="1372" w:y="568"/>
                    <w:ind w:left="420" w:right="624"/>
                    <w:jc w:val="center"/>
                    <w:rPr>
                      <w:rFonts w:ascii="宋体" w:hAnsi="宋体"/>
                      <w:sz w:val="28"/>
                      <w:szCs w:val="28"/>
                    </w:rPr>
                  </w:pPr>
                  <w:r>
                    <w:rPr>
                      <w:rFonts w:hint="eastAsia"/>
                    </w:rPr>
                    <w:t xml:space="preserve">           </w:t>
                  </w: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sz w:val="21"/>
                      <w:szCs w:val="21"/>
                    </w:rPr>
                    <w:t xml:space="preserve"> </w:t>
                  </w:r>
                </w:p>
              </w:tc>
            </w:tr>
          </w:tbl>
          <w:p w14:paraId="6D49A479">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N 20"/>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N 2</w:t>
            </w:r>
            <w:r>
              <w:rPr>
                <w:rFonts w:ascii="黑体" w:hAnsi="黑体" w:eastAsia="黑体"/>
                <w:sz w:val="21"/>
                <w:szCs w:val="21"/>
              </w:rPr>
              <w:fldChar w:fldCharType="end"/>
            </w:r>
            <w:bookmarkEnd w:id="1"/>
            <w:r>
              <w:rPr>
                <w:rFonts w:hint="eastAsia" w:ascii="黑体" w:hAnsi="黑体" w:eastAsia="黑体"/>
                <w:sz w:val="21"/>
                <w:szCs w:val="21"/>
              </w:rPr>
              <w:t>2</w:t>
            </w:r>
          </w:p>
        </w:tc>
      </w:tr>
    </w:tbl>
    <w:p w14:paraId="2397DD46">
      <w:pPr>
        <w:pStyle w:val="53"/>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664DA448">
      <w:pPr>
        <w:pStyle w:val="198"/>
        <w:framePr w:wrap="around"/>
      </w:pPr>
      <w:r>
        <w:t>T/</w:t>
      </w:r>
      <w:bookmarkStart w:id="3" w:name="文字1"/>
      <w:r>
        <w:fldChar w:fldCharType="begin">
          <w:ffData>
            <w:name w:val="文字1"/>
            <w:enabled/>
            <w:calcOnExit w:val="0"/>
            <w:textInput>
              <w:default w:val="CIMA"/>
            </w:textInput>
          </w:ffData>
        </w:fldChar>
      </w:r>
      <w:r>
        <w:instrText xml:space="preserve"> FORMTEXT </w:instrText>
      </w:r>
      <w:r>
        <w:fldChar w:fldCharType="separate"/>
      </w:r>
      <w:r>
        <w:t>CIMA</w:t>
      </w:r>
      <w:r>
        <w:fldChar w:fldCharType="end"/>
      </w:r>
      <w:bookmarkEnd w:id="3"/>
      <w:r>
        <w:t xml:space="preserve"> </w:t>
      </w:r>
      <w:r>
        <w:rPr>
          <w:rFonts w:hint="eastAsia"/>
        </w:rPr>
        <w:t>0079.4</w:t>
      </w:r>
      <w:r>
        <w:rPr>
          <w:rFonts w:hAnsi="黑体"/>
        </w:rPr>
        <w:t>—</w:t>
      </w:r>
      <w:r>
        <w:rPr>
          <w:rFonts w:hint="eastAsia"/>
        </w:rPr>
        <w:t>XXXX</w:t>
      </w:r>
    </w:p>
    <w:p w14:paraId="2F1666F7">
      <w:pPr>
        <w:pStyle w:val="199"/>
        <w:framePr w:wrap="around"/>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31448A9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784C6597">
      <w:pPr>
        <w:pStyle w:val="53"/>
        <w:framePr w:w="9639" w:h="6976" w:hRule="exact" w:hSpace="0" w:vSpace="0" w:wrap="around" w:hAnchor="page" w:y="6408"/>
        <w:jc w:val="center"/>
        <w:rPr>
          <w:rFonts w:ascii="黑体" w:hAnsi="黑体" w:eastAsia="黑体"/>
          <w:b w:val="0"/>
          <w:bCs w:val="0"/>
          <w:w w:val="100"/>
        </w:rPr>
      </w:pPr>
    </w:p>
    <w:p w14:paraId="61FFE3FB">
      <w:pPr>
        <w:pStyle w:val="200"/>
        <w:framePr w:h="6974" w:hRule="exact" w:wrap="around" w:x="1419" w:anchorLock="1"/>
        <w:rPr>
          <w:color w:val="0000FF"/>
          <w:sz w:val="48"/>
          <w:szCs w:val="18"/>
        </w:rPr>
      </w:pPr>
      <w:bookmarkStart w:id="5" w:name="CSTD_NAME"/>
      <w:r>
        <w:rPr>
          <w:sz w:val="48"/>
          <w:szCs w:val="18"/>
        </w:rPr>
        <w:fldChar w:fldCharType="begin">
          <w:ffData>
            <w:name w:val="CSTD_NAME"/>
            <w:enabled/>
            <w:calcOnExit w:val="0"/>
            <w:textInput>
              <w:default w:val="基于电力流的碳排放计量                 第4部分：计量设备检验技术规范"/>
              <w:maxLength w:val="52"/>
            </w:textInput>
          </w:ffData>
        </w:fldChar>
      </w:r>
      <w:r>
        <w:rPr>
          <w:sz w:val="48"/>
          <w:szCs w:val="18"/>
        </w:rPr>
        <w:instrText xml:space="preserve"> FORMTEXT </w:instrText>
      </w:r>
      <w:r>
        <w:rPr>
          <w:sz w:val="48"/>
          <w:szCs w:val="18"/>
        </w:rPr>
        <w:fldChar w:fldCharType="separate"/>
      </w:r>
      <w:r>
        <w:rPr>
          <w:sz w:val="48"/>
          <w:szCs w:val="18"/>
        </w:rPr>
        <w:t>基于电力流的碳排放计量                 第4部分：计量设备检验技术规范</w:t>
      </w:r>
      <w:r>
        <w:rPr>
          <w:sz w:val="48"/>
          <w:szCs w:val="18"/>
        </w:rPr>
        <w:fldChar w:fldCharType="end"/>
      </w:r>
      <w:bookmarkEnd w:id="5"/>
    </w:p>
    <w:p w14:paraId="5BA11129">
      <w:pPr>
        <w:framePr w:w="9639" w:h="6974" w:hRule="exact" w:wrap="around" w:vAnchor="page" w:hAnchor="page" w:x="1419" w:y="6408" w:anchorLock="1"/>
        <w:ind w:left="-1418"/>
      </w:pPr>
    </w:p>
    <w:p w14:paraId="6ACA30B7">
      <w:pPr>
        <w:framePr w:w="9639" w:h="6974" w:hRule="exact" w:wrap="around" w:vAnchor="page" w:hAnchor="page" w:x="1419" w:y="6408" w:anchorLock="1"/>
        <w:spacing w:line="760" w:lineRule="exact"/>
        <w:ind w:left="-1418"/>
      </w:pPr>
    </w:p>
    <w:p w14:paraId="714EC26A">
      <w:pPr>
        <w:pStyle w:val="128"/>
        <w:framePr w:w="9639" w:h="6974" w:hRule="exact" w:wrap="around" w:vAnchor="page" w:hAnchor="page" w:x="1419" w:y="6408" w:anchorLock="1"/>
        <w:textAlignment w:val="bottom"/>
        <w:rPr>
          <w:rFonts w:eastAsia="黑体"/>
          <w:szCs w:val="28"/>
        </w:rPr>
      </w:pPr>
    </w:p>
    <w:p w14:paraId="3E07FB69">
      <w:pPr>
        <w:pStyle w:val="128"/>
        <w:framePr w:w="9639" w:h="6974" w:hRule="exact" w:wrap="around" w:vAnchor="page" w:hAnchor="page" w:x="1419" w:y="6408" w:anchorLock="1"/>
        <w:spacing w:before="180" w:line="240" w:lineRule="atLeast"/>
        <w:textAlignment w:val="bottom"/>
        <w:rPr>
          <w:sz w:val="32"/>
          <w:szCs w:val="32"/>
        </w:rPr>
      </w:pPr>
      <w:r>
        <w:rPr>
          <w:sz w:val="32"/>
          <w:szCs w:val="32"/>
        </w:rPr>
        <w:t xml:space="preserve">Measurement of carbon emission based on </w:t>
      </w:r>
      <w:r>
        <w:rPr>
          <w:rFonts w:hint="eastAsia"/>
          <w:sz w:val="32"/>
          <w:szCs w:val="32"/>
        </w:rPr>
        <w:t>p</w:t>
      </w:r>
      <w:r>
        <w:rPr>
          <w:sz w:val="32"/>
          <w:szCs w:val="32"/>
        </w:rPr>
        <w:t>owerflow</w:t>
      </w:r>
      <w:r>
        <w:rPr>
          <w:rFonts w:hint="eastAsia"/>
          <w:sz w:val="32"/>
          <w:szCs w:val="32"/>
        </w:rPr>
        <w:t>—</w:t>
      </w:r>
    </w:p>
    <w:p w14:paraId="3509845D">
      <w:pPr>
        <w:pStyle w:val="128"/>
        <w:framePr w:w="9639" w:h="6974" w:hRule="exact" w:wrap="around" w:vAnchor="page" w:hAnchor="page" w:x="1419" w:y="6408" w:anchorLock="1"/>
        <w:spacing w:before="180" w:line="240" w:lineRule="atLeast"/>
        <w:textAlignment w:val="bottom"/>
        <w:rPr>
          <w:sz w:val="32"/>
          <w:szCs w:val="32"/>
        </w:rPr>
      </w:pPr>
      <w:r>
        <w:rPr>
          <w:sz w:val="32"/>
          <w:szCs w:val="32"/>
        </w:rPr>
        <w:t xml:space="preserve">Part </w:t>
      </w:r>
      <w:r>
        <w:rPr>
          <w:rFonts w:hint="eastAsia"/>
          <w:sz w:val="32"/>
          <w:szCs w:val="32"/>
        </w:rPr>
        <w:t>4</w:t>
      </w:r>
      <w:r>
        <w:rPr>
          <w:sz w:val="32"/>
          <w:szCs w:val="32"/>
        </w:rPr>
        <w:t>: Technical specification for measuring equipment testing</w:t>
      </w:r>
    </w:p>
    <w:p w14:paraId="2595D0ED">
      <w:pPr>
        <w:pStyle w:val="128"/>
        <w:framePr w:w="9639" w:h="6974" w:hRule="exact" w:wrap="around" w:vAnchor="page" w:hAnchor="page" w:x="1419" w:y="6408" w:anchorLock="1"/>
        <w:spacing w:before="180" w:line="240" w:lineRule="atLeast"/>
        <w:textAlignment w:val="bottom"/>
        <w:rPr>
          <w:sz w:val="32"/>
          <w:szCs w:val="32"/>
        </w:rPr>
      </w:pPr>
    </w:p>
    <w:p w14:paraId="7545935C">
      <w:pPr>
        <w:pStyle w:val="128"/>
        <w:framePr w:w="9639" w:h="6974" w:hRule="exact" w:wrap="around" w:vAnchor="page" w:hAnchor="page" w:x="1419" w:y="6408" w:anchorLock="1"/>
        <w:spacing w:before="180" w:line="240" w:lineRule="atLeast"/>
        <w:textAlignment w:val="bottom"/>
        <w:rPr>
          <w:sz w:val="32"/>
          <w:szCs w:val="32"/>
        </w:rPr>
      </w:pPr>
      <w:r>
        <w:rPr>
          <w:rFonts w:hint="eastAsia"/>
          <w:sz w:val="32"/>
          <w:szCs w:val="32"/>
        </w:rPr>
        <w:t>（征求意见稿）</w:t>
      </w:r>
    </w:p>
    <w:p w14:paraId="0932199F">
      <w:pPr>
        <w:pStyle w:val="125"/>
        <w:framePr w:w="9639" w:h="6974" w:hRule="exact" w:wrap="around" w:vAnchor="page" w:hAnchor="page" w:x="1419" w:y="6408"/>
        <w:rPr>
          <w:rFonts w:ascii="宋体" w:hAnsi="宋体" w:eastAsia="宋体" w:cs="宋体"/>
          <w:sz w:val="21"/>
          <w:szCs w:val="21"/>
        </w:rPr>
      </w:pPr>
      <w:r>
        <w:rPr>
          <w:rFonts w:hint="eastAsia" w:ascii="宋体" w:hAnsi="宋体" w:eastAsia="宋体" w:cs="宋体"/>
          <w:sz w:val="21"/>
          <w:szCs w:val="21"/>
        </w:rPr>
        <w:t>“在您提交反馈意见时，请将您知道的相关专利连同支持性文件一并附上”</w:t>
      </w:r>
    </w:p>
    <w:p w14:paraId="1E89EF4B">
      <w:pPr>
        <w:pStyle w:val="125"/>
        <w:framePr w:w="9639" w:h="6974" w:hRule="exact" w:wrap="around" w:vAnchor="page" w:hAnchor="page" w:x="1419" w:y="6408"/>
        <w:rPr>
          <w:rFonts w:hint="default" w:hAnsi="黑体" w:eastAsia="黑体" w:cs="黑体"/>
          <w:sz w:val="28"/>
          <w:szCs w:val="28"/>
          <w:lang w:val="en-US" w:eastAsia="zh-CN"/>
        </w:rPr>
      </w:pPr>
      <w:r>
        <w:rPr>
          <w:rFonts w:hint="eastAsia" w:hAnsi="黑体" w:cs="黑体"/>
          <w:sz w:val="28"/>
          <w:szCs w:val="28"/>
        </w:rPr>
        <w:t>2025</w:t>
      </w:r>
      <w:r>
        <w:rPr>
          <w:rFonts w:hint="eastAsia" w:hAnsi="黑体" w:cs="黑体"/>
          <w:sz w:val="28"/>
          <w:szCs w:val="28"/>
          <w:lang w:val="en-US" w:eastAsia="zh-CN"/>
        </w:rPr>
        <w:t>0920</w:t>
      </w:r>
    </w:p>
    <w:p w14:paraId="55DB3DB7">
      <w:pPr>
        <w:pStyle w:val="128"/>
        <w:framePr w:w="9639" w:h="6974" w:hRule="exact" w:wrap="around" w:vAnchor="page" w:hAnchor="page" w:x="1419" w:y="6408" w:anchorLock="1"/>
        <w:spacing w:before="180" w:line="240" w:lineRule="atLeast"/>
        <w:textAlignment w:val="bottom"/>
        <w:rPr>
          <w:sz w:val="32"/>
          <w:szCs w:val="32"/>
        </w:rPr>
      </w:pPr>
    </w:p>
    <w:p w14:paraId="17231AED">
      <w:pPr>
        <w:pStyle w:val="196"/>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60C4FE75">
      <w:pPr>
        <w:pStyle w:val="197"/>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34EF95D8">
      <w:pPr>
        <w:pStyle w:val="154"/>
        <w:framePr w:h="584" w:hRule="exact" w:hSpace="181" w:vSpace="181" w:wrap="around" w:y="14800"/>
        <w:rPr>
          <w:rFonts w:hAnsi="黑体"/>
        </w:rPr>
      </w:pPr>
      <w:bookmarkStart w:id="12" w:name="fm"/>
      <w:r>
        <w:rPr>
          <w:rFonts w:hAnsi="黑体"/>
          <w:w w:val="100"/>
          <w:sz w:val="28"/>
        </w:rPr>
        <w:fldChar w:fldCharType="begin">
          <w:ffData>
            <w:name w:val="fm"/>
            <w:enabled/>
            <w:calcOnExit w:val="0"/>
            <w:textInput>
              <w:default w:val="中国仪器仪表行业协会"/>
            </w:textInput>
          </w:ffData>
        </w:fldChar>
      </w:r>
      <w:r>
        <w:rPr>
          <w:rFonts w:hAnsi="黑体"/>
          <w:w w:val="100"/>
          <w:sz w:val="28"/>
        </w:rPr>
        <w:instrText xml:space="preserve"> FORMTEXT </w:instrText>
      </w:r>
      <w:r>
        <w:rPr>
          <w:rFonts w:hAnsi="黑体"/>
          <w:w w:val="100"/>
          <w:sz w:val="28"/>
        </w:rPr>
        <w:fldChar w:fldCharType="separate"/>
      </w:r>
      <w:r>
        <w:rPr>
          <w:rFonts w:hAnsi="黑体"/>
          <w:w w:val="100"/>
          <w:sz w:val="28"/>
        </w:rPr>
        <w:t>中国仪器仪表行业协会</w:t>
      </w:r>
      <w:r>
        <w:rPr>
          <w:rFonts w:hAnsi="黑体"/>
          <w:w w:val="100"/>
          <w:sz w:val="28"/>
        </w:rPr>
        <w:fldChar w:fldCharType="end"/>
      </w:r>
      <w:bookmarkEnd w:id="12"/>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98C189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87C7259">
      <w:pPr>
        <w:jc w:val="center"/>
        <w:outlineLvl w:val="0"/>
        <w:rPr>
          <w:rFonts w:hint="eastAsia" w:ascii="Times New Roman" w:hAnsi="Times New Roman" w:eastAsia="黑体" w:cs="Times New Roman"/>
          <w:color w:val="auto"/>
          <w:kern w:val="0"/>
          <w:sz w:val="32"/>
          <w:szCs w:val="20"/>
        </w:rPr>
      </w:pPr>
      <w:bookmarkStart w:id="13" w:name="_Toc6829"/>
      <w:bookmarkStart w:id="14" w:name="_Toc30484"/>
      <w:bookmarkStart w:id="15" w:name="BookMark2"/>
      <w:r>
        <w:rPr>
          <w:rFonts w:hint="eastAsia" w:ascii="黑体" w:hAnsi="黑体" w:eastAsia="黑体" w:cs="黑体"/>
          <w:sz w:val="32"/>
          <w:szCs w:val="32"/>
        </w:rPr>
        <w:t>目</w:t>
      </w:r>
      <w:r>
        <w:rPr>
          <w:rFonts w:hint="eastAsia" w:ascii="Times New Roman" w:hAnsi="Times New Roman" w:eastAsia="黑体" w:cs="Times New Roman"/>
          <w:color w:val="auto"/>
          <w:kern w:val="0"/>
          <w:sz w:val="32"/>
          <w:szCs w:val="20"/>
        </w:rPr>
        <w:t xml:space="preserve">    次</w:t>
      </w:r>
      <w:bookmarkEnd w:id="13"/>
      <w:bookmarkEnd w:id="14"/>
    </w:p>
    <w:p w14:paraId="636B6398">
      <w:pPr>
        <w:pStyle w:val="28"/>
        <w:tabs>
          <w:tab w:val="right" w:leader="dot" w:pos="9354"/>
          <w:tab w:val="clear" w:pos="9344"/>
        </w:tabs>
        <w:adjustRightInd/>
        <w:spacing w:before="79" w:beforeLines="25" w:after="79" w:afterLines="25" w:line="240" w:lineRule="auto"/>
        <w:jc w:val="center"/>
        <w:rPr>
          <w:rFonts w:ascii="宋体" w:hAnsi="Times New Roman" w:eastAsia="宋体" w:cs="Times New Roman"/>
          <w:sz w:val="21"/>
          <w:szCs w:val="21"/>
        </w:rPr>
      </w:pPr>
    </w:p>
    <w:p w14:paraId="6523A5D4">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TOC \o "1-2" \h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_Toc3000 </w:instrText>
      </w:r>
      <w:r>
        <w:rPr>
          <w:rFonts w:hint="default" w:ascii="Times New Roman" w:hAnsi="Times New Roman" w:cs="Times New Roman"/>
          <w:color w:val="000000" w:themeColor="text1"/>
          <w14:textFill>
            <w14:solidFill>
              <w14:schemeClr w14:val="tx1"/>
            </w14:solidFill>
          </w14:textFill>
        </w:rPr>
        <w:fldChar w:fldCharType="separate"/>
      </w:r>
      <w:r>
        <w:rPr>
          <w:rFonts w:ascii="Times New Roman" w:hAnsi="Times New Roman"/>
          <w:color w:val="000000" w:themeColor="text1"/>
          <w:spacing w:val="0"/>
          <w14:textFill>
            <w14:solidFill>
              <w14:schemeClr w14:val="tx1"/>
            </w14:solidFill>
          </w14:textFill>
        </w:rPr>
        <w:t>前</w:t>
      </w:r>
      <w:r>
        <w:rPr>
          <w:rFonts w:ascii="Times New Roman" w:hAnsi="Times New Roman"/>
          <w:color w:val="000000" w:themeColor="text1"/>
          <w14:textFill>
            <w14:solidFill>
              <w14:schemeClr w14:val="tx1"/>
            </w14:solidFill>
          </w14:textFill>
        </w:rPr>
        <w:t>言</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_Toc3000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II</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B5CDB46">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_Toc13956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olor w:val="000000" w:themeColor="text1"/>
          <w:spacing w:val="0"/>
          <w14:textFill>
            <w14:solidFill>
              <w14:schemeClr w14:val="tx1"/>
            </w14:solidFill>
          </w14:textFill>
        </w:rPr>
        <w:t>引言</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_Toc13956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III</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195668E">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_Toc28424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1 </w:t>
      </w:r>
      <w:r>
        <w:rPr>
          <w:rFonts w:hint="default" w:ascii="Times New Roman" w:hAnsi="Times New Roman"/>
          <w:color w:val="000000" w:themeColor="text1"/>
          <w14:textFill>
            <w14:solidFill>
              <w14:schemeClr w14:val="tx1"/>
            </w14:solidFill>
          </w14:textFill>
        </w:rPr>
        <w:t>范围</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_Toc28424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A8F7709">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_Toc17072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2 </w:t>
      </w:r>
      <w:r>
        <w:rPr>
          <w:rFonts w:hint="default" w:ascii="Times New Roman" w:hAnsi="Times New Roman"/>
          <w:color w:val="000000" w:themeColor="text1"/>
          <w14:textFill>
            <w14:solidFill>
              <w14:schemeClr w14:val="tx1"/>
            </w14:solidFill>
          </w14:textFill>
        </w:rPr>
        <w:t>规范性引用文件</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_Toc17072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B6CF9E8">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_Toc6221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3 </w:t>
      </w:r>
      <w:r>
        <w:rPr>
          <w:rFonts w:hint="default" w:ascii="Times New Roman" w:hAnsi="Times New Roman"/>
          <w:color w:val="000000" w:themeColor="text1"/>
          <w:szCs w:val="21"/>
          <w14:textFill>
            <w14:solidFill>
              <w14:schemeClr w14:val="tx1"/>
            </w14:solidFill>
          </w14:textFill>
        </w:rPr>
        <w:t>术语和定义</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_Toc6221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2BA0823">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_Toc8867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4 </w:t>
      </w:r>
      <w:r>
        <w:rPr>
          <w:rFonts w:hint="default" w:ascii="Times New Roman" w:hAnsi="Times New Roman"/>
          <w:color w:val="000000" w:themeColor="text1"/>
          <w:szCs w:val="21"/>
          <w14:textFill>
            <w14:solidFill>
              <w14:schemeClr w14:val="tx1"/>
            </w14:solidFill>
          </w14:textFill>
        </w:rPr>
        <w:t>检验条件</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_Toc8867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BCE6280">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_Toc6989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5 </w:t>
      </w:r>
      <w:r>
        <w:rPr>
          <w:rFonts w:hint="default" w:ascii="Times New Roman" w:hAnsi="Times New Roman"/>
          <w:color w:val="000000" w:themeColor="text1"/>
          <w:szCs w:val="21"/>
          <w14:textFill>
            <w14:solidFill>
              <w14:schemeClr w14:val="tx1"/>
            </w14:solidFill>
          </w14:textFill>
        </w:rPr>
        <w:t>检验项目</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_Toc6989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00E5A36">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_Toc17956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zCs w:val="21"/>
          <w14:textFill>
            <w14:solidFill>
              <w14:schemeClr w14:val="tx1"/>
            </w14:solidFill>
          </w14:textFill>
        </w:rPr>
        <w:t xml:space="preserve">6 </w:t>
      </w:r>
      <w:r>
        <w:rPr>
          <w:rFonts w:hint="default" w:ascii="Times New Roman" w:hAnsi="Times New Roman"/>
          <w:color w:val="000000" w:themeColor="text1"/>
          <w:szCs w:val="21"/>
          <w14:textFill>
            <w14:solidFill>
              <w14:schemeClr w14:val="tx1"/>
            </w14:solidFill>
          </w14:textFill>
        </w:rPr>
        <w:t>检验规则</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_Toc17956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BF2996C">
      <w:pPr>
        <w:pStyle w:val="23"/>
        <w:tabs>
          <w:tab w:val="right" w:leader="dot" w:pos="9214"/>
        </w:tabs>
        <w:adjustRightInd/>
        <w:spacing w:before="78" w:beforeLines="25" w:after="78" w:afterLines="25" w:line="240" w:lineRule="auto"/>
        <w:ind w:right="-907" w:rightChars="-432"/>
        <w:jc w:val="left"/>
        <w:rPr>
          <w:rFonts w:ascii="Times New Roman" w:hAnsi="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_Toc21711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宋体"/>
          <w:i w:val="0"/>
          <w:color w:val="000000" w:themeColor="text1"/>
          <w:spacing w:val="0"/>
          <w:w w:val="100"/>
          <w14:textFill>
            <w14:solidFill>
              <w14:schemeClr w14:val="tx1"/>
            </w14:solidFill>
          </w14:textFill>
        </w:rPr>
        <w:t>附录A</w:t>
      </w:r>
      <w:r>
        <w:rPr>
          <w:rFonts w:hint="eastAsia" w:ascii="Times New Roman" w:hAnsi="Times New Roman"/>
          <w:i w:val="0"/>
          <w:color w:val="000000" w:themeColor="text1"/>
          <w:spacing w:val="0"/>
          <w:w w:val="100"/>
          <w:lang w:eastAsia="zh-CN"/>
          <w14:textFill>
            <w14:solidFill>
              <w14:schemeClr w14:val="tx1"/>
            </w14:solidFill>
          </w14:textFill>
        </w:rPr>
        <w:t>（</w:t>
      </w:r>
      <w:r>
        <w:rPr>
          <w:rFonts w:hint="eastAsia" w:ascii="Times New Roman" w:hAnsi="Times New Roman"/>
          <w:i w:val="0"/>
          <w:color w:val="000000" w:themeColor="text1"/>
          <w:spacing w:val="0"/>
          <w:w w:val="100"/>
          <w:lang w:val="en-US" w:eastAsia="zh-CN"/>
          <w14:textFill>
            <w14:solidFill>
              <w14:schemeClr w14:val="tx1"/>
            </w14:solidFill>
          </w14:textFill>
        </w:rPr>
        <w:t>资料性</w:t>
      </w:r>
      <w:r>
        <w:rPr>
          <w:rFonts w:hint="eastAsia" w:ascii="Times New Roman" w:hAnsi="Times New Roman"/>
          <w:i w:val="0"/>
          <w:color w:val="000000" w:themeColor="text1"/>
          <w:spacing w:val="0"/>
          <w:w w:val="100"/>
          <w:lang w:eastAsia="zh-CN"/>
          <w14:textFill>
            <w14:solidFill>
              <w14:schemeClr w14:val="tx1"/>
            </w14:solidFill>
          </w14:textFill>
        </w:rPr>
        <w:t>）</w:t>
      </w:r>
      <w:r>
        <w:rPr>
          <w:rFonts w:hint="eastAsia" w:ascii="Times New Roman" w:hAnsi="Times New Roman"/>
          <w:i w:val="0"/>
          <w:color w:val="000000" w:themeColor="text1"/>
          <w:spacing w:val="0"/>
          <w:w w:val="100"/>
          <w:lang w:val="en-US" w:eastAsia="zh-CN"/>
          <w14:textFill>
            <w14:solidFill>
              <w14:schemeClr w14:val="tx1"/>
            </w14:solidFill>
          </w14:textFill>
        </w:rPr>
        <w:t>检验项目明细表</w:t>
      </w:r>
      <w:r>
        <w:rPr>
          <w:rFonts w:hint="default" w:ascii="Times New Roman" w:hAnsi="Times New Roman" w:eastAsia="宋体"/>
          <w:i w:val="0"/>
          <w:color w:val="000000" w:themeColor="text1"/>
          <w:spacing w:val="0"/>
          <w:w w:val="100"/>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_Toc21711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C928136">
      <w:pPr>
        <w:pStyle w:val="23"/>
        <w:tabs>
          <w:tab w:val="right" w:leader="dot" w:pos="9214"/>
        </w:tabs>
        <w:adjustRightInd/>
        <w:spacing w:before="78" w:beforeLines="25" w:after="78" w:afterLines="25" w:line="240" w:lineRule="auto"/>
        <w:ind w:left="5" w:right="-907" w:rightChars="-432"/>
        <w:jc w:val="left"/>
      </w:pPr>
      <w:r>
        <w:rPr>
          <w:rFonts w:hint="default" w:ascii="Times New Roman" w:hAnsi="Times New Roman" w:cs="Times New Roman"/>
          <w:color w:val="000000" w:themeColor="text1"/>
          <w14:textFill>
            <w14:solidFill>
              <w14:schemeClr w14:val="tx1"/>
            </w14:solidFill>
          </w14:textFill>
        </w:rPr>
        <w:fldChar w:fldCharType="end"/>
      </w:r>
    </w:p>
    <w:p w14:paraId="68848DC6">
      <w:pPr>
        <w:pStyle w:val="92"/>
        <w:spacing w:after="360"/>
        <w:ind w:left="5" w:hanging="5"/>
        <w:outlineLvl w:val="9"/>
      </w:pPr>
    </w:p>
    <w:p w14:paraId="05AD0632">
      <w:pPr>
        <w:pStyle w:val="92"/>
        <w:spacing w:after="360"/>
        <w:ind w:left="5" w:hanging="5"/>
        <w:outlineLvl w:val="9"/>
      </w:pPr>
    </w:p>
    <w:p w14:paraId="61A10F50">
      <w:pPr>
        <w:pStyle w:val="92"/>
        <w:spacing w:after="360"/>
        <w:ind w:left="5" w:hanging="5"/>
        <w:outlineLvl w:val="9"/>
      </w:pPr>
    </w:p>
    <w:p w14:paraId="575867E3">
      <w:pPr>
        <w:pStyle w:val="92"/>
        <w:spacing w:after="360"/>
        <w:ind w:left="5" w:hanging="5"/>
        <w:outlineLvl w:val="9"/>
      </w:pPr>
    </w:p>
    <w:p w14:paraId="410CC6DC"/>
    <w:p w14:paraId="45665C31">
      <w:pPr>
        <w:pStyle w:val="92"/>
        <w:spacing w:after="360"/>
        <w:ind w:left="6" w:hanging="6"/>
        <w:outlineLvl w:val="9"/>
      </w:pPr>
    </w:p>
    <w:p w14:paraId="354B2DE9">
      <w:pPr>
        <w:pStyle w:val="92"/>
        <w:spacing w:after="360"/>
        <w:ind w:left="6" w:hanging="6"/>
        <w:outlineLvl w:val="9"/>
      </w:pPr>
    </w:p>
    <w:p w14:paraId="149EE894">
      <w:pPr>
        <w:pStyle w:val="92"/>
        <w:spacing w:after="360"/>
        <w:ind w:left="6" w:hanging="6"/>
        <w:outlineLvl w:val="9"/>
      </w:pPr>
    </w:p>
    <w:p w14:paraId="38F82DBA">
      <w:pPr>
        <w:spacing w:after="360"/>
        <w:ind w:left="5"/>
      </w:pPr>
      <w:bookmarkStart w:id="16" w:name="_Toc22896"/>
      <w:bookmarkStart w:id="17" w:name="_Toc3000"/>
      <w:r>
        <w:rPr>
          <w:spacing w:val="320"/>
        </w:rPr>
        <w:br w:type="page"/>
      </w:r>
    </w:p>
    <w:p w14:paraId="0406BB1A">
      <w:pPr>
        <w:pStyle w:val="92"/>
        <w:spacing w:after="360"/>
        <w:ind w:left="5" w:hanging="5"/>
      </w:pPr>
      <w:r>
        <w:rPr>
          <w:spacing w:val="320"/>
        </w:rPr>
        <w:t>前</w:t>
      </w:r>
      <w:r>
        <w:t>言</w:t>
      </w:r>
      <w:bookmarkEnd w:id="16"/>
      <w:bookmarkEnd w:id="17"/>
    </w:p>
    <w:p w14:paraId="13539895">
      <w:pPr>
        <w:pStyle w:val="59"/>
        <w:ind w:firstLine="420"/>
      </w:pPr>
      <w:r>
        <w:rPr>
          <w:rFonts w:hint="eastAsia"/>
        </w:rPr>
        <w:t>本文件按照GB/T 1.1—2020《标准化工作导则  第1部分：标准化文件的结构和起草规则》的规定起草。</w:t>
      </w:r>
    </w:p>
    <w:p w14:paraId="28D06127">
      <w:pPr>
        <w:pStyle w:val="59"/>
        <w:ind w:firstLine="420"/>
      </w:pPr>
      <w:r>
        <w:rPr>
          <w:rFonts w:hint="eastAsia"/>
        </w:rPr>
        <w:t>本文件是T/CIMA 0079 《基于电力流的碳排放计量》的第4部分。</w:t>
      </w:r>
      <w:r>
        <w:t xml:space="preserve">T/CIMA 0079 </w:t>
      </w:r>
      <w:r>
        <w:rPr>
          <w:rFonts w:hint="eastAsia"/>
        </w:rPr>
        <w:t>已经发布了以下部分：</w:t>
      </w:r>
    </w:p>
    <w:p w14:paraId="56ADCF41">
      <w:pPr>
        <w:pStyle w:val="59"/>
        <w:ind w:firstLine="420"/>
      </w:pPr>
      <w:r>
        <w:rPr>
          <w:rFonts w:hint="eastAsia"/>
        </w:rPr>
        <w:t>——第1部分：计量模型。</w:t>
      </w:r>
    </w:p>
    <w:p w14:paraId="6BF1C065">
      <w:pPr>
        <w:pStyle w:val="59"/>
        <w:ind w:firstLine="420"/>
      </w:pPr>
      <w:r>
        <w:rPr>
          <w:rFonts w:hint="eastAsia"/>
        </w:rPr>
        <w:t>请注意本文件的某些内容可能涉及专利。本文件的的发布机构不承担识别专利的责任。</w:t>
      </w:r>
    </w:p>
    <w:p w14:paraId="6E98FC98">
      <w:pPr>
        <w:pStyle w:val="59"/>
        <w:ind w:firstLine="420"/>
      </w:pPr>
      <w:r>
        <w:rPr>
          <w:rFonts w:hint="eastAsia"/>
        </w:rPr>
        <w:t>本文件由中国仪器仪表行业协会电工仪器仪表分会提出。</w:t>
      </w:r>
    </w:p>
    <w:p w14:paraId="76F2C58E">
      <w:pPr>
        <w:pStyle w:val="59"/>
        <w:ind w:firstLine="420"/>
      </w:pPr>
      <w:r>
        <w:rPr>
          <w:rFonts w:hint="eastAsia"/>
        </w:rPr>
        <w:t>本文件由中国仪器仪表行业协会归口。</w:t>
      </w:r>
    </w:p>
    <w:p w14:paraId="72D4801A">
      <w:pPr>
        <w:pStyle w:val="59"/>
        <w:ind w:firstLine="420"/>
      </w:pPr>
      <w:r>
        <w:rPr>
          <w:rFonts w:hint="eastAsia"/>
        </w:rPr>
        <w:t>本文件起草单位：国网安徽省电力有限公司营销服务中心、哈尔滨电工仪表研究所有限公司、国网安徽省电力有限公司、中国能源建设集团安徽省电力设计院有限公司、合肥工业大学、国网安徽综合能源服务有限公司、国网省电力有限公司经济技术研究院、国网宁夏电力有限公司中卫供电公司、安徽南瑞中天电力电子有限公司、威胜集团有限公司等。</w:t>
      </w:r>
    </w:p>
    <w:p w14:paraId="18AC5450">
      <w:pPr>
        <w:pStyle w:val="233"/>
        <w:tabs>
          <w:tab w:val="center" w:pos="4201"/>
          <w:tab w:val="right" w:leader="dot" w:pos="9298"/>
        </w:tabs>
        <w:autoSpaceDE w:val="0"/>
        <w:autoSpaceDN w:val="0"/>
        <w:spacing w:line="360" w:lineRule="auto"/>
        <w:ind w:firstLine="420"/>
        <w:rPr>
          <w:rFonts w:hAnsi="宋体" w:cs="宋体"/>
          <w:szCs w:val="22"/>
        </w:rPr>
      </w:pPr>
      <w:r>
        <w:rPr>
          <w:rFonts w:hint="eastAsia" w:hAnsi="Times New Roman" w:cs="Times New Roman"/>
        </w:rPr>
        <w:t>本文件主要起草人：</w:t>
      </w:r>
      <w:r>
        <w:rPr>
          <w:rFonts w:hint="eastAsia" w:hAnsi="Times New Roman" w:cs="Times New Roman"/>
          <w:lang w:val="en-US" w:eastAsia="zh-CN"/>
        </w:rPr>
        <w:t>蔺菲、刘辉舟、刘献成、于雷、金鑫、何海洋、张倩、单永梅、金义、张光亚、嵇爱琼、郭立勇等</w:t>
      </w:r>
      <w:r>
        <w:rPr>
          <w:rFonts w:hint="eastAsia" w:hAnsi="Times New Roman" w:cs="Times New Roman"/>
        </w:rPr>
        <w:t>。</w:t>
      </w:r>
    </w:p>
    <w:p w14:paraId="442F38AF">
      <w:pPr>
        <w:pStyle w:val="233"/>
        <w:tabs>
          <w:tab w:val="center" w:pos="4201"/>
          <w:tab w:val="right" w:leader="dot" w:pos="9298"/>
        </w:tabs>
        <w:autoSpaceDE w:val="0"/>
        <w:autoSpaceDN w:val="0"/>
        <w:spacing w:line="360" w:lineRule="auto"/>
        <w:ind w:firstLine="420"/>
        <w:rPr>
          <w:rFonts w:hAnsi="宋体" w:cs="宋体"/>
          <w:szCs w:val="22"/>
        </w:rPr>
      </w:pPr>
      <w:bookmarkStart w:id="107" w:name="_GoBack"/>
      <w:bookmarkEnd w:id="107"/>
    </w:p>
    <w:p w14:paraId="1A670C3C">
      <w:pPr>
        <w:pStyle w:val="233"/>
        <w:tabs>
          <w:tab w:val="center" w:pos="4201"/>
          <w:tab w:val="right" w:leader="dot" w:pos="9298"/>
        </w:tabs>
        <w:autoSpaceDE w:val="0"/>
        <w:autoSpaceDN w:val="0"/>
        <w:spacing w:line="360" w:lineRule="auto"/>
        <w:ind w:firstLine="420"/>
        <w:rPr>
          <w:rFonts w:hAnsi="宋体" w:cs="宋体"/>
          <w:szCs w:val="22"/>
        </w:rPr>
      </w:pPr>
    </w:p>
    <w:p w14:paraId="0FC6C7C0">
      <w:pPr>
        <w:pStyle w:val="233"/>
        <w:tabs>
          <w:tab w:val="center" w:pos="4201"/>
          <w:tab w:val="right" w:leader="dot" w:pos="9298"/>
        </w:tabs>
        <w:autoSpaceDE w:val="0"/>
        <w:autoSpaceDN w:val="0"/>
        <w:spacing w:line="360" w:lineRule="auto"/>
        <w:ind w:firstLine="420"/>
        <w:rPr>
          <w:rFonts w:hAnsi="宋体" w:cs="宋体"/>
          <w:szCs w:val="22"/>
        </w:rPr>
      </w:pPr>
    </w:p>
    <w:p w14:paraId="1C220FE8">
      <w:pPr>
        <w:pStyle w:val="233"/>
        <w:tabs>
          <w:tab w:val="center" w:pos="4201"/>
          <w:tab w:val="right" w:leader="dot" w:pos="9298"/>
        </w:tabs>
        <w:autoSpaceDE w:val="0"/>
        <w:autoSpaceDN w:val="0"/>
        <w:spacing w:line="360" w:lineRule="auto"/>
        <w:ind w:firstLine="420"/>
        <w:rPr>
          <w:rFonts w:hAnsi="宋体" w:cs="宋体"/>
          <w:szCs w:val="22"/>
        </w:rPr>
      </w:pPr>
    </w:p>
    <w:p w14:paraId="75543D0C">
      <w:pPr>
        <w:pStyle w:val="233"/>
        <w:tabs>
          <w:tab w:val="center" w:pos="4201"/>
          <w:tab w:val="right" w:leader="dot" w:pos="9298"/>
        </w:tabs>
        <w:autoSpaceDE w:val="0"/>
        <w:autoSpaceDN w:val="0"/>
        <w:spacing w:line="360" w:lineRule="auto"/>
        <w:ind w:firstLine="420"/>
        <w:rPr>
          <w:rFonts w:hAnsi="宋体" w:cs="宋体"/>
          <w:szCs w:val="22"/>
        </w:rPr>
      </w:pPr>
    </w:p>
    <w:p w14:paraId="36183D6A">
      <w:pPr>
        <w:pStyle w:val="233"/>
        <w:tabs>
          <w:tab w:val="center" w:pos="4201"/>
          <w:tab w:val="right" w:leader="dot" w:pos="9298"/>
        </w:tabs>
        <w:autoSpaceDE w:val="0"/>
        <w:autoSpaceDN w:val="0"/>
        <w:spacing w:line="360" w:lineRule="auto"/>
        <w:ind w:firstLine="420"/>
        <w:rPr>
          <w:rFonts w:hAnsi="宋体" w:cs="宋体"/>
          <w:szCs w:val="22"/>
        </w:rPr>
      </w:pPr>
    </w:p>
    <w:p w14:paraId="611F3A77">
      <w:pPr>
        <w:pStyle w:val="233"/>
        <w:tabs>
          <w:tab w:val="center" w:pos="4201"/>
          <w:tab w:val="right" w:leader="dot" w:pos="9298"/>
        </w:tabs>
        <w:autoSpaceDE w:val="0"/>
        <w:autoSpaceDN w:val="0"/>
        <w:spacing w:line="360" w:lineRule="auto"/>
        <w:ind w:firstLine="420"/>
        <w:rPr>
          <w:rFonts w:hAnsi="宋体" w:cs="宋体"/>
          <w:szCs w:val="22"/>
        </w:rPr>
      </w:pPr>
    </w:p>
    <w:p w14:paraId="2245D453">
      <w:pPr>
        <w:pStyle w:val="233"/>
        <w:tabs>
          <w:tab w:val="center" w:pos="4201"/>
          <w:tab w:val="right" w:leader="dot" w:pos="9298"/>
        </w:tabs>
        <w:autoSpaceDE w:val="0"/>
        <w:autoSpaceDN w:val="0"/>
        <w:spacing w:line="360" w:lineRule="auto"/>
        <w:ind w:firstLine="420"/>
        <w:rPr>
          <w:rFonts w:hAnsi="宋体" w:cs="宋体"/>
          <w:szCs w:val="22"/>
        </w:rPr>
      </w:pPr>
    </w:p>
    <w:p w14:paraId="071BAFA1">
      <w:pPr>
        <w:pStyle w:val="233"/>
        <w:tabs>
          <w:tab w:val="center" w:pos="4201"/>
          <w:tab w:val="right" w:leader="dot" w:pos="9298"/>
        </w:tabs>
        <w:autoSpaceDE w:val="0"/>
        <w:autoSpaceDN w:val="0"/>
        <w:spacing w:line="360" w:lineRule="auto"/>
        <w:ind w:firstLine="420"/>
        <w:rPr>
          <w:rFonts w:hAnsi="宋体" w:cs="宋体"/>
          <w:szCs w:val="22"/>
        </w:rPr>
      </w:pPr>
    </w:p>
    <w:p w14:paraId="0945E9C6">
      <w:pPr>
        <w:pStyle w:val="233"/>
        <w:tabs>
          <w:tab w:val="center" w:pos="4201"/>
          <w:tab w:val="right" w:leader="dot" w:pos="9298"/>
        </w:tabs>
        <w:autoSpaceDE w:val="0"/>
        <w:autoSpaceDN w:val="0"/>
        <w:spacing w:line="360" w:lineRule="auto"/>
        <w:ind w:firstLine="420"/>
        <w:rPr>
          <w:rFonts w:hAnsi="宋体" w:cs="宋体"/>
          <w:szCs w:val="22"/>
        </w:rPr>
      </w:pPr>
    </w:p>
    <w:p w14:paraId="4481CB10">
      <w:pPr>
        <w:pStyle w:val="233"/>
        <w:tabs>
          <w:tab w:val="center" w:pos="4201"/>
          <w:tab w:val="right" w:leader="dot" w:pos="9298"/>
        </w:tabs>
        <w:autoSpaceDE w:val="0"/>
        <w:autoSpaceDN w:val="0"/>
        <w:spacing w:line="360" w:lineRule="auto"/>
        <w:ind w:firstLine="420"/>
        <w:rPr>
          <w:rFonts w:hAnsi="宋体" w:cs="宋体"/>
          <w:szCs w:val="22"/>
        </w:rPr>
      </w:pPr>
    </w:p>
    <w:p w14:paraId="41193661">
      <w:pPr>
        <w:pStyle w:val="233"/>
        <w:tabs>
          <w:tab w:val="center" w:pos="4201"/>
          <w:tab w:val="right" w:leader="dot" w:pos="9298"/>
        </w:tabs>
        <w:autoSpaceDE w:val="0"/>
        <w:autoSpaceDN w:val="0"/>
        <w:spacing w:line="360" w:lineRule="auto"/>
        <w:ind w:firstLine="420"/>
        <w:rPr>
          <w:rFonts w:hAnsi="宋体" w:cs="宋体"/>
          <w:szCs w:val="22"/>
        </w:rPr>
      </w:pPr>
    </w:p>
    <w:p w14:paraId="7A5963DE">
      <w:pPr>
        <w:pStyle w:val="233"/>
        <w:tabs>
          <w:tab w:val="center" w:pos="4201"/>
          <w:tab w:val="right" w:leader="dot" w:pos="9298"/>
        </w:tabs>
        <w:autoSpaceDE w:val="0"/>
        <w:autoSpaceDN w:val="0"/>
        <w:spacing w:line="360" w:lineRule="auto"/>
        <w:ind w:firstLine="420"/>
        <w:rPr>
          <w:rFonts w:hAnsi="宋体" w:cs="宋体"/>
          <w:szCs w:val="22"/>
        </w:rPr>
      </w:pPr>
    </w:p>
    <w:p w14:paraId="2DD04A4E">
      <w:pPr>
        <w:pStyle w:val="233"/>
        <w:tabs>
          <w:tab w:val="center" w:pos="4201"/>
          <w:tab w:val="right" w:leader="dot" w:pos="9298"/>
        </w:tabs>
        <w:autoSpaceDE w:val="0"/>
        <w:autoSpaceDN w:val="0"/>
        <w:spacing w:line="360" w:lineRule="auto"/>
        <w:ind w:firstLine="420"/>
        <w:rPr>
          <w:rFonts w:hAnsi="宋体" w:cs="宋体"/>
          <w:szCs w:val="22"/>
        </w:rPr>
      </w:pPr>
    </w:p>
    <w:p w14:paraId="65C7F7E1">
      <w:pPr>
        <w:pStyle w:val="233"/>
        <w:tabs>
          <w:tab w:val="center" w:pos="4201"/>
          <w:tab w:val="right" w:leader="dot" w:pos="9298"/>
        </w:tabs>
        <w:autoSpaceDE w:val="0"/>
        <w:autoSpaceDN w:val="0"/>
        <w:spacing w:line="360" w:lineRule="auto"/>
        <w:ind w:firstLine="420"/>
        <w:rPr>
          <w:rFonts w:hAnsi="宋体" w:cs="宋体"/>
          <w:szCs w:val="22"/>
        </w:rPr>
      </w:pPr>
    </w:p>
    <w:p w14:paraId="3FFDAB2D">
      <w:pPr>
        <w:pStyle w:val="233"/>
        <w:tabs>
          <w:tab w:val="center" w:pos="4201"/>
          <w:tab w:val="right" w:leader="dot" w:pos="9298"/>
        </w:tabs>
        <w:autoSpaceDE w:val="0"/>
        <w:autoSpaceDN w:val="0"/>
        <w:spacing w:line="360" w:lineRule="auto"/>
        <w:ind w:firstLine="420"/>
        <w:rPr>
          <w:rFonts w:hAnsi="宋体" w:cs="宋体"/>
          <w:szCs w:val="22"/>
        </w:rPr>
      </w:pPr>
    </w:p>
    <w:p w14:paraId="6AB3E695">
      <w:pPr>
        <w:pStyle w:val="233"/>
        <w:tabs>
          <w:tab w:val="center" w:pos="4201"/>
          <w:tab w:val="right" w:leader="dot" w:pos="9298"/>
        </w:tabs>
        <w:autoSpaceDE w:val="0"/>
        <w:autoSpaceDN w:val="0"/>
        <w:spacing w:line="360" w:lineRule="auto"/>
        <w:ind w:firstLine="420"/>
        <w:rPr>
          <w:rFonts w:hAnsi="宋体" w:cs="宋体"/>
          <w:szCs w:val="22"/>
        </w:rPr>
      </w:pPr>
    </w:p>
    <w:p w14:paraId="3DFAD6C7">
      <w:pPr>
        <w:pStyle w:val="233"/>
        <w:tabs>
          <w:tab w:val="center" w:pos="4201"/>
          <w:tab w:val="right" w:leader="dot" w:pos="9298"/>
        </w:tabs>
        <w:autoSpaceDE w:val="0"/>
        <w:autoSpaceDN w:val="0"/>
        <w:spacing w:line="360" w:lineRule="auto"/>
        <w:ind w:firstLine="420"/>
        <w:rPr>
          <w:rFonts w:hAnsi="宋体" w:cs="宋体"/>
          <w:szCs w:val="22"/>
        </w:rPr>
      </w:pPr>
    </w:p>
    <w:p w14:paraId="0E161FBD">
      <w:pPr>
        <w:pStyle w:val="233"/>
        <w:tabs>
          <w:tab w:val="center" w:pos="4201"/>
          <w:tab w:val="right" w:leader="dot" w:pos="9298"/>
        </w:tabs>
        <w:autoSpaceDE w:val="0"/>
        <w:autoSpaceDN w:val="0"/>
        <w:spacing w:line="360" w:lineRule="auto"/>
        <w:ind w:firstLine="420"/>
        <w:rPr>
          <w:rFonts w:hAnsi="宋体" w:cs="宋体"/>
          <w:szCs w:val="22"/>
        </w:rPr>
      </w:pPr>
    </w:p>
    <w:p w14:paraId="230ADF51">
      <w:pPr>
        <w:pStyle w:val="233"/>
        <w:tabs>
          <w:tab w:val="center" w:pos="4201"/>
          <w:tab w:val="right" w:leader="dot" w:pos="9298"/>
        </w:tabs>
        <w:autoSpaceDE w:val="0"/>
        <w:autoSpaceDN w:val="0"/>
        <w:spacing w:line="360" w:lineRule="auto"/>
        <w:ind w:firstLine="420"/>
        <w:rPr>
          <w:rFonts w:hAnsi="宋体" w:cs="宋体"/>
          <w:szCs w:val="22"/>
        </w:rPr>
      </w:pPr>
    </w:p>
    <w:p w14:paraId="4AF547DB">
      <w:pPr>
        <w:pStyle w:val="92"/>
        <w:spacing w:after="360"/>
        <w:ind w:left="5" w:hanging="5"/>
        <w:rPr>
          <w:spacing w:val="320"/>
        </w:rPr>
      </w:pPr>
      <w:bookmarkStart w:id="18" w:name="_Toc23684"/>
      <w:bookmarkStart w:id="19" w:name="_Toc13956"/>
      <w:r>
        <w:rPr>
          <w:rFonts w:hint="eastAsia"/>
          <w:spacing w:val="320"/>
        </w:rPr>
        <w:t>引言</w:t>
      </w:r>
      <w:bookmarkEnd w:id="18"/>
      <w:bookmarkEnd w:id="19"/>
    </w:p>
    <w:p w14:paraId="1C414FF3">
      <w:pPr>
        <w:pStyle w:val="59"/>
        <w:ind w:firstLine="420"/>
      </w:pPr>
      <w:r>
        <w:rPr>
          <w:rFonts w:hint="eastAsia"/>
        </w:rPr>
        <w:t>T/CIMA 0079《基于电力流的碳排放计量》由下列5个部分构成。</w:t>
      </w:r>
    </w:p>
    <w:p w14:paraId="3FA83264">
      <w:pPr>
        <w:pStyle w:val="59"/>
        <w:ind w:firstLine="420"/>
      </w:pPr>
      <w:r>
        <w:rPr>
          <w:rFonts w:hint="eastAsia"/>
        </w:rPr>
        <w:t>——第1部分：计量模型。目的在于规定基于电力流的碳排放计量体系和计量模型，确立发电</w:t>
      </w:r>
    </w:p>
    <w:p w14:paraId="6B1A050E">
      <w:pPr>
        <w:pStyle w:val="59"/>
        <w:ind w:firstLine="840" w:firstLineChars="400"/>
      </w:pPr>
      <w:r>
        <w:rPr>
          <w:rFonts w:hint="eastAsia"/>
        </w:rPr>
        <w:t>侧上网关口、输配电线路、负荷侧的碳排放计量方法。</w:t>
      </w:r>
    </w:p>
    <w:p w14:paraId="49CF7317">
      <w:pPr>
        <w:pStyle w:val="59"/>
        <w:ind w:firstLine="420"/>
      </w:pPr>
      <w:r>
        <w:rPr>
          <w:rFonts w:hint="eastAsia"/>
        </w:rPr>
        <w:t>——第2部分：计量设备。目的在于规范基于电力流的碳排放计量设备的分类、性能要求和功</w:t>
      </w:r>
    </w:p>
    <w:p w14:paraId="3DDB9978">
      <w:pPr>
        <w:pStyle w:val="59"/>
        <w:ind w:firstLine="840" w:firstLineChars="400"/>
      </w:pPr>
      <w:r>
        <w:rPr>
          <w:rFonts w:hint="eastAsia"/>
        </w:rPr>
        <w:t>能要求，确立碳排放计量设备需要遵循的相关规则。</w:t>
      </w:r>
    </w:p>
    <w:p w14:paraId="7D9CF814">
      <w:pPr>
        <w:pStyle w:val="59"/>
        <w:ind w:firstLine="420"/>
      </w:pPr>
      <w:r>
        <w:rPr>
          <w:rFonts w:hint="eastAsia"/>
        </w:rPr>
        <w:t>——第3部分：计量系统。目的在于规范基于电力流的碳排放计量系统的通用要求和功能要求，</w:t>
      </w:r>
    </w:p>
    <w:p w14:paraId="40EBB8F4">
      <w:pPr>
        <w:pStyle w:val="59"/>
        <w:ind w:firstLine="840" w:firstLineChars="400"/>
      </w:pPr>
      <w:r>
        <w:rPr>
          <w:rFonts w:hint="eastAsia"/>
        </w:rPr>
        <w:t>确立碳排放计量系统需要遵循的相关规则。</w:t>
      </w:r>
    </w:p>
    <w:p w14:paraId="77F27BFB">
      <w:pPr>
        <w:pStyle w:val="59"/>
        <w:ind w:left="840" w:leftChars="200" w:hanging="420" w:hangingChars="200"/>
      </w:pPr>
      <w:r>
        <w:rPr>
          <w:rFonts w:hint="eastAsia"/>
        </w:rPr>
        <w:t>——第4部分：计量设备检验技术规范。目的在于规范基于电力流的碳排放计量设备的检验条件和检验项目的技术要求，确立碳排放计量设备检验需要遵循的检验规则。</w:t>
      </w:r>
    </w:p>
    <w:p w14:paraId="4AE0779A">
      <w:pPr>
        <w:pStyle w:val="59"/>
        <w:ind w:firstLine="420"/>
      </w:pPr>
      <w:r>
        <w:rPr>
          <w:rFonts w:hint="eastAsia"/>
        </w:rPr>
        <w:t>——第5部分：计量监测系统建设指南。目的在于规范基于电力流的碳排放计量监测系统建设的总</w:t>
      </w:r>
    </w:p>
    <w:p w14:paraId="5BD5629F">
      <w:pPr>
        <w:pStyle w:val="59"/>
        <w:ind w:firstLine="840" w:firstLineChars="400"/>
      </w:pPr>
      <w:r>
        <w:rPr>
          <w:rFonts w:hint="eastAsia"/>
        </w:rPr>
        <w:t>则、系统构建及功能性能等方面的指导和建议，确立碳排放计量监测系统建设需要遵循的相关</w:t>
      </w:r>
    </w:p>
    <w:p w14:paraId="6DC42BEC">
      <w:pPr>
        <w:pStyle w:val="59"/>
        <w:autoSpaceDE w:val="0"/>
        <w:autoSpaceDN w:val="0"/>
        <w:ind w:firstLine="840" w:firstLineChars="400"/>
        <w:rPr>
          <w:rFonts w:hAnsi="宋体" w:cs="宋体"/>
          <w:szCs w:val="22"/>
        </w:rPr>
      </w:pPr>
      <w:r>
        <w:rPr>
          <w:rFonts w:hint="eastAsia"/>
        </w:rPr>
        <w:t>规则。</w:t>
      </w:r>
    </w:p>
    <w:p w14:paraId="60913F72">
      <w:pPr>
        <w:pStyle w:val="233"/>
        <w:tabs>
          <w:tab w:val="center" w:pos="4201"/>
          <w:tab w:val="right" w:leader="dot" w:pos="9298"/>
        </w:tabs>
        <w:autoSpaceDE w:val="0"/>
        <w:autoSpaceDN w:val="0"/>
        <w:spacing w:line="360" w:lineRule="auto"/>
        <w:ind w:firstLine="420"/>
        <w:rPr>
          <w:rFonts w:hAnsi="宋体" w:cs="宋体"/>
          <w:szCs w:val="22"/>
        </w:rPr>
      </w:pPr>
    </w:p>
    <w:p w14:paraId="04B3407D">
      <w:pPr>
        <w:pStyle w:val="233"/>
        <w:tabs>
          <w:tab w:val="center" w:pos="4201"/>
          <w:tab w:val="right" w:leader="dot" w:pos="9298"/>
        </w:tabs>
        <w:autoSpaceDE w:val="0"/>
        <w:autoSpaceDN w:val="0"/>
        <w:spacing w:line="360" w:lineRule="auto"/>
        <w:ind w:firstLine="420"/>
        <w:rPr>
          <w:rFonts w:hAnsi="宋体" w:cs="宋体"/>
          <w:szCs w:val="22"/>
        </w:rPr>
      </w:pPr>
    </w:p>
    <w:p w14:paraId="1C7ADC94">
      <w:pPr>
        <w:pStyle w:val="233"/>
        <w:tabs>
          <w:tab w:val="center" w:pos="4201"/>
          <w:tab w:val="right" w:leader="dot" w:pos="9298"/>
        </w:tabs>
        <w:autoSpaceDE w:val="0"/>
        <w:autoSpaceDN w:val="0"/>
        <w:spacing w:line="360" w:lineRule="auto"/>
        <w:ind w:firstLine="420"/>
        <w:rPr>
          <w:rFonts w:hAnsi="宋体" w:cs="宋体"/>
          <w:szCs w:val="22"/>
        </w:rPr>
      </w:pPr>
    </w:p>
    <w:p w14:paraId="4BBB1E72">
      <w:pPr>
        <w:pStyle w:val="233"/>
        <w:tabs>
          <w:tab w:val="center" w:pos="4201"/>
          <w:tab w:val="right" w:leader="dot" w:pos="9298"/>
        </w:tabs>
        <w:autoSpaceDE w:val="0"/>
        <w:autoSpaceDN w:val="0"/>
        <w:spacing w:line="360" w:lineRule="auto"/>
        <w:ind w:firstLine="420"/>
        <w:rPr>
          <w:rFonts w:hAnsi="宋体" w:cs="宋体"/>
          <w:szCs w:val="22"/>
        </w:rPr>
      </w:pPr>
    </w:p>
    <w:p w14:paraId="52F91D7F">
      <w:pPr>
        <w:pStyle w:val="233"/>
        <w:tabs>
          <w:tab w:val="center" w:pos="4201"/>
          <w:tab w:val="right" w:leader="dot" w:pos="9298"/>
        </w:tabs>
        <w:autoSpaceDE w:val="0"/>
        <w:autoSpaceDN w:val="0"/>
        <w:spacing w:line="360" w:lineRule="auto"/>
        <w:ind w:firstLine="420"/>
        <w:rPr>
          <w:rFonts w:hAnsi="宋体" w:cs="宋体"/>
          <w:szCs w:val="22"/>
        </w:rPr>
      </w:pPr>
    </w:p>
    <w:p w14:paraId="192C9E27">
      <w:pPr>
        <w:pStyle w:val="233"/>
        <w:tabs>
          <w:tab w:val="center" w:pos="4201"/>
          <w:tab w:val="right" w:leader="dot" w:pos="9298"/>
        </w:tabs>
        <w:autoSpaceDE w:val="0"/>
        <w:autoSpaceDN w:val="0"/>
        <w:spacing w:line="360" w:lineRule="auto"/>
        <w:ind w:firstLine="420"/>
        <w:rPr>
          <w:rFonts w:hAnsi="宋体" w:cs="宋体"/>
          <w:szCs w:val="22"/>
        </w:rPr>
      </w:pPr>
    </w:p>
    <w:p w14:paraId="1DEC80B8">
      <w:pPr>
        <w:pStyle w:val="233"/>
        <w:tabs>
          <w:tab w:val="center" w:pos="4201"/>
          <w:tab w:val="right" w:leader="dot" w:pos="9298"/>
        </w:tabs>
        <w:autoSpaceDE w:val="0"/>
        <w:autoSpaceDN w:val="0"/>
        <w:spacing w:line="360" w:lineRule="auto"/>
        <w:ind w:firstLine="420"/>
        <w:rPr>
          <w:rFonts w:hAnsi="宋体" w:cs="宋体"/>
          <w:szCs w:val="22"/>
        </w:rPr>
      </w:pPr>
    </w:p>
    <w:p w14:paraId="3CF3637F">
      <w:pPr>
        <w:pStyle w:val="233"/>
        <w:tabs>
          <w:tab w:val="center" w:pos="4201"/>
          <w:tab w:val="right" w:leader="dot" w:pos="9298"/>
        </w:tabs>
        <w:autoSpaceDE w:val="0"/>
        <w:autoSpaceDN w:val="0"/>
        <w:spacing w:line="360" w:lineRule="auto"/>
        <w:ind w:firstLine="420"/>
        <w:rPr>
          <w:rFonts w:hAnsi="宋体" w:cs="宋体"/>
          <w:szCs w:val="22"/>
        </w:rPr>
      </w:pPr>
    </w:p>
    <w:p w14:paraId="26A2916A">
      <w:pPr>
        <w:pStyle w:val="233"/>
        <w:tabs>
          <w:tab w:val="center" w:pos="4201"/>
          <w:tab w:val="right" w:leader="dot" w:pos="9298"/>
        </w:tabs>
        <w:autoSpaceDE w:val="0"/>
        <w:autoSpaceDN w:val="0"/>
        <w:spacing w:line="360" w:lineRule="auto"/>
        <w:ind w:firstLine="420"/>
        <w:rPr>
          <w:rFonts w:hAnsi="宋体" w:cs="宋体"/>
          <w:szCs w:val="22"/>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15"/>
    <w:p w14:paraId="7AD22400">
      <w:pPr>
        <w:spacing w:line="20" w:lineRule="exact"/>
        <w:jc w:val="center"/>
        <w:rPr>
          <w:rFonts w:ascii="黑体" w:hAnsi="黑体" w:eastAsia="黑体"/>
          <w:sz w:val="32"/>
          <w:szCs w:val="32"/>
        </w:rPr>
      </w:pPr>
      <w:bookmarkStart w:id="20" w:name="BookMark4"/>
    </w:p>
    <w:p w14:paraId="26284CC5">
      <w:pPr>
        <w:spacing w:line="20" w:lineRule="exact"/>
        <w:jc w:val="center"/>
        <w:rPr>
          <w:rFonts w:ascii="黑体" w:hAnsi="黑体" w:eastAsia="黑体"/>
          <w:sz w:val="32"/>
          <w:szCs w:val="32"/>
        </w:rPr>
      </w:pPr>
    </w:p>
    <w:sdt>
      <w:sdtPr>
        <w:tag w:val="NEW_STAND_NAME"/>
        <w:id w:val="595910757"/>
        <w:lock w:val="sdtLocked"/>
        <w:placeholder>
          <w:docPart w:val="8CCBF461B8524E0C8E8FFD034A3EA620"/>
        </w:placeholder>
      </w:sdtPr>
      <w:sdtContent>
        <w:p w14:paraId="73D27AAD">
          <w:pPr>
            <w:pStyle w:val="180"/>
            <w:adjustRightInd w:val="0"/>
            <w:snapToGrid w:val="0"/>
            <w:spacing w:before="0" w:after="0" w:line="240" w:lineRule="auto"/>
          </w:pPr>
          <w:bookmarkStart w:id="21" w:name="NEW_STAND_NAME"/>
          <w:r>
            <w:rPr>
              <w:rFonts w:hint="eastAsia"/>
            </w:rPr>
            <w:t xml:space="preserve">基于电力流的碳排放计量  </w:t>
          </w:r>
        </w:p>
        <w:p w14:paraId="32AC01AA">
          <w:pPr>
            <w:pStyle w:val="180"/>
            <w:adjustRightInd w:val="0"/>
            <w:snapToGrid w:val="0"/>
            <w:spacing w:before="0" w:after="0" w:line="240" w:lineRule="auto"/>
          </w:pPr>
          <w:r>
            <w:rPr>
              <w:rFonts w:hint="eastAsia"/>
            </w:rPr>
            <w:t>第4部分：计量设备检验技术规范</w:t>
          </w:r>
        </w:p>
      </w:sdtContent>
    </w:sdt>
    <w:p w14:paraId="7890EBC2">
      <w:pPr>
        <w:pStyle w:val="180"/>
        <w:adjustRightInd w:val="0"/>
        <w:snapToGrid w:val="0"/>
        <w:spacing w:before="0" w:after="0" w:line="240" w:lineRule="auto"/>
        <w:rPr>
          <w:highlight w:val="yellow"/>
        </w:rPr>
      </w:pPr>
    </w:p>
    <w:bookmarkEnd w:id="21"/>
    <w:p w14:paraId="653DD11F">
      <w:pPr>
        <w:pStyle w:val="235"/>
        <w:numPr>
          <w:ilvl w:val="0"/>
          <w:numId w:val="36"/>
        </w:numPr>
        <w:spacing w:before="312" w:after="312"/>
        <w:outlineLvl w:val="0"/>
        <w:rPr>
          <w:rFonts w:hint="eastAsia" w:ascii="Times New Roman"/>
          <w:color w:val="0000FF"/>
          <w:sz w:val="24"/>
          <w:szCs w:val="24"/>
        </w:rPr>
      </w:pPr>
      <w:bookmarkStart w:id="22" w:name="_Toc8254"/>
      <w:bookmarkStart w:id="23" w:name="_Toc3294"/>
      <w:bookmarkStart w:id="24" w:name="_Toc19881"/>
      <w:bookmarkStart w:id="25" w:name="_Toc28424"/>
      <w:bookmarkStart w:id="26" w:name="_Toc166054529"/>
      <w:bookmarkStart w:id="27" w:name="_Toc160460065"/>
      <w:bookmarkStart w:id="28" w:name="_Toc2414"/>
      <w:bookmarkStart w:id="29" w:name="_Toc198283735"/>
      <w:bookmarkStart w:id="30" w:name="_Toc18899"/>
      <w:bookmarkStart w:id="31" w:name="_Toc26561"/>
      <w:bookmarkStart w:id="32" w:name="_Toc35131675"/>
      <w:r>
        <w:rPr>
          <w:rFonts w:hint="eastAsia" w:ascii="Times New Roman"/>
        </w:rPr>
        <w:t>范围</w:t>
      </w:r>
      <w:bookmarkEnd w:id="22"/>
      <w:bookmarkEnd w:id="23"/>
      <w:bookmarkEnd w:id="24"/>
      <w:bookmarkEnd w:id="25"/>
      <w:bookmarkEnd w:id="26"/>
      <w:bookmarkEnd w:id="27"/>
      <w:bookmarkEnd w:id="28"/>
      <w:bookmarkEnd w:id="29"/>
      <w:bookmarkEnd w:id="30"/>
      <w:bookmarkEnd w:id="31"/>
      <w:bookmarkEnd w:id="32"/>
    </w:p>
    <w:p w14:paraId="1ED74342">
      <w:pPr>
        <w:pStyle w:val="59"/>
        <w:ind w:firstLine="420"/>
        <w:rPr>
          <w:szCs w:val="22"/>
        </w:rPr>
      </w:pPr>
      <w:bookmarkStart w:id="33" w:name="_Toc24884219"/>
      <w:bookmarkStart w:id="34" w:name="_Toc24884212"/>
      <w:bookmarkStart w:id="35" w:name="_Toc26648466"/>
      <w:bookmarkStart w:id="36" w:name="_Toc17233326"/>
      <w:bookmarkStart w:id="37" w:name="_Toc17233334"/>
      <w:r>
        <w:rPr>
          <w:rFonts w:hint="eastAsia"/>
        </w:rPr>
        <w:t>本文件规定了基于电力流的</w:t>
      </w:r>
      <w:bookmarkStart w:id="38" w:name="OLE_LINK2"/>
      <w:bookmarkStart w:id="39" w:name="OLE_LINK1"/>
      <w:r>
        <w:rPr>
          <w:rFonts w:hint="eastAsia"/>
        </w:rPr>
        <w:t>碳排放计量</w:t>
      </w:r>
      <w:bookmarkEnd w:id="38"/>
      <w:bookmarkEnd w:id="39"/>
      <w:r>
        <w:rPr>
          <w:rFonts w:hint="eastAsia"/>
        </w:rPr>
        <w:t>设备的检验条件、检验项目和检验规则</w:t>
      </w:r>
      <w:r>
        <w:rPr>
          <w:rFonts w:hint="eastAsia"/>
          <w:szCs w:val="22"/>
        </w:rPr>
        <w:t>。</w:t>
      </w:r>
    </w:p>
    <w:p w14:paraId="39D3C1DD">
      <w:pPr>
        <w:pStyle w:val="59"/>
        <w:ind w:firstLine="420"/>
      </w:pPr>
      <w:r>
        <w:rPr>
          <w:rFonts w:hint="eastAsia"/>
        </w:rPr>
        <w:t>本文件适用于基于电力流的电碳计量设备的检验。</w:t>
      </w:r>
    </w:p>
    <w:p w14:paraId="757EF319">
      <w:pPr>
        <w:pStyle w:val="235"/>
        <w:numPr>
          <w:ilvl w:val="0"/>
          <w:numId w:val="36"/>
        </w:numPr>
        <w:spacing w:before="312" w:after="312"/>
        <w:outlineLvl w:val="0"/>
        <w:rPr>
          <w:rFonts w:hint="eastAsia" w:ascii="Times New Roman"/>
        </w:rPr>
      </w:pPr>
      <w:bookmarkStart w:id="40" w:name="_Toc26986531"/>
      <w:bookmarkStart w:id="41" w:name="_Toc26718931"/>
      <w:bookmarkStart w:id="42" w:name="_Toc97192965"/>
      <w:bookmarkStart w:id="43" w:name="_Toc17072"/>
      <w:bookmarkStart w:id="44" w:name="_Toc26986772"/>
      <w:bookmarkStart w:id="45" w:name="_Toc4050"/>
      <w:r>
        <w:rPr>
          <w:rFonts w:hint="eastAsia" w:ascii="Times New Roman"/>
        </w:rPr>
        <w:t>规范性引用文件</w:t>
      </w:r>
      <w:bookmarkEnd w:id="33"/>
      <w:bookmarkEnd w:id="34"/>
      <w:bookmarkEnd w:id="35"/>
      <w:bookmarkEnd w:id="36"/>
      <w:bookmarkEnd w:id="37"/>
      <w:bookmarkEnd w:id="40"/>
      <w:bookmarkEnd w:id="41"/>
      <w:bookmarkEnd w:id="42"/>
      <w:bookmarkEnd w:id="43"/>
      <w:bookmarkEnd w:id="44"/>
      <w:bookmarkEnd w:id="45"/>
    </w:p>
    <w:sdt>
      <w:sdtPr>
        <w:rPr>
          <w:rFonts w:hint="eastAsia"/>
        </w:rPr>
        <w:id w:val="715848253"/>
        <w:placeholder>
          <w:docPart w:val="1AE70135FD834ABC837D5BB1B249C9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4CA1B94">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5F613A">
      <w:pPr>
        <w:pStyle w:val="59"/>
        <w:ind w:firstLine="420"/>
        <w:rPr>
          <w:rFonts w:hint="eastAsia"/>
          <w:szCs w:val="22"/>
        </w:rPr>
      </w:pPr>
      <w:bookmarkStart w:id="46" w:name="OLE_LINK19"/>
      <w:bookmarkStart w:id="47" w:name="OLE_LINK20"/>
      <w:bookmarkStart w:id="48" w:name="OLE_LINK11"/>
      <w:bookmarkStart w:id="49" w:name="OLE_LINK10"/>
      <w:bookmarkStart w:id="50" w:name="OLE_LINK9"/>
      <w:r>
        <w:rPr>
          <w:rFonts w:hint="eastAsia"/>
          <w:szCs w:val="22"/>
        </w:rPr>
        <w:t>GB/T 2423.17-2024  环境试验  第2部分：试验方法  试验Ka：盐雾</w:t>
      </w:r>
      <w:bookmarkEnd w:id="46"/>
      <w:bookmarkEnd w:id="47"/>
    </w:p>
    <w:p w14:paraId="13E52F19">
      <w:pPr>
        <w:pStyle w:val="59"/>
        <w:ind w:firstLine="420"/>
        <w:rPr>
          <w:rFonts w:hint="eastAsia"/>
          <w:szCs w:val="22"/>
        </w:rPr>
      </w:pPr>
      <w:r>
        <w:rPr>
          <w:rFonts w:hint="eastAsia"/>
          <w:szCs w:val="22"/>
        </w:rPr>
        <w:t>GB 4208—2017  外壳防护等级（IP代码）</w:t>
      </w:r>
    </w:p>
    <w:p w14:paraId="22B28F96">
      <w:pPr>
        <w:pStyle w:val="59"/>
        <w:ind w:firstLine="420"/>
        <w:rPr>
          <w:szCs w:val="22"/>
        </w:rPr>
      </w:pPr>
      <w:r>
        <w:rPr>
          <w:rFonts w:hint="eastAsia"/>
          <w:szCs w:val="22"/>
        </w:rPr>
        <w:t>GB/T 17215.211—</w:t>
      </w:r>
      <w:r>
        <w:rPr>
          <w:szCs w:val="22"/>
        </w:rPr>
        <w:t>2021</w:t>
      </w:r>
      <w:bookmarkEnd w:id="48"/>
      <w:bookmarkEnd w:id="49"/>
      <w:bookmarkEnd w:id="50"/>
      <w:r>
        <w:rPr>
          <w:rFonts w:hint="eastAsia"/>
          <w:szCs w:val="22"/>
        </w:rPr>
        <w:t xml:space="preserve">  电测量设备(交流) 通用要求、试验和试验条件 第11部分：测量设备</w:t>
      </w:r>
    </w:p>
    <w:p w14:paraId="0807A2D6">
      <w:pPr>
        <w:keepNext w:val="0"/>
        <w:keepLines w:val="0"/>
        <w:widowControl/>
        <w:shd w:val="clear" w:color="auto" w:fill="FFFFFF"/>
        <w:wordWrap/>
        <w:spacing w:before="0" w:after="0" w:line="240" w:lineRule="auto"/>
        <w:ind w:firstLine="420" w:firstLineChars="200"/>
        <w:outlineLvl w:val="9"/>
        <w:rPr>
          <w:szCs w:val="22"/>
        </w:rPr>
      </w:pPr>
      <w:r>
        <w:rPr>
          <w:rFonts w:hint="eastAsia" w:ascii="宋体" w:hAnsi="Times New Roman"/>
          <w:b w:val="0"/>
          <w:bCs w:val="0"/>
          <w:kern w:val="0"/>
          <w:sz w:val="21"/>
          <w:szCs w:val="22"/>
        </w:rPr>
        <w:t>GB/T 17215.231—2021  电测量设备(交流)通用要求、试验和试验条件第31部分：产品安全要求和试验</w:t>
      </w:r>
    </w:p>
    <w:p w14:paraId="55AE8824">
      <w:pPr>
        <w:pStyle w:val="59"/>
        <w:ind w:firstLine="420"/>
        <w:rPr>
          <w:szCs w:val="22"/>
        </w:rPr>
      </w:pPr>
      <w:r>
        <w:rPr>
          <w:szCs w:val="22"/>
        </w:rPr>
        <w:t>GB/T 17215.321—2021</w:t>
      </w:r>
      <w:r>
        <w:rPr>
          <w:rFonts w:hint="eastAsia"/>
          <w:szCs w:val="22"/>
        </w:rPr>
        <w:t xml:space="preserve">  电测量设备（交流） 特殊要求 第21部分：静止式有功电能表 (A级、B级、C级、D级和E级)</w:t>
      </w:r>
    </w:p>
    <w:p w14:paraId="3198A1F9">
      <w:pPr>
        <w:pStyle w:val="59"/>
        <w:ind w:firstLine="420"/>
        <w:rPr>
          <w:szCs w:val="22"/>
        </w:rPr>
      </w:pPr>
      <w:r>
        <w:rPr>
          <w:rFonts w:hint="eastAsia"/>
          <w:szCs w:val="22"/>
        </w:rPr>
        <w:t>T/CIMA 0079.1—2023 基于电力流的碳排放计量 第1部分：计量模型</w:t>
      </w:r>
    </w:p>
    <w:p w14:paraId="4E7C8F49">
      <w:pPr>
        <w:pStyle w:val="235"/>
        <w:numPr>
          <w:ilvl w:val="0"/>
          <w:numId w:val="36"/>
        </w:numPr>
        <w:spacing w:before="312" w:after="312"/>
        <w:outlineLvl w:val="0"/>
        <w:rPr>
          <w:rFonts w:hint="eastAsia" w:ascii="Times New Roman"/>
        </w:rPr>
      </w:pPr>
      <w:bookmarkStart w:id="51" w:name="_Toc6221"/>
      <w:bookmarkStart w:id="52" w:name="_Toc97192966"/>
      <w:bookmarkStart w:id="53" w:name="_Toc25782"/>
      <w:r>
        <w:rPr>
          <w:rFonts w:hint="eastAsia" w:ascii="Times New Roman"/>
          <w:szCs w:val="20"/>
        </w:rPr>
        <w:t>术语和定义</w:t>
      </w:r>
      <w:bookmarkEnd w:id="51"/>
      <w:bookmarkEnd w:id="52"/>
      <w:bookmarkEnd w:id="53"/>
    </w:p>
    <w:sdt>
      <w:sdtPr>
        <w:rPr>
          <w:rFonts w:ascii="宋体" w:eastAsia="宋体"/>
          <w:szCs w:val="22"/>
        </w:rPr>
        <w:id w:val="-1909835108"/>
        <w:placeholder>
          <w:docPart w:val="8371590E737F47AFA03D56031C5E80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eastAsia="宋体"/>
          <w:szCs w:val="22"/>
        </w:rPr>
      </w:sdtEndPr>
      <w:sdtContent>
        <w:p w14:paraId="5F3964AB">
          <w:pPr>
            <w:pStyle w:val="107"/>
            <w:numPr>
              <w:ilvl w:val="1"/>
              <w:numId w:val="0"/>
            </w:numPr>
            <w:spacing w:before="240" w:after="240"/>
            <w:ind w:firstLine="420" w:firstLineChars="200"/>
            <w:rPr>
              <w:szCs w:val="22"/>
            </w:rPr>
          </w:pPr>
          <w:bookmarkStart w:id="54" w:name="_Toc26986532"/>
          <w:bookmarkEnd w:id="54"/>
          <w:bookmarkStart w:id="55" w:name="_Toc3373"/>
          <w:bookmarkStart w:id="56" w:name="_Toc16242"/>
          <w:r>
            <w:rPr>
              <w:rFonts w:hint="eastAsia" w:ascii="宋体" w:eastAsia="宋体"/>
              <w:szCs w:val="22"/>
            </w:rPr>
            <w:t xml:space="preserve">T/CIMA 0079.1—2023 </w:t>
          </w:r>
          <w:r>
            <w:rPr>
              <w:rFonts w:ascii="宋体" w:eastAsia="宋体"/>
              <w:szCs w:val="22"/>
            </w:rPr>
            <w:t>界定的以及下列术语和定义适用于本文件。</w:t>
          </w:r>
          <w:bookmarkEnd w:id="55"/>
          <w:bookmarkEnd w:id="56"/>
        </w:p>
      </w:sdtContent>
    </w:sdt>
    <w:p w14:paraId="046340A8">
      <w:pPr>
        <w:pStyle w:val="107"/>
        <w:numPr>
          <w:ilvl w:val="1"/>
          <w:numId w:val="0"/>
        </w:numPr>
        <w:spacing w:before="240" w:after="240"/>
        <w:ind w:left="420" w:hanging="420" w:hangingChars="200"/>
        <w:rPr>
          <w:rFonts w:ascii="Times New Roman"/>
          <w:szCs w:val="22"/>
        </w:rPr>
      </w:pPr>
      <w:bookmarkStart w:id="57" w:name="_Toc22296"/>
      <w:bookmarkStart w:id="58" w:name="_Toc8440"/>
      <w:r>
        <w:rPr>
          <w:rFonts w:hint="eastAsia"/>
          <w:szCs w:val="22"/>
        </w:rPr>
        <w:t>3.1</w:t>
      </w:r>
      <w:r>
        <w:rPr>
          <w:rFonts w:hint="eastAsia"/>
          <w:szCs w:val="22"/>
        </w:rPr>
        <w:br w:type="textWrapping"/>
      </w:r>
      <w:r>
        <w:rPr>
          <w:rFonts w:hint="eastAsia"/>
          <w:szCs w:val="22"/>
        </w:rPr>
        <w:t xml:space="preserve">电碳计量设备 </w:t>
      </w:r>
      <w:r>
        <w:rPr>
          <w:rFonts w:hint="eastAsia" w:ascii="黑体" w:hAnsi="黑体" w:cs="黑体"/>
          <w:szCs w:val="21"/>
        </w:rPr>
        <w:t>metrology equipment for electricity carbon emission</w:t>
      </w:r>
      <w:bookmarkEnd w:id="57"/>
      <w:bookmarkEnd w:id="58"/>
      <w:r>
        <w:rPr>
          <w:rFonts w:hint="eastAsia" w:hAnsi="黑体" w:cs="黑体"/>
          <w:szCs w:val="21"/>
        </w:rPr>
        <w:t xml:space="preserve"> </w:t>
      </w:r>
    </w:p>
    <w:p w14:paraId="7B8C8C05">
      <w:pPr>
        <w:ind w:firstLine="420"/>
        <w:rPr>
          <w:rFonts w:ascii="Times New Roman" w:hAnsi="Times New Roman"/>
        </w:rPr>
      </w:pPr>
      <w:r>
        <w:rPr>
          <w:rFonts w:ascii="Times New Roman" w:hAnsi="Times New Roman"/>
        </w:rPr>
        <w:t>具备电能量和</w:t>
      </w:r>
      <w:r>
        <w:rPr>
          <w:rFonts w:hint="eastAsia" w:ascii="Times New Roman" w:hAnsi="Times New Roman"/>
        </w:rPr>
        <w:t>电</w:t>
      </w:r>
      <w:r>
        <w:rPr>
          <w:rFonts w:ascii="Times New Roman" w:hAnsi="Times New Roman"/>
        </w:rPr>
        <w:t>碳排放量计量功能的设备。</w:t>
      </w:r>
    </w:p>
    <w:p w14:paraId="1385C7FD">
      <w:pPr>
        <w:pStyle w:val="14"/>
        <w:ind w:firstLine="420" w:firstLineChars="200"/>
        <w:textAlignment w:val="baseline"/>
        <w:rPr>
          <w:rFonts w:ascii="Times New Roman" w:hAnsi="Times New Roman"/>
        </w:rPr>
      </w:pPr>
      <w:r>
        <w:rPr>
          <w:rFonts w:ascii="Times New Roman" w:hAnsi="Times New Roman"/>
        </w:rPr>
        <w:t>[来源：T/CIMA 0079.1—2023</w:t>
      </w:r>
      <w:r>
        <w:rPr>
          <w:rFonts w:hint="eastAsia"/>
        </w:rPr>
        <w:t>，3.5</w:t>
      </w:r>
      <w:r>
        <w:rPr>
          <w:rFonts w:ascii="Times New Roman" w:hAnsi="Times New Roman"/>
        </w:rPr>
        <w:t>]</w:t>
      </w:r>
    </w:p>
    <w:p w14:paraId="45FF05B9">
      <w:pPr>
        <w:pStyle w:val="235"/>
        <w:numPr>
          <w:ilvl w:val="0"/>
          <w:numId w:val="36"/>
        </w:numPr>
        <w:spacing w:before="312" w:after="312"/>
        <w:outlineLvl w:val="0"/>
        <w:rPr>
          <w:rFonts w:hint="eastAsia" w:ascii="Times New Roman"/>
          <w:szCs w:val="20"/>
        </w:rPr>
      </w:pPr>
      <w:bookmarkStart w:id="59" w:name="_Toc8867"/>
      <w:bookmarkStart w:id="60" w:name="_Toc28004"/>
      <w:bookmarkStart w:id="61" w:name="_Toc20631"/>
      <w:r>
        <w:rPr>
          <w:rFonts w:hint="eastAsia" w:ascii="Times New Roman"/>
          <w:szCs w:val="20"/>
        </w:rPr>
        <w:t>检验条件</w:t>
      </w:r>
      <w:bookmarkEnd w:id="59"/>
      <w:bookmarkEnd w:id="60"/>
    </w:p>
    <w:p w14:paraId="3E0477A0">
      <w:pPr>
        <w:pStyle w:val="59"/>
        <w:ind w:firstLine="420"/>
      </w:pPr>
      <w:r>
        <w:rPr>
          <w:rFonts w:hint="eastAsia"/>
        </w:rPr>
        <w:t>如无特殊说明，检验条件见表1。</w:t>
      </w:r>
    </w:p>
    <w:p w14:paraId="76028E38">
      <w:pPr>
        <w:pStyle w:val="237"/>
        <w:numPr>
          <w:ilvl w:val="0"/>
          <w:numId w:val="0"/>
        </w:numPr>
        <w:spacing w:before="156" w:after="156"/>
        <w:jc w:val="center"/>
        <w:rPr>
          <w:rFonts w:hint="eastAsia"/>
          <w:szCs w:val="20"/>
        </w:rPr>
      </w:pPr>
      <w:r>
        <w:rPr>
          <w:rFonts w:hint="eastAsia"/>
          <w:szCs w:val="20"/>
        </w:rPr>
        <w:t>表1 电碳计量设备检验条件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3634"/>
        <w:gridCol w:w="2518"/>
        <w:gridCol w:w="3098"/>
      </w:tblGrid>
      <w:tr w14:paraId="7D40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tblHeader/>
          <w:jc w:val="center"/>
        </w:trPr>
        <w:tc>
          <w:tcPr>
            <w:tcW w:w="3634" w:type="dxa"/>
            <w:vAlign w:val="center"/>
          </w:tcPr>
          <w:p w14:paraId="03394CE9">
            <w:pPr>
              <w:snapToGrid w:val="0"/>
              <w:spacing w:line="240" w:lineRule="auto"/>
              <w:jc w:val="center"/>
              <w:rPr>
                <w:rFonts w:ascii="宋体" w:hAnsi="宋体"/>
                <w:sz w:val="18"/>
                <w:szCs w:val="18"/>
              </w:rPr>
            </w:pPr>
            <w:r>
              <w:rPr>
                <w:rFonts w:hint="eastAsia" w:ascii="宋体" w:hAnsi="宋体"/>
                <w:sz w:val="18"/>
                <w:szCs w:val="18"/>
              </w:rPr>
              <w:t>条件项</w:t>
            </w:r>
          </w:p>
        </w:tc>
        <w:tc>
          <w:tcPr>
            <w:tcW w:w="2518" w:type="dxa"/>
            <w:vAlign w:val="center"/>
          </w:tcPr>
          <w:p w14:paraId="63A7803B">
            <w:pPr>
              <w:snapToGrid w:val="0"/>
              <w:spacing w:line="240" w:lineRule="auto"/>
              <w:jc w:val="center"/>
              <w:rPr>
                <w:rFonts w:ascii="宋体" w:hAnsi="宋体"/>
                <w:sz w:val="18"/>
                <w:szCs w:val="18"/>
              </w:rPr>
            </w:pPr>
            <w:r>
              <w:rPr>
                <w:rFonts w:hint="eastAsia" w:ascii="宋体" w:hAnsi="宋体"/>
                <w:sz w:val="18"/>
                <w:szCs w:val="18"/>
              </w:rPr>
              <w:t>条件值</w:t>
            </w:r>
          </w:p>
        </w:tc>
        <w:tc>
          <w:tcPr>
            <w:tcW w:w="3098" w:type="dxa"/>
            <w:vAlign w:val="center"/>
          </w:tcPr>
          <w:p w14:paraId="7F6DD211">
            <w:pPr>
              <w:snapToGrid w:val="0"/>
              <w:spacing w:line="240" w:lineRule="auto"/>
              <w:jc w:val="center"/>
              <w:rPr>
                <w:rFonts w:ascii="宋体" w:hAnsi="宋体"/>
                <w:sz w:val="18"/>
                <w:szCs w:val="18"/>
              </w:rPr>
            </w:pPr>
            <w:r>
              <w:rPr>
                <w:rFonts w:hint="eastAsia" w:ascii="宋体" w:hAnsi="宋体"/>
                <w:sz w:val="18"/>
                <w:szCs w:val="18"/>
              </w:rPr>
              <w:t>允许偏差</w:t>
            </w:r>
          </w:p>
        </w:tc>
      </w:tr>
      <w:tr w14:paraId="4600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2DA70525">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环境温度</w:t>
            </w:r>
          </w:p>
        </w:tc>
        <w:tc>
          <w:tcPr>
            <w:tcW w:w="2518" w:type="dxa"/>
            <w:vAlign w:val="center"/>
          </w:tcPr>
          <w:p w14:paraId="17E40210">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参比温度为</w:t>
            </w:r>
            <w:r>
              <w:rPr>
                <w:rFonts w:ascii="宋体" w:hAnsi="宋体"/>
                <w:spacing w:val="0"/>
                <w:sz w:val="18"/>
                <w:szCs w:val="18"/>
                <w:lang w:eastAsia="zh-CN"/>
              </w:rPr>
              <w:t xml:space="preserve">23 </w:t>
            </w:r>
            <w:r>
              <w:rPr>
                <w:rFonts w:hint="eastAsia" w:ascii="宋体" w:hAnsi="宋体" w:cs="宋体"/>
                <w:spacing w:val="0"/>
                <w:sz w:val="18"/>
                <w:szCs w:val="18"/>
                <w:lang w:eastAsia="zh-CN"/>
              </w:rPr>
              <w:t>℃</w:t>
            </w:r>
          </w:p>
        </w:tc>
        <w:tc>
          <w:tcPr>
            <w:tcW w:w="3098" w:type="dxa"/>
            <w:vAlign w:val="center"/>
          </w:tcPr>
          <w:p w14:paraId="5D6AF9F1">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val="en-US"/>
              </w:rPr>
              <w:t>±</w:t>
            </w:r>
            <w:r>
              <w:rPr>
                <w:rFonts w:ascii="宋体" w:hAnsi="宋体"/>
                <w:spacing w:val="0"/>
                <w:sz w:val="18"/>
                <w:szCs w:val="18"/>
              </w:rPr>
              <w:t xml:space="preserve">2 </w:t>
            </w:r>
            <w:r>
              <w:rPr>
                <w:rFonts w:hint="eastAsia" w:ascii="宋体" w:hAnsi="宋体" w:cs="宋体"/>
                <w:spacing w:val="0"/>
                <w:sz w:val="18"/>
                <w:szCs w:val="18"/>
                <w:lang w:eastAsia="zh-CN"/>
              </w:rPr>
              <w:t>℃</w:t>
            </w:r>
          </w:p>
        </w:tc>
      </w:tr>
      <w:tr w14:paraId="2757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698CDA59">
            <w:pPr>
              <w:pStyle w:val="243"/>
              <w:adjustRightInd w:val="0"/>
              <w:snapToGrid w:val="0"/>
              <w:spacing w:before="0" w:after="0"/>
              <w:rPr>
                <w:rFonts w:ascii="宋体" w:hAnsi="宋体"/>
                <w:spacing w:val="0"/>
                <w:sz w:val="18"/>
                <w:szCs w:val="18"/>
                <w:lang w:val="en-US" w:eastAsia="zh-CN"/>
              </w:rPr>
            </w:pPr>
            <w:r>
              <w:rPr>
                <w:rFonts w:hint="eastAsia" w:ascii="宋体" w:hAnsi="宋体"/>
                <w:spacing w:val="0"/>
                <w:sz w:val="18"/>
                <w:szCs w:val="18"/>
                <w:lang w:eastAsia="zh-CN"/>
              </w:rPr>
              <w:t>环境相对湿度</w:t>
            </w:r>
            <w:r>
              <w:rPr>
                <w:rFonts w:hint="eastAsia" w:ascii="宋体" w:hAnsi="宋体"/>
                <w:snapToGrid w:val="0"/>
                <w:spacing w:val="0"/>
                <w:sz w:val="18"/>
                <w:szCs w:val="18"/>
                <w:vertAlign w:val="superscript"/>
                <w:lang w:val="en-US" w:eastAsia="zh-CN"/>
              </w:rPr>
              <w:t>a</w:t>
            </w:r>
          </w:p>
        </w:tc>
        <w:tc>
          <w:tcPr>
            <w:tcW w:w="2518" w:type="dxa"/>
            <w:vAlign w:val="center"/>
          </w:tcPr>
          <w:p w14:paraId="2614BD2E">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45%</w:t>
            </w:r>
            <w:bookmarkStart w:id="62" w:name="OLE_LINK1055"/>
            <w:bookmarkStart w:id="63" w:name="OLE_LINK1056"/>
            <w:r>
              <w:rPr>
                <w:rFonts w:hint="eastAsia" w:ascii="宋体" w:hAnsi="宋体"/>
                <w:spacing w:val="0"/>
                <w:sz w:val="18"/>
                <w:szCs w:val="18"/>
                <w:lang w:eastAsia="zh-CN"/>
              </w:rPr>
              <w:t>～</w:t>
            </w:r>
            <w:bookmarkEnd w:id="62"/>
            <w:bookmarkEnd w:id="63"/>
            <w:r>
              <w:rPr>
                <w:rFonts w:ascii="宋体" w:hAnsi="宋体"/>
                <w:spacing w:val="0"/>
                <w:sz w:val="18"/>
                <w:szCs w:val="18"/>
                <w:lang w:eastAsia="zh-CN"/>
              </w:rPr>
              <w:t>75%</w:t>
            </w:r>
          </w:p>
        </w:tc>
        <w:tc>
          <w:tcPr>
            <w:tcW w:w="3098" w:type="dxa"/>
            <w:vAlign w:val="center"/>
          </w:tcPr>
          <w:p w14:paraId="5F150918">
            <w:pPr>
              <w:pStyle w:val="243"/>
              <w:adjustRightInd w:val="0"/>
              <w:snapToGrid w:val="0"/>
              <w:spacing w:before="0" w:after="0"/>
              <w:jc w:val="center"/>
              <w:rPr>
                <w:rFonts w:ascii="宋体" w:hAnsi="宋体"/>
                <w:spacing w:val="0"/>
                <w:sz w:val="18"/>
                <w:szCs w:val="18"/>
                <w:lang w:val="en-US" w:eastAsia="zh-CN"/>
              </w:rPr>
            </w:pPr>
            <w:r>
              <w:rPr>
                <w:rFonts w:ascii="宋体" w:hAnsi="宋体"/>
                <w:spacing w:val="0"/>
                <w:sz w:val="18"/>
                <w:szCs w:val="18"/>
                <w:lang w:val="en-US" w:eastAsia="zh-CN"/>
              </w:rPr>
              <w:t>-</w:t>
            </w:r>
          </w:p>
        </w:tc>
      </w:tr>
      <w:tr w14:paraId="473B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39878419">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大气压</w:t>
            </w:r>
          </w:p>
        </w:tc>
        <w:tc>
          <w:tcPr>
            <w:tcW w:w="2518" w:type="dxa"/>
            <w:vAlign w:val="center"/>
          </w:tcPr>
          <w:p w14:paraId="5079183B">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86 kPa</w:t>
            </w:r>
            <w:r>
              <w:rPr>
                <w:rFonts w:hint="eastAsia" w:ascii="宋体" w:hAnsi="宋体"/>
                <w:spacing w:val="0"/>
                <w:sz w:val="18"/>
                <w:szCs w:val="18"/>
                <w:lang w:eastAsia="zh-CN"/>
              </w:rPr>
              <w:t>～</w:t>
            </w:r>
            <w:r>
              <w:rPr>
                <w:rFonts w:ascii="宋体" w:hAnsi="宋体"/>
                <w:spacing w:val="0"/>
                <w:sz w:val="18"/>
                <w:szCs w:val="18"/>
                <w:lang w:eastAsia="zh-CN"/>
              </w:rPr>
              <w:t>106 kPa</w:t>
            </w:r>
          </w:p>
        </w:tc>
        <w:tc>
          <w:tcPr>
            <w:tcW w:w="3098" w:type="dxa"/>
            <w:vAlign w:val="center"/>
          </w:tcPr>
          <w:p w14:paraId="5FC9A031">
            <w:pPr>
              <w:pStyle w:val="243"/>
              <w:adjustRightInd w:val="0"/>
              <w:snapToGrid w:val="0"/>
              <w:spacing w:before="0" w:after="0"/>
              <w:jc w:val="center"/>
              <w:rPr>
                <w:rFonts w:ascii="宋体" w:hAnsi="宋体"/>
                <w:spacing w:val="0"/>
                <w:sz w:val="18"/>
                <w:szCs w:val="18"/>
                <w:lang w:val="en-US" w:eastAsia="zh-CN"/>
              </w:rPr>
            </w:pPr>
            <w:r>
              <w:rPr>
                <w:rFonts w:ascii="宋体" w:hAnsi="宋体"/>
                <w:spacing w:val="0"/>
                <w:sz w:val="18"/>
                <w:szCs w:val="18"/>
                <w:lang w:val="en-US" w:eastAsia="zh-CN"/>
              </w:rPr>
              <w:t>-</w:t>
            </w:r>
          </w:p>
        </w:tc>
      </w:tr>
      <w:tr w14:paraId="3FA1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306B2FF5">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电压</w:t>
            </w:r>
          </w:p>
        </w:tc>
        <w:tc>
          <w:tcPr>
            <w:tcW w:w="2518" w:type="dxa"/>
            <w:vAlign w:val="center"/>
          </w:tcPr>
          <w:p w14:paraId="14B8ACFC">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标称电压</w:t>
            </w:r>
          </w:p>
        </w:tc>
        <w:tc>
          <w:tcPr>
            <w:tcW w:w="3098" w:type="dxa"/>
            <w:vAlign w:val="center"/>
          </w:tcPr>
          <w:p w14:paraId="6D7BE097">
            <w:pPr>
              <w:pStyle w:val="243"/>
              <w:adjustRightInd w:val="0"/>
              <w:snapToGrid w:val="0"/>
              <w:spacing w:before="0" w:after="0"/>
              <w:jc w:val="center"/>
              <w:rPr>
                <w:rFonts w:ascii="宋体" w:hAnsi="宋体"/>
                <w:spacing w:val="0"/>
                <w:sz w:val="18"/>
                <w:szCs w:val="18"/>
              </w:rPr>
            </w:pPr>
            <w:r>
              <w:rPr>
                <w:rFonts w:ascii="宋体" w:hAnsi="宋体"/>
                <w:spacing w:val="0"/>
                <w:sz w:val="18"/>
                <w:szCs w:val="18"/>
                <w:lang w:val="en-US"/>
              </w:rPr>
              <w:t>±</w:t>
            </w:r>
            <w:r>
              <w:rPr>
                <w:rFonts w:ascii="宋体" w:hAnsi="宋体"/>
                <w:spacing w:val="0"/>
                <w:sz w:val="18"/>
                <w:szCs w:val="18"/>
                <w:lang w:eastAsia="zh-CN"/>
              </w:rPr>
              <w:t>1.0</w:t>
            </w:r>
            <w:r>
              <w:rPr>
                <w:rFonts w:ascii="宋体" w:hAnsi="宋体"/>
                <w:spacing w:val="0"/>
                <w:sz w:val="18"/>
                <w:szCs w:val="18"/>
              </w:rPr>
              <w:t>%</w:t>
            </w:r>
          </w:p>
        </w:tc>
      </w:tr>
      <w:tr w14:paraId="4B20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1AB2E3F1">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频率</w:t>
            </w:r>
          </w:p>
        </w:tc>
        <w:tc>
          <w:tcPr>
            <w:tcW w:w="2518" w:type="dxa"/>
            <w:vAlign w:val="center"/>
          </w:tcPr>
          <w:p w14:paraId="054106E8">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标称频率</w:t>
            </w:r>
          </w:p>
        </w:tc>
        <w:tc>
          <w:tcPr>
            <w:tcW w:w="3098" w:type="dxa"/>
            <w:vAlign w:val="center"/>
          </w:tcPr>
          <w:p w14:paraId="30F537A0">
            <w:pPr>
              <w:pStyle w:val="243"/>
              <w:adjustRightInd w:val="0"/>
              <w:snapToGrid w:val="0"/>
              <w:spacing w:before="0" w:after="0"/>
              <w:jc w:val="center"/>
              <w:rPr>
                <w:rFonts w:ascii="宋体" w:hAnsi="宋体"/>
                <w:spacing w:val="0"/>
                <w:sz w:val="18"/>
                <w:szCs w:val="18"/>
              </w:rPr>
            </w:pPr>
            <w:r>
              <w:rPr>
                <w:rFonts w:ascii="宋体" w:hAnsi="宋体"/>
                <w:spacing w:val="0"/>
                <w:sz w:val="18"/>
                <w:szCs w:val="18"/>
                <w:lang w:val="en-US"/>
              </w:rPr>
              <w:t>±</w:t>
            </w:r>
            <w:r>
              <w:rPr>
                <w:rFonts w:ascii="宋体" w:hAnsi="宋体"/>
                <w:spacing w:val="0"/>
                <w:sz w:val="18"/>
                <w:szCs w:val="18"/>
                <w:lang w:eastAsia="zh-CN"/>
              </w:rPr>
              <w:t>0.3</w:t>
            </w:r>
            <w:r>
              <w:rPr>
                <w:rFonts w:ascii="宋体" w:hAnsi="宋体"/>
                <w:spacing w:val="0"/>
                <w:sz w:val="18"/>
                <w:szCs w:val="18"/>
              </w:rPr>
              <w:t>%</w:t>
            </w:r>
          </w:p>
        </w:tc>
      </w:tr>
      <w:tr w14:paraId="064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777C5DD0">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相序</w:t>
            </w:r>
            <w:bookmarkStart w:id="64" w:name="OLE_LINK5"/>
            <w:bookmarkStart w:id="65" w:name="OLE_LINK6"/>
            <w:r>
              <w:rPr>
                <w:rFonts w:hint="eastAsia" w:ascii="宋体" w:hAnsi="宋体"/>
                <w:spacing w:val="0"/>
                <w:sz w:val="18"/>
                <w:szCs w:val="18"/>
                <w:lang w:eastAsia="zh-CN"/>
              </w:rPr>
              <w:t>（三相电碳计量设备）</w:t>
            </w:r>
            <w:bookmarkEnd w:id="64"/>
            <w:bookmarkEnd w:id="65"/>
          </w:p>
        </w:tc>
        <w:tc>
          <w:tcPr>
            <w:tcW w:w="2518" w:type="dxa"/>
            <w:vAlign w:val="center"/>
          </w:tcPr>
          <w:p w14:paraId="20BBC9C3">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L1–L2–L3</w:t>
            </w:r>
          </w:p>
        </w:tc>
        <w:tc>
          <w:tcPr>
            <w:tcW w:w="3098" w:type="dxa"/>
            <w:vAlign w:val="center"/>
          </w:tcPr>
          <w:p w14:paraId="4C762324">
            <w:pPr>
              <w:pStyle w:val="243"/>
              <w:adjustRightInd w:val="0"/>
              <w:snapToGrid w:val="0"/>
              <w:spacing w:before="0" w:after="0"/>
              <w:jc w:val="center"/>
              <w:rPr>
                <w:rFonts w:ascii="宋体" w:hAnsi="宋体"/>
                <w:spacing w:val="0"/>
                <w:sz w:val="18"/>
                <w:szCs w:val="18"/>
              </w:rPr>
            </w:pPr>
            <w:r>
              <w:rPr>
                <w:rFonts w:ascii="宋体" w:hAnsi="宋体"/>
                <w:spacing w:val="0"/>
                <w:sz w:val="18"/>
                <w:szCs w:val="18"/>
                <w:lang w:val="en-US"/>
              </w:rPr>
              <w:t>–</w:t>
            </w:r>
          </w:p>
        </w:tc>
      </w:tr>
      <w:tr w14:paraId="56AD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53FDDBA6">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电压不平衡（三相电碳计量设备）</w:t>
            </w:r>
          </w:p>
        </w:tc>
        <w:tc>
          <w:tcPr>
            <w:tcW w:w="2518" w:type="dxa"/>
            <w:vAlign w:val="center"/>
          </w:tcPr>
          <w:p w14:paraId="44DA3AB8">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所有相连接</w:t>
            </w:r>
          </w:p>
        </w:tc>
        <w:tc>
          <w:tcPr>
            <w:tcW w:w="3098" w:type="dxa"/>
            <w:vAlign w:val="center"/>
          </w:tcPr>
          <w:p w14:paraId="001154E7">
            <w:pPr>
              <w:pStyle w:val="243"/>
              <w:adjustRightInd w:val="0"/>
              <w:snapToGrid w:val="0"/>
              <w:spacing w:before="0" w:after="0"/>
              <w:jc w:val="center"/>
              <w:rPr>
                <w:rFonts w:ascii="宋体" w:hAnsi="宋体"/>
                <w:spacing w:val="0"/>
                <w:sz w:val="18"/>
                <w:szCs w:val="18"/>
              </w:rPr>
            </w:pPr>
            <w:r>
              <w:rPr>
                <w:rFonts w:ascii="宋体" w:hAnsi="宋体"/>
                <w:spacing w:val="0"/>
                <w:sz w:val="18"/>
                <w:szCs w:val="18"/>
              </w:rPr>
              <w:t>–</w:t>
            </w:r>
          </w:p>
        </w:tc>
      </w:tr>
      <w:tr w14:paraId="78B4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7FACA207">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波形</w:t>
            </w:r>
          </w:p>
        </w:tc>
        <w:tc>
          <w:tcPr>
            <w:tcW w:w="2518" w:type="dxa"/>
            <w:vAlign w:val="center"/>
          </w:tcPr>
          <w:p w14:paraId="17CDA444">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正弦电压和正弦电流</w:t>
            </w:r>
          </w:p>
        </w:tc>
        <w:tc>
          <w:tcPr>
            <w:tcW w:w="3098" w:type="dxa"/>
            <w:vAlign w:val="center"/>
          </w:tcPr>
          <w:p w14:paraId="250CDEF2">
            <w:pPr>
              <w:pStyle w:val="243"/>
              <w:adjustRightInd w:val="0"/>
              <w:snapToGrid w:val="0"/>
              <w:spacing w:before="0" w:after="0"/>
              <w:jc w:val="center"/>
              <w:rPr>
                <w:rFonts w:ascii="宋体" w:hAnsi="宋体"/>
                <w:spacing w:val="0"/>
                <w:sz w:val="18"/>
                <w:szCs w:val="18"/>
              </w:rPr>
            </w:pPr>
            <w:r>
              <w:rPr>
                <w:rFonts w:hint="eastAsia" w:ascii="宋体" w:hAnsi="宋体"/>
                <w:spacing w:val="0"/>
                <w:sz w:val="18"/>
                <w:szCs w:val="18"/>
                <w:lang w:eastAsia="zh-CN"/>
              </w:rPr>
              <w:t>畸变因数（</w:t>
            </w:r>
            <w:r>
              <w:rPr>
                <w:rFonts w:ascii="宋体" w:hAnsi="宋体"/>
                <w:i/>
                <w:spacing w:val="0"/>
                <w:sz w:val="18"/>
                <w:szCs w:val="18"/>
                <w:lang w:eastAsia="zh-CN"/>
              </w:rPr>
              <w:t>d</w:t>
            </w:r>
            <w:r>
              <w:rPr>
                <w:rFonts w:hint="eastAsia" w:ascii="宋体" w:hAnsi="宋体"/>
                <w:spacing w:val="0"/>
                <w:sz w:val="18"/>
                <w:szCs w:val="18"/>
                <w:lang w:eastAsia="zh-CN"/>
              </w:rPr>
              <w:t>）小于</w:t>
            </w:r>
            <w:r>
              <w:rPr>
                <w:rFonts w:ascii="宋体" w:hAnsi="宋体"/>
                <w:spacing w:val="0"/>
                <w:sz w:val="18"/>
                <w:szCs w:val="18"/>
              </w:rPr>
              <w:t>2%</w:t>
            </w:r>
          </w:p>
        </w:tc>
      </w:tr>
      <w:tr w14:paraId="7552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5138514E">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外部恒定磁感应</w:t>
            </w:r>
          </w:p>
        </w:tc>
        <w:tc>
          <w:tcPr>
            <w:tcW w:w="2518" w:type="dxa"/>
            <w:vAlign w:val="center"/>
          </w:tcPr>
          <w:p w14:paraId="4E532FDD">
            <w:pPr>
              <w:pStyle w:val="243"/>
              <w:adjustRightInd w:val="0"/>
              <w:snapToGrid w:val="0"/>
              <w:spacing w:before="0" w:after="0"/>
              <w:jc w:val="center"/>
              <w:rPr>
                <w:rFonts w:ascii="宋体" w:hAnsi="宋体"/>
                <w:spacing w:val="0"/>
                <w:sz w:val="18"/>
                <w:szCs w:val="18"/>
                <w:lang w:eastAsia="zh-CN"/>
              </w:rPr>
            </w:pPr>
            <w:bookmarkStart w:id="66" w:name="_Hlk35704534"/>
            <w:r>
              <w:rPr>
                <w:rFonts w:ascii="宋体" w:hAnsi="宋体"/>
                <w:spacing w:val="0"/>
                <w:sz w:val="18"/>
                <w:szCs w:val="18"/>
                <w:lang w:eastAsia="zh-CN"/>
              </w:rPr>
              <w:t>=0</w:t>
            </w:r>
            <w:bookmarkEnd w:id="66"/>
          </w:p>
        </w:tc>
        <w:tc>
          <w:tcPr>
            <w:tcW w:w="3098" w:type="dxa"/>
            <w:vAlign w:val="center"/>
          </w:tcPr>
          <w:p w14:paraId="1B907FD8">
            <w:pPr>
              <w:pStyle w:val="243"/>
              <w:adjustRightInd w:val="0"/>
              <w:snapToGrid w:val="0"/>
              <w:spacing w:before="0" w:after="0"/>
              <w:jc w:val="center"/>
              <w:rPr>
                <w:rFonts w:ascii="宋体" w:hAnsi="宋体"/>
                <w:spacing w:val="0"/>
                <w:sz w:val="18"/>
                <w:szCs w:val="18"/>
              </w:rPr>
            </w:pPr>
            <w:r>
              <w:rPr>
                <w:rFonts w:ascii="宋体" w:hAnsi="宋体"/>
                <w:spacing w:val="0"/>
                <w:sz w:val="18"/>
                <w:szCs w:val="18"/>
              </w:rPr>
              <w:t>–</w:t>
            </w:r>
          </w:p>
        </w:tc>
      </w:tr>
      <w:tr w14:paraId="5D7D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7935A052">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标称频率的外部磁感应</w:t>
            </w:r>
          </w:p>
        </w:tc>
        <w:tc>
          <w:tcPr>
            <w:tcW w:w="2518" w:type="dxa"/>
            <w:vAlign w:val="center"/>
          </w:tcPr>
          <w:p w14:paraId="31E8B187">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=0</w:t>
            </w:r>
          </w:p>
        </w:tc>
        <w:tc>
          <w:tcPr>
            <w:tcW w:w="3098" w:type="dxa"/>
            <w:vAlign w:val="center"/>
          </w:tcPr>
          <w:p w14:paraId="7FCB3797">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引起误差偏移不大于</w:t>
            </w:r>
            <w:r>
              <w:rPr>
                <w:rFonts w:ascii="宋体" w:hAnsi="宋体"/>
                <w:spacing w:val="0"/>
                <w:sz w:val="18"/>
                <w:szCs w:val="18"/>
                <w:lang w:eastAsia="zh-CN"/>
              </w:rPr>
              <w:t>±0.1%</w:t>
            </w:r>
            <w:r>
              <w:rPr>
                <w:rFonts w:hint="eastAsia" w:ascii="宋体" w:hAnsi="宋体"/>
                <w:spacing w:val="0"/>
                <w:sz w:val="18"/>
                <w:szCs w:val="18"/>
                <w:lang w:eastAsia="zh-CN"/>
              </w:rPr>
              <w:t>的磁感应值，但在任何情况下宜小于</w:t>
            </w:r>
            <w:r>
              <w:rPr>
                <w:rFonts w:ascii="宋体" w:hAnsi="宋体"/>
                <w:spacing w:val="0"/>
                <w:sz w:val="18"/>
                <w:szCs w:val="18"/>
                <w:lang w:eastAsia="zh-CN"/>
              </w:rPr>
              <w:t>0.05 mT</w:t>
            </w:r>
            <w:r>
              <w:rPr>
                <w:rFonts w:ascii="宋体" w:hAnsi="宋体"/>
                <w:snapToGrid w:val="0"/>
                <w:spacing w:val="0"/>
                <w:sz w:val="18"/>
                <w:szCs w:val="18"/>
                <w:vertAlign w:val="superscript"/>
                <w:lang w:val="en-US" w:eastAsia="zh-CN"/>
              </w:rPr>
              <w:t>2</w:t>
            </w:r>
          </w:p>
        </w:tc>
      </w:tr>
      <w:tr w14:paraId="5FAF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481DCB8E">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射频电磁场，</w:t>
            </w:r>
            <w:r>
              <w:rPr>
                <w:rFonts w:ascii="宋体" w:hAnsi="宋体"/>
                <w:spacing w:val="0"/>
                <w:sz w:val="18"/>
                <w:szCs w:val="18"/>
                <w:lang w:eastAsia="zh-CN"/>
              </w:rPr>
              <w:t>30 kHz</w:t>
            </w:r>
            <w:r>
              <w:rPr>
                <w:rFonts w:hint="eastAsia" w:ascii="宋体" w:hAnsi="宋体"/>
                <w:spacing w:val="0"/>
                <w:sz w:val="18"/>
                <w:szCs w:val="18"/>
                <w:lang w:eastAsia="zh-CN"/>
              </w:rPr>
              <w:t>～</w:t>
            </w:r>
            <w:r>
              <w:rPr>
                <w:rFonts w:ascii="宋体" w:hAnsi="宋体"/>
                <w:spacing w:val="0"/>
                <w:sz w:val="18"/>
                <w:szCs w:val="18"/>
                <w:lang w:eastAsia="zh-CN"/>
              </w:rPr>
              <w:t>6 GHz</w:t>
            </w:r>
          </w:p>
        </w:tc>
        <w:tc>
          <w:tcPr>
            <w:tcW w:w="2518" w:type="dxa"/>
            <w:vAlign w:val="center"/>
          </w:tcPr>
          <w:p w14:paraId="060B4142">
            <w:pPr>
              <w:pStyle w:val="243"/>
              <w:adjustRightInd w:val="0"/>
              <w:snapToGrid w:val="0"/>
              <w:spacing w:before="0" w:after="0"/>
              <w:jc w:val="center"/>
              <w:rPr>
                <w:rFonts w:ascii="宋体" w:hAnsi="宋体"/>
                <w:spacing w:val="0"/>
                <w:sz w:val="18"/>
                <w:szCs w:val="18"/>
              </w:rPr>
            </w:pPr>
            <w:r>
              <w:rPr>
                <w:rFonts w:ascii="宋体" w:hAnsi="宋体"/>
                <w:spacing w:val="0"/>
                <w:sz w:val="18"/>
                <w:szCs w:val="18"/>
                <w:lang w:eastAsia="zh-CN"/>
              </w:rPr>
              <w:t>=0</w:t>
            </w:r>
          </w:p>
        </w:tc>
        <w:tc>
          <w:tcPr>
            <w:tcW w:w="3098" w:type="dxa"/>
            <w:vAlign w:val="center"/>
          </w:tcPr>
          <w:p w14:paraId="01E86C7C">
            <w:pPr>
              <w:pStyle w:val="243"/>
              <w:adjustRightInd w:val="0"/>
              <w:snapToGrid w:val="0"/>
              <w:spacing w:before="0" w:after="0"/>
              <w:jc w:val="center"/>
              <w:rPr>
                <w:rFonts w:ascii="宋体" w:hAnsi="宋体"/>
                <w:spacing w:val="0"/>
                <w:sz w:val="18"/>
                <w:szCs w:val="18"/>
              </w:rPr>
            </w:pPr>
            <w:r>
              <w:rPr>
                <w:rFonts w:ascii="宋体" w:hAnsi="宋体"/>
                <w:spacing w:val="0"/>
                <w:sz w:val="18"/>
                <w:szCs w:val="18"/>
              </w:rPr>
              <w:t>&lt;1 V/m</w:t>
            </w:r>
          </w:p>
        </w:tc>
      </w:tr>
      <w:tr w14:paraId="48B4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4AAA0431">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辅助装置工作</w:t>
            </w:r>
          </w:p>
        </w:tc>
        <w:tc>
          <w:tcPr>
            <w:tcW w:w="2518" w:type="dxa"/>
            <w:vAlign w:val="center"/>
          </w:tcPr>
          <w:p w14:paraId="2168F6CF">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辅助装置不工作</w:t>
            </w:r>
          </w:p>
        </w:tc>
        <w:tc>
          <w:tcPr>
            <w:tcW w:w="3098" w:type="dxa"/>
            <w:vAlign w:val="center"/>
          </w:tcPr>
          <w:p w14:paraId="79E19BE9">
            <w:pPr>
              <w:pStyle w:val="243"/>
              <w:adjustRightInd w:val="0"/>
              <w:snapToGrid w:val="0"/>
              <w:spacing w:before="0" w:after="0"/>
              <w:jc w:val="center"/>
              <w:rPr>
                <w:rFonts w:ascii="宋体" w:hAnsi="宋体"/>
                <w:spacing w:val="0"/>
                <w:sz w:val="18"/>
                <w:szCs w:val="18"/>
              </w:rPr>
            </w:pPr>
            <w:r>
              <w:rPr>
                <w:rFonts w:ascii="宋体" w:hAnsi="宋体"/>
                <w:spacing w:val="0"/>
                <w:sz w:val="18"/>
                <w:szCs w:val="18"/>
              </w:rPr>
              <w:t>–</w:t>
            </w:r>
          </w:p>
        </w:tc>
      </w:tr>
      <w:tr w14:paraId="642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0ED6A45F">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对位置敏感的电碳计量设备的工作位置</w:t>
            </w:r>
          </w:p>
        </w:tc>
        <w:tc>
          <w:tcPr>
            <w:tcW w:w="2518" w:type="dxa"/>
            <w:vAlign w:val="center"/>
          </w:tcPr>
          <w:p w14:paraId="094F1353">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lang w:eastAsia="zh-CN"/>
              </w:rPr>
              <w:t>按电碳计量设备相关规定安装</w:t>
            </w:r>
          </w:p>
        </w:tc>
        <w:tc>
          <w:tcPr>
            <w:tcW w:w="3098" w:type="dxa"/>
            <w:vAlign w:val="center"/>
          </w:tcPr>
          <w:p w14:paraId="27B8A52F">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±0.5°</w:t>
            </w:r>
          </w:p>
        </w:tc>
      </w:tr>
      <w:tr w14:paraId="0EA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2D058B2B">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射频场感应的传导干扰</w:t>
            </w:r>
            <w:bookmarkStart w:id="67" w:name="OLE_LINK813"/>
            <w:bookmarkStart w:id="68" w:name="OLE_LINK814"/>
            <w:r>
              <w:rPr>
                <w:rFonts w:hint="eastAsia" w:ascii="宋体" w:hAnsi="宋体"/>
                <w:spacing w:val="0"/>
                <w:sz w:val="18"/>
                <w:szCs w:val="18"/>
                <w:lang w:eastAsia="zh-CN"/>
              </w:rPr>
              <w:t>，</w:t>
            </w:r>
            <w:r>
              <w:rPr>
                <w:rFonts w:ascii="宋体" w:hAnsi="宋体"/>
                <w:spacing w:val="0"/>
                <w:sz w:val="18"/>
                <w:szCs w:val="18"/>
                <w:lang w:eastAsia="zh-CN"/>
              </w:rPr>
              <w:t>150 kHz</w:t>
            </w:r>
            <w:r>
              <w:rPr>
                <w:rFonts w:hint="eastAsia" w:ascii="宋体" w:hAnsi="宋体"/>
                <w:spacing w:val="0"/>
                <w:sz w:val="18"/>
                <w:szCs w:val="18"/>
                <w:lang w:eastAsia="zh-CN"/>
              </w:rPr>
              <w:t>～</w:t>
            </w:r>
            <w:r>
              <w:rPr>
                <w:rFonts w:ascii="宋体" w:hAnsi="宋体"/>
                <w:spacing w:val="0"/>
                <w:sz w:val="18"/>
                <w:szCs w:val="18"/>
                <w:lang w:eastAsia="zh-CN"/>
              </w:rPr>
              <w:t>80 MHz</w:t>
            </w:r>
            <w:bookmarkEnd w:id="67"/>
            <w:bookmarkEnd w:id="68"/>
          </w:p>
        </w:tc>
        <w:tc>
          <w:tcPr>
            <w:tcW w:w="2518" w:type="dxa"/>
          </w:tcPr>
          <w:p w14:paraId="3B70ECA1">
            <w:pPr>
              <w:pStyle w:val="243"/>
              <w:adjustRightInd w:val="0"/>
              <w:snapToGrid w:val="0"/>
              <w:spacing w:before="0" w:after="0"/>
              <w:jc w:val="center"/>
              <w:rPr>
                <w:rFonts w:ascii="宋体" w:hAnsi="宋体"/>
                <w:spacing w:val="0"/>
                <w:sz w:val="18"/>
                <w:szCs w:val="18"/>
              </w:rPr>
            </w:pPr>
            <w:r>
              <w:rPr>
                <w:rFonts w:ascii="宋体" w:hAnsi="宋体"/>
                <w:spacing w:val="0"/>
                <w:sz w:val="18"/>
                <w:szCs w:val="18"/>
                <w:lang w:eastAsia="zh-CN"/>
              </w:rPr>
              <w:t>=0</w:t>
            </w:r>
          </w:p>
        </w:tc>
        <w:tc>
          <w:tcPr>
            <w:tcW w:w="3098" w:type="dxa"/>
            <w:vAlign w:val="center"/>
          </w:tcPr>
          <w:p w14:paraId="1F3311A4">
            <w:pPr>
              <w:pStyle w:val="243"/>
              <w:adjustRightInd w:val="0"/>
              <w:snapToGrid w:val="0"/>
              <w:spacing w:before="0" w:after="0"/>
              <w:jc w:val="center"/>
              <w:rPr>
                <w:rFonts w:ascii="宋体" w:hAnsi="宋体"/>
                <w:spacing w:val="0"/>
                <w:sz w:val="18"/>
                <w:szCs w:val="18"/>
              </w:rPr>
            </w:pPr>
            <w:r>
              <w:rPr>
                <w:rFonts w:hint="eastAsia" w:ascii="宋体" w:hAnsi="宋体"/>
                <w:spacing w:val="0"/>
                <w:sz w:val="18"/>
                <w:szCs w:val="18"/>
              </w:rPr>
              <w:t>＜</w:t>
            </w:r>
            <w:r>
              <w:rPr>
                <w:rFonts w:ascii="宋体" w:hAnsi="宋体"/>
                <w:spacing w:val="0"/>
                <w:sz w:val="18"/>
                <w:szCs w:val="18"/>
              </w:rPr>
              <w:t>1 V</w:t>
            </w:r>
          </w:p>
        </w:tc>
      </w:tr>
      <w:tr w14:paraId="3C94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15F11793">
            <w:pPr>
              <w:pStyle w:val="243"/>
              <w:adjustRightInd w:val="0"/>
              <w:snapToGrid w:val="0"/>
              <w:spacing w:before="0" w:after="0"/>
              <w:rPr>
                <w:rFonts w:ascii="宋体" w:hAnsi="宋体"/>
                <w:spacing w:val="0"/>
                <w:sz w:val="18"/>
                <w:szCs w:val="18"/>
                <w:lang w:eastAsia="zh-CN"/>
              </w:rPr>
            </w:pPr>
            <w:r>
              <w:rPr>
                <w:rFonts w:ascii="宋体" w:hAnsi="宋体"/>
                <w:spacing w:val="0"/>
                <w:sz w:val="18"/>
                <w:szCs w:val="18"/>
                <w:lang w:eastAsia="zh-CN"/>
              </w:rPr>
              <w:t>2</w:t>
            </w:r>
            <w:bookmarkStart w:id="69" w:name="OLE_LINK815"/>
            <w:bookmarkStart w:id="70" w:name="OLE_LINK816"/>
            <w:r>
              <w:rPr>
                <w:rFonts w:ascii="宋体" w:hAnsi="宋体"/>
                <w:spacing w:val="0"/>
                <w:sz w:val="18"/>
                <w:szCs w:val="18"/>
                <w:lang w:eastAsia="zh-CN"/>
              </w:rPr>
              <w:t xml:space="preserve"> kHz</w:t>
            </w:r>
            <w:bookmarkEnd w:id="69"/>
            <w:bookmarkEnd w:id="70"/>
            <w:r>
              <w:rPr>
                <w:rFonts w:hint="eastAsia" w:ascii="宋体" w:hAnsi="宋体"/>
                <w:spacing w:val="0"/>
                <w:sz w:val="18"/>
                <w:szCs w:val="18"/>
                <w:lang w:eastAsia="zh-CN"/>
              </w:rPr>
              <w:t>～</w:t>
            </w:r>
            <w:r>
              <w:rPr>
                <w:rFonts w:ascii="宋体" w:hAnsi="宋体"/>
                <w:spacing w:val="0"/>
                <w:sz w:val="18"/>
                <w:szCs w:val="18"/>
                <w:lang w:eastAsia="zh-CN"/>
              </w:rPr>
              <w:t>150 kHz</w:t>
            </w:r>
            <w:r>
              <w:rPr>
                <w:rFonts w:hint="eastAsia" w:ascii="宋体" w:hAnsi="宋体"/>
                <w:spacing w:val="0"/>
                <w:sz w:val="18"/>
                <w:szCs w:val="18"/>
                <w:lang w:eastAsia="zh-CN"/>
              </w:rPr>
              <w:t>频率范围内的传导差模电流</w:t>
            </w:r>
          </w:p>
        </w:tc>
        <w:tc>
          <w:tcPr>
            <w:tcW w:w="2518" w:type="dxa"/>
          </w:tcPr>
          <w:p w14:paraId="0062CC38">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=0</w:t>
            </w:r>
          </w:p>
        </w:tc>
        <w:tc>
          <w:tcPr>
            <w:tcW w:w="3098" w:type="dxa"/>
            <w:vAlign w:val="center"/>
          </w:tcPr>
          <w:p w14:paraId="3DA3EF49">
            <w:pPr>
              <w:pStyle w:val="243"/>
              <w:adjustRightInd w:val="0"/>
              <w:snapToGrid w:val="0"/>
              <w:spacing w:before="0" w:after="0"/>
              <w:jc w:val="center"/>
              <w:rPr>
                <w:rFonts w:ascii="宋体" w:hAnsi="宋体"/>
                <w:spacing w:val="0"/>
                <w:sz w:val="18"/>
                <w:szCs w:val="18"/>
                <w:lang w:eastAsia="zh-CN"/>
              </w:rPr>
            </w:pPr>
            <w:r>
              <w:rPr>
                <w:rFonts w:hint="eastAsia" w:ascii="宋体" w:hAnsi="宋体"/>
                <w:spacing w:val="0"/>
                <w:sz w:val="18"/>
                <w:szCs w:val="18"/>
              </w:rPr>
              <w:t>＜</w:t>
            </w:r>
            <w:r>
              <w:rPr>
                <w:rFonts w:ascii="宋体" w:hAnsi="宋体"/>
                <w:spacing w:val="0"/>
                <w:sz w:val="18"/>
                <w:szCs w:val="18"/>
                <w:lang w:eastAsia="zh-CN"/>
              </w:rPr>
              <w:t>0.</w:t>
            </w:r>
            <w:r>
              <w:rPr>
                <w:rFonts w:ascii="宋体" w:hAnsi="宋体"/>
                <w:spacing w:val="0"/>
                <w:sz w:val="18"/>
                <w:szCs w:val="18"/>
              </w:rPr>
              <w:t xml:space="preserve">1 </w:t>
            </w:r>
            <w:r>
              <w:rPr>
                <w:rFonts w:ascii="宋体" w:hAnsi="宋体"/>
                <w:spacing w:val="0"/>
                <w:sz w:val="18"/>
                <w:szCs w:val="18"/>
                <w:lang w:eastAsia="zh-CN"/>
              </w:rPr>
              <w:t>A</w:t>
            </w:r>
          </w:p>
        </w:tc>
      </w:tr>
      <w:tr w14:paraId="77AF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634" w:type="dxa"/>
            <w:vAlign w:val="center"/>
          </w:tcPr>
          <w:p w14:paraId="223EE1AE">
            <w:pPr>
              <w:pStyle w:val="243"/>
              <w:adjustRightInd w:val="0"/>
              <w:snapToGrid w:val="0"/>
              <w:spacing w:before="0" w:after="0"/>
              <w:rPr>
                <w:rFonts w:ascii="宋体" w:hAnsi="宋体"/>
                <w:spacing w:val="0"/>
                <w:sz w:val="18"/>
                <w:szCs w:val="18"/>
                <w:lang w:eastAsia="zh-CN"/>
              </w:rPr>
            </w:pPr>
            <w:r>
              <w:rPr>
                <w:rFonts w:hint="eastAsia" w:ascii="宋体" w:hAnsi="宋体"/>
                <w:spacing w:val="0"/>
                <w:sz w:val="18"/>
                <w:szCs w:val="18"/>
                <w:lang w:eastAsia="zh-CN"/>
              </w:rPr>
              <w:t>直流电压纹波</w:t>
            </w:r>
          </w:p>
        </w:tc>
        <w:tc>
          <w:tcPr>
            <w:tcW w:w="2518" w:type="dxa"/>
          </w:tcPr>
          <w:p w14:paraId="4E8C8F77">
            <w:pPr>
              <w:pStyle w:val="243"/>
              <w:adjustRightInd w:val="0"/>
              <w:snapToGrid w:val="0"/>
              <w:spacing w:before="0" w:after="0"/>
              <w:jc w:val="center"/>
              <w:rPr>
                <w:rFonts w:ascii="宋体" w:hAnsi="宋体"/>
                <w:spacing w:val="0"/>
                <w:sz w:val="18"/>
                <w:szCs w:val="18"/>
                <w:lang w:eastAsia="zh-CN"/>
              </w:rPr>
            </w:pPr>
            <w:r>
              <w:rPr>
                <w:rFonts w:ascii="宋体" w:hAnsi="宋体"/>
                <w:spacing w:val="0"/>
                <w:sz w:val="18"/>
                <w:szCs w:val="18"/>
                <w:lang w:eastAsia="zh-CN"/>
              </w:rPr>
              <w:t>=0</w:t>
            </w:r>
          </w:p>
        </w:tc>
        <w:tc>
          <w:tcPr>
            <w:tcW w:w="3098" w:type="dxa"/>
            <w:vAlign w:val="center"/>
          </w:tcPr>
          <w:p w14:paraId="0B8F5AEF">
            <w:pPr>
              <w:pStyle w:val="243"/>
              <w:adjustRightInd w:val="0"/>
              <w:snapToGrid w:val="0"/>
              <w:spacing w:before="0" w:after="0"/>
              <w:jc w:val="center"/>
              <w:rPr>
                <w:rFonts w:ascii="宋体" w:hAnsi="宋体"/>
                <w:spacing w:val="0"/>
                <w:sz w:val="18"/>
                <w:szCs w:val="18"/>
              </w:rPr>
            </w:pPr>
            <w:r>
              <w:rPr>
                <w:rFonts w:ascii="宋体" w:hAnsi="宋体"/>
                <w:spacing w:val="0"/>
                <w:sz w:val="18"/>
                <w:szCs w:val="18"/>
                <w:lang w:eastAsia="zh-CN"/>
              </w:rPr>
              <w:t>±1.0%</w:t>
            </w:r>
          </w:p>
        </w:tc>
      </w:tr>
      <w:tr w14:paraId="0E9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457" w:hRule="atLeast"/>
          <w:jc w:val="center"/>
        </w:trPr>
        <w:tc>
          <w:tcPr>
            <w:tcW w:w="9250" w:type="dxa"/>
            <w:gridSpan w:val="3"/>
            <w:vAlign w:val="center"/>
          </w:tcPr>
          <w:p w14:paraId="1C0E43EA">
            <w:pPr>
              <w:pStyle w:val="242"/>
              <w:ind w:left="19" w:firstLine="0"/>
              <w:rPr>
                <w:rFonts w:hAnsi="宋体" w:eastAsia="黑体"/>
                <w:lang w:val="en-GB"/>
              </w:rPr>
            </w:pPr>
            <w:r>
              <w:rPr>
                <w:rFonts w:hint="eastAsia" w:hAnsi="宋体"/>
                <w:snapToGrid w:val="0"/>
                <w:vertAlign w:val="superscript"/>
              </w:rPr>
              <w:t>a</w:t>
            </w:r>
            <w:r>
              <w:rPr>
                <w:rFonts w:hAnsi="宋体"/>
              </w:rPr>
              <w:t>应没有霜、露、冷凝水、雨等存在。</w:t>
            </w:r>
          </w:p>
        </w:tc>
      </w:tr>
      <w:tr w14:paraId="4F83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817" w:hRule="atLeast"/>
          <w:jc w:val="center"/>
        </w:trPr>
        <w:tc>
          <w:tcPr>
            <w:tcW w:w="9250" w:type="dxa"/>
            <w:gridSpan w:val="3"/>
            <w:vAlign w:val="center"/>
          </w:tcPr>
          <w:p w14:paraId="7AE25428">
            <w:pPr>
              <w:pStyle w:val="242"/>
              <w:ind w:left="469" w:leftChars="9" w:hanging="450" w:hangingChars="250"/>
              <w:rPr>
                <w:rFonts w:ascii="黑体" w:hAnsi="黑体" w:eastAsia="黑体"/>
                <w:vertAlign w:val="subscript"/>
              </w:rPr>
            </w:pPr>
            <w:r>
              <w:rPr>
                <w:rFonts w:hint="eastAsia" w:hAnsi="宋体" w:eastAsia="黑体"/>
              </w:rPr>
              <w:t>1.</w:t>
            </w:r>
            <w:r>
              <w:rPr>
                <w:rFonts w:hint="eastAsia" w:hAnsi="宋体" w:eastAsia="黑体"/>
                <w:lang w:val="en-GB"/>
              </w:rPr>
              <w:t>单相</w:t>
            </w:r>
            <w:r>
              <w:rPr>
                <w:rFonts w:hint="eastAsia" w:hAnsi="宋体"/>
                <w:lang w:val="en-GB"/>
              </w:rPr>
              <w:t>电碳计量设备误差偏移计算方法：首先将电碳计量设备与电源正常连接来测定各误差，然后将电流电路和电压电路反向连接后测定各误差，两个误差之差的一半就是误差偏移的值。由于外磁场相位未知，检验宜在</w:t>
            </w:r>
            <w:r>
              <w:rPr>
                <w:rFonts w:hAnsi="宋体"/>
                <w:i/>
                <w:lang w:val="en-GB"/>
              </w:rPr>
              <w:t>I</w:t>
            </w:r>
            <w:r>
              <w:rPr>
                <w:rFonts w:hAnsi="宋体"/>
                <w:vertAlign w:val="subscript"/>
                <w:lang w:val="en-GB"/>
              </w:rPr>
              <w:t>tr</w:t>
            </w:r>
            <w:r>
              <w:rPr>
                <w:rFonts w:hint="eastAsia" w:hAnsi="宋体"/>
                <w:lang w:val="en-GB"/>
              </w:rPr>
              <w:t>，功率因数为0.5感性以及0.5</w:t>
            </w:r>
            <w:r>
              <w:rPr>
                <w:rFonts w:hAnsi="宋体"/>
                <w:i/>
                <w:lang w:val="en-GB"/>
              </w:rPr>
              <w:t>I</w:t>
            </w:r>
            <w:r>
              <w:rPr>
                <w:rFonts w:hAnsi="宋体"/>
                <w:vertAlign w:val="subscript"/>
                <w:lang w:val="en-GB"/>
              </w:rPr>
              <w:t>tr</w:t>
            </w:r>
            <w:r>
              <w:rPr>
                <w:rFonts w:hAnsi="宋体"/>
                <w:lang w:val="en-GB"/>
              </w:rPr>
              <w:t>、</w:t>
            </w:r>
            <w:r>
              <w:rPr>
                <w:rFonts w:hint="eastAsia" w:hAnsi="宋体"/>
                <w:lang w:val="en-GB"/>
              </w:rPr>
              <w:t>功率因数为1的条件写进行。</w:t>
            </w:r>
          </w:p>
          <w:p w14:paraId="043035DB">
            <w:pPr>
              <w:pStyle w:val="242"/>
              <w:ind w:left="469" w:leftChars="9" w:hanging="450" w:hangingChars="250"/>
              <w:rPr>
                <w:rFonts w:hAnsi="宋体" w:eastAsia="黑体"/>
                <w:lang w:val="en-GB"/>
              </w:rPr>
            </w:pPr>
            <w:bookmarkStart w:id="71" w:name="OLE_LINK7"/>
            <w:bookmarkStart w:id="72" w:name="OLE_LINK8"/>
            <w:r>
              <w:rPr>
                <w:rFonts w:hint="eastAsia" w:hAnsi="宋体" w:eastAsia="黑体"/>
              </w:rPr>
              <w:t>2.</w:t>
            </w:r>
            <w:r>
              <w:rPr>
                <w:rFonts w:hint="eastAsia" w:hAnsi="宋体" w:eastAsia="黑体"/>
                <w:lang w:val="en-GB"/>
              </w:rPr>
              <w:t>三相</w:t>
            </w:r>
            <w:r>
              <w:rPr>
                <w:rFonts w:hint="eastAsia" w:hAnsi="宋体"/>
                <w:lang w:val="en-GB"/>
              </w:rPr>
              <w:t>电碳计量设备</w:t>
            </w:r>
            <w:r>
              <w:rPr>
                <w:rFonts w:hAnsi="宋体"/>
              </w:rPr>
              <w:t>误差偏移计算方法：</w:t>
            </w:r>
            <w:bookmarkEnd w:id="71"/>
            <w:bookmarkEnd w:id="72"/>
            <w:r>
              <w:rPr>
                <w:rFonts w:hAnsi="宋体"/>
                <w:lang w:val="en-GB"/>
              </w:rPr>
              <w:t>在</w:t>
            </w:r>
            <w:r>
              <w:rPr>
                <w:rFonts w:hAnsi="宋体"/>
                <w:i/>
                <w:lang w:val="en-GB"/>
              </w:rPr>
              <w:t>I</w:t>
            </w:r>
            <w:r>
              <w:rPr>
                <w:rFonts w:hAnsi="宋体"/>
                <w:vertAlign w:val="subscript"/>
                <w:lang w:val="en-GB"/>
              </w:rPr>
              <w:t>tr</w:t>
            </w:r>
            <w:r>
              <w:rPr>
                <w:rFonts w:hAnsi="宋体"/>
                <w:lang w:val="en-GB"/>
              </w:rPr>
              <w:t>、功率因数为1的条件下进行三次测量；每次测量后，在相序不改变时，电流电路和电压电路的连接全部改变120°，测定每一误差之间（连接改变前与连接改变后）的最大差值，它们的平均值就是误差偏移的值。</w:t>
            </w:r>
          </w:p>
        </w:tc>
      </w:tr>
    </w:tbl>
    <w:p w14:paraId="353EB478">
      <w:pPr>
        <w:pStyle w:val="59"/>
        <w:ind w:firstLine="0" w:firstLineChars="0"/>
      </w:pPr>
    </w:p>
    <w:p w14:paraId="6F270B6E">
      <w:pPr>
        <w:pStyle w:val="235"/>
        <w:numPr>
          <w:ilvl w:val="0"/>
          <w:numId w:val="36"/>
        </w:numPr>
        <w:spacing w:before="312" w:after="312"/>
        <w:outlineLvl w:val="0"/>
        <w:rPr>
          <w:rFonts w:hint="eastAsia" w:ascii="Times New Roman"/>
          <w:szCs w:val="20"/>
        </w:rPr>
      </w:pPr>
      <w:bookmarkStart w:id="73" w:name="_Toc6989"/>
      <w:bookmarkStart w:id="74" w:name="_Toc8858"/>
      <w:r>
        <w:rPr>
          <w:rFonts w:hint="eastAsia" w:ascii="Times New Roman"/>
          <w:szCs w:val="20"/>
        </w:rPr>
        <w:t>检验项目</w:t>
      </w:r>
      <w:bookmarkEnd w:id="73"/>
      <w:bookmarkEnd w:id="74"/>
    </w:p>
    <w:p w14:paraId="41486EC8">
      <w:pPr>
        <w:pStyle w:val="234"/>
        <w:numPr>
          <w:ilvl w:val="1"/>
          <w:numId w:val="36"/>
        </w:numPr>
        <w:spacing w:before="156" w:after="156"/>
        <w:ind w:firstLineChars="0"/>
        <w:outlineLvl w:val="1"/>
        <w:rPr>
          <w:rFonts w:hint="eastAsia" w:ascii="Times New Roman"/>
          <w:b w:val="0"/>
          <w:highlight w:val="none"/>
        </w:rPr>
      </w:pPr>
      <w:bookmarkStart w:id="75" w:name="_Toc11066"/>
      <w:bookmarkStart w:id="76" w:name="_Toc23004"/>
      <w:r>
        <w:rPr>
          <w:rFonts w:hint="eastAsia" w:ascii="Times New Roman"/>
          <w:b w:val="0"/>
          <w:highlight w:val="none"/>
        </w:rPr>
        <w:t>机械性能</w:t>
      </w:r>
      <w:bookmarkEnd w:id="75"/>
      <w:bookmarkEnd w:id="76"/>
    </w:p>
    <w:p w14:paraId="3C97FB2D">
      <w:pPr>
        <w:pStyle w:val="236"/>
        <w:numPr>
          <w:ilvl w:val="2"/>
          <w:numId w:val="36"/>
        </w:numPr>
        <w:spacing w:before="156" w:after="156"/>
        <w:ind w:left="0" w:firstLineChars="0"/>
        <w:outlineLvl w:val="2"/>
        <w:rPr>
          <w:rFonts w:hint="eastAsia" w:ascii="Times New Roman"/>
          <w:b w:val="0"/>
        </w:rPr>
      </w:pPr>
      <w:r>
        <w:rPr>
          <w:rFonts w:hint="eastAsia" w:ascii="Times New Roman"/>
          <w:b w:val="0"/>
        </w:rPr>
        <w:t>冲击</w:t>
      </w:r>
    </w:p>
    <w:p w14:paraId="2ED72CB8">
      <w:pPr>
        <w:pStyle w:val="59"/>
        <w:ind w:firstLine="420"/>
      </w:pPr>
      <w:r>
        <w:rPr>
          <w:rFonts w:hint="eastAsia"/>
        </w:rPr>
        <w:t>按照GB/T 17215.211—2021中5.2.1规定的方法进行。</w:t>
      </w:r>
    </w:p>
    <w:p w14:paraId="25EC4D4F">
      <w:pPr>
        <w:pStyle w:val="236"/>
        <w:numPr>
          <w:ilvl w:val="2"/>
          <w:numId w:val="36"/>
        </w:numPr>
        <w:spacing w:before="156" w:after="156"/>
        <w:ind w:firstLineChars="0"/>
        <w:outlineLvl w:val="2"/>
        <w:rPr>
          <w:rFonts w:hint="eastAsia" w:ascii="Times New Roman"/>
          <w:b w:val="0"/>
        </w:rPr>
      </w:pPr>
      <w:r>
        <w:rPr>
          <w:rFonts w:hint="eastAsia" w:ascii="Times New Roman"/>
          <w:b w:val="0"/>
        </w:rPr>
        <w:t>振动</w:t>
      </w:r>
    </w:p>
    <w:p w14:paraId="7AC2AC21">
      <w:pPr>
        <w:pStyle w:val="59"/>
        <w:ind w:firstLine="420"/>
      </w:pPr>
      <w:r>
        <w:rPr>
          <w:rFonts w:hint="eastAsia"/>
        </w:rPr>
        <w:t>按照</w:t>
      </w:r>
      <w:bookmarkStart w:id="77" w:name="OLE_LINK13"/>
      <w:bookmarkStart w:id="78" w:name="OLE_LINK14"/>
      <w:r>
        <w:rPr>
          <w:rFonts w:hint="eastAsia"/>
        </w:rPr>
        <w:t>GB/T 17215.211</w:t>
      </w:r>
      <w:bookmarkEnd w:id="77"/>
      <w:bookmarkEnd w:id="78"/>
      <w:r>
        <w:rPr>
          <w:rFonts w:hint="eastAsia"/>
        </w:rPr>
        <w:t>—2021中5.2.2规定的方法进行。</w:t>
      </w:r>
    </w:p>
    <w:p w14:paraId="36E90DEA">
      <w:pPr>
        <w:pStyle w:val="236"/>
        <w:numPr>
          <w:ilvl w:val="2"/>
          <w:numId w:val="36"/>
        </w:numPr>
        <w:spacing w:before="156" w:after="156"/>
        <w:ind w:firstLineChars="0"/>
        <w:outlineLvl w:val="2"/>
        <w:rPr>
          <w:rFonts w:hint="eastAsia" w:ascii="Times New Roman"/>
          <w:b w:val="0"/>
        </w:rPr>
      </w:pPr>
      <w:r>
        <w:rPr>
          <w:rFonts w:hint="eastAsia" w:ascii="Times New Roman"/>
          <w:b w:val="0"/>
        </w:rPr>
        <w:t>弹簧锤</w:t>
      </w:r>
    </w:p>
    <w:p w14:paraId="10736B75">
      <w:pPr>
        <w:pStyle w:val="59"/>
        <w:ind w:firstLine="420"/>
        <w:rPr>
          <w:rFonts w:hint="eastAsia"/>
        </w:rPr>
      </w:pPr>
      <w:r>
        <w:rPr>
          <w:rFonts w:hint="eastAsia"/>
        </w:rPr>
        <w:t>按照</w:t>
      </w:r>
      <w:bookmarkStart w:id="79" w:name="OLE_LINK12"/>
      <w:r>
        <w:rPr>
          <w:rFonts w:hint="eastAsia"/>
        </w:rPr>
        <w:t>GB/T 17215.231—2021</w:t>
      </w:r>
      <w:bookmarkEnd w:id="79"/>
      <w:r>
        <w:rPr>
          <w:rFonts w:hint="eastAsia"/>
        </w:rPr>
        <w:t>中8.2规定的方法进行。</w:t>
      </w:r>
    </w:p>
    <w:p w14:paraId="4C5CC2FE">
      <w:pPr>
        <w:pStyle w:val="236"/>
        <w:numPr>
          <w:ilvl w:val="2"/>
          <w:numId w:val="36"/>
        </w:numPr>
        <w:spacing w:before="156" w:after="156"/>
        <w:ind w:firstLineChars="0"/>
        <w:outlineLvl w:val="2"/>
        <w:rPr>
          <w:rFonts w:hint="eastAsia" w:ascii="Times New Roman"/>
          <w:b w:val="0"/>
        </w:rPr>
      </w:pPr>
      <w:r>
        <w:rPr>
          <w:rFonts w:hint="eastAsia" w:ascii="Times New Roman"/>
          <w:b w:val="0"/>
        </w:rPr>
        <w:t>防护等级</w:t>
      </w:r>
    </w:p>
    <w:p w14:paraId="777187AE">
      <w:pPr>
        <w:pStyle w:val="59"/>
        <w:ind w:firstLine="420"/>
        <w:rPr>
          <w:rFonts w:hint="eastAsia"/>
        </w:rPr>
      </w:pPr>
      <w:r>
        <w:rPr>
          <w:rFonts w:hint="eastAsia"/>
        </w:rPr>
        <w:t>按照GB 4208—2017中第13章和第14章规定的方法进行</w:t>
      </w:r>
    </w:p>
    <w:p w14:paraId="152EF2E3">
      <w:pPr>
        <w:pStyle w:val="236"/>
        <w:numPr>
          <w:ilvl w:val="2"/>
          <w:numId w:val="36"/>
        </w:numPr>
        <w:spacing w:before="156" w:after="156"/>
        <w:ind w:firstLineChars="0"/>
        <w:outlineLvl w:val="2"/>
        <w:rPr>
          <w:rFonts w:hint="eastAsia"/>
        </w:rPr>
      </w:pPr>
      <w:r>
        <w:rPr>
          <w:rFonts w:hint="eastAsia" w:ascii="Times New Roman"/>
          <w:b w:val="0"/>
        </w:rPr>
        <w:t>耐热阻燃</w:t>
      </w:r>
    </w:p>
    <w:p w14:paraId="4BBD8448">
      <w:pPr>
        <w:pStyle w:val="59"/>
        <w:ind w:firstLine="420"/>
        <w:rPr>
          <w:rFonts w:hint="eastAsia"/>
        </w:rPr>
      </w:pPr>
      <w:r>
        <w:rPr>
          <w:rFonts w:hint="eastAsia"/>
        </w:rPr>
        <w:t>按照GB/T 17215.231—2021中第9章规定的方法进行。</w:t>
      </w:r>
    </w:p>
    <w:p w14:paraId="215C4550">
      <w:pPr>
        <w:pStyle w:val="236"/>
        <w:numPr>
          <w:ilvl w:val="2"/>
          <w:numId w:val="36"/>
        </w:numPr>
        <w:spacing w:before="156" w:after="156"/>
        <w:ind w:firstLineChars="0"/>
        <w:outlineLvl w:val="2"/>
        <w:rPr>
          <w:rFonts w:hint="eastAsia"/>
        </w:rPr>
      </w:pPr>
      <w:r>
        <w:rPr>
          <w:rFonts w:hint="eastAsia" w:ascii="Times New Roman"/>
          <w:b w:val="0"/>
        </w:rPr>
        <w:t>盐雾</w:t>
      </w:r>
    </w:p>
    <w:p w14:paraId="6EB74EE2">
      <w:pPr>
        <w:pStyle w:val="59"/>
        <w:ind w:firstLine="420"/>
        <w:rPr>
          <w:rFonts w:hint="eastAsia"/>
        </w:rPr>
      </w:pPr>
      <w:r>
        <w:rPr>
          <w:rFonts w:hint="eastAsia"/>
        </w:rPr>
        <w:t>按照GB/T 2423.17-2024附录B规定的方法进行。</w:t>
      </w:r>
    </w:p>
    <w:p w14:paraId="2A586A34">
      <w:pPr>
        <w:pStyle w:val="234"/>
        <w:numPr>
          <w:ilvl w:val="1"/>
          <w:numId w:val="36"/>
        </w:numPr>
        <w:spacing w:before="156" w:after="156"/>
        <w:ind w:firstLineChars="0"/>
        <w:outlineLvl w:val="1"/>
        <w:rPr>
          <w:rFonts w:hint="eastAsia" w:ascii="Times New Roman"/>
          <w:b w:val="0"/>
        </w:rPr>
      </w:pPr>
      <w:bookmarkStart w:id="80" w:name="_Toc13627"/>
      <w:bookmarkStart w:id="81" w:name="_Toc29061"/>
      <w:r>
        <w:rPr>
          <w:rFonts w:hint="eastAsia" w:ascii="Times New Roman"/>
          <w:b w:val="0"/>
        </w:rPr>
        <w:t>气候环境影响</w:t>
      </w:r>
      <w:bookmarkEnd w:id="80"/>
      <w:bookmarkEnd w:id="81"/>
    </w:p>
    <w:p w14:paraId="7B07BF0A">
      <w:pPr>
        <w:pStyle w:val="59"/>
        <w:ind w:firstLine="0" w:firstLineChars="0"/>
      </w:pPr>
      <w:r>
        <w:rPr>
          <w:rFonts w:hint="eastAsia" w:ascii="黑体" w:hAnsi="黑体" w:eastAsia="黑体" w:cs="黑体"/>
          <w:szCs w:val="21"/>
        </w:rPr>
        <w:t>5.2.1</w:t>
      </w:r>
      <w:r>
        <w:rPr>
          <w:rFonts w:hint="eastAsia"/>
        </w:rPr>
        <w:t xml:space="preserve">  检验项目包括高温试验、低温试验、交变湿热试验、阳光辐射试验、防尘试验、防水试验、耐久性试验等。</w:t>
      </w:r>
    </w:p>
    <w:p w14:paraId="2CB36488">
      <w:pPr>
        <w:pStyle w:val="59"/>
        <w:ind w:firstLine="0" w:firstLineChars="0"/>
      </w:pPr>
      <w:r>
        <w:rPr>
          <w:rFonts w:hint="eastAsia" w:ascii="黑体" w:hAnsi="黑体" w:eastAsia="黑体" w:cs="黑体"/>
          <w:szCs w:val="21"/>
        </w:rPr>
        <w:t xml:space="preserve">5.2.2 </w:t>
      </w:r>
      <w:r>
        <w:rPr>
          <w:rFonts w:hint="eastAsia"/>
        </w:rPr>
        <w:t xml:space="preserve"> 按照GB/T 17215.211—2021第8章规定的方法进行。</w:t>
      </w:r>
    </w:p>
    <w:p w14:paraId="518C4909">
      <w:pPr>
        <w:pStyle w:val="234"/>
        <w:numPr>
          <w:ilvl w:val="1"/>
          <w:numId w:val="36"/>
        </w:numPr>
        <w:spacing w:before="156" w:after="156"/>
        <w:ind w:firstLineChars="0"/>
        <w:outlineLvl w:val="1"/>
        <w:rPr>
          <w:rFonts w:hint="eastAsia" w:ascii="Times New Roman"/>
          <w:b w:val="0"/>
        </w:rPr>
      </w:pPr>
      <w:bookmarkStart w:id="82" w:name="_Toc27628"/>
      <w:bookmarkStart w:id="83" w:name="_Toc13137"/>
      <w:r>
        <w:rPr>
          <w:rFonts w:hint="eastAsia" w:ascii="Times New Roman"/>
          <w:b w:val="0"/>
        </w:rPr>
        <w:t>外观和标识</w:t>
      </w:r>
      <w:bookmarkEnd w:id="82"/>
      <w:bookmarkEnd w:id="83"/>
    </w:p>
    <w:p w14:paraId="24DACEC4">
      <w:pPr>
        <w:pStyle w:val="236"/>
        <w:numPr>
          <w:ilvl w:val="2"/>
          <w:numId w:val="36"/>
        </w:numPr>
        <w:spacing w:before="156" w:after="156"/>
        <w:ind w:firstLineChars="0"/>
        <w:outlineLvl w:val="2"/>
        <w:rPr>
          <w:rFonts w:hint="eastAsia" w:ascii="Times New Roman"/>
          <w:b w:val="0"/>
        </w:rPr>
      </w:pPr>
      <w:r>
        <w:rPr>
          <w:rFonts w:hint="eastAsia" w:ascii="Times New Roman"/>
          <w:b w:val="0"/>
        </w:rPr>
        <w:t>外观检查</w:t>
      </w:r>
    </w:p>
    <w:p w14:paraId="26DDF769">
      <w:pPr>
        <w:pStyle w:val="59"/>
        <w:ind w:firstLine="420"/>
      </w:pPr>
      <w:r>
        <w:rPr>
          <w:rFonts w:hint="eastAsia"/>
        </w:rPr>
        <w:t>目测法。</w:t>
      </w:r>
    </w:p>
    <w:p w14:paraId="5551365E">
      <w:pPr>
        <w:pStyle w:val="236"/>
        <w:numPr>
          <w:ilvl w:val="2"/>
          <w:numId w:val="36"/>
        </w:numPr>
        <w:spacing w:before="156" w:after="156"/>
        <w:ind w:firstLineChars="0"/>
        <w:outlineLvl w:val="2"/>
        <w:rPr>
          <w:rFonts w:hint="eastAsia" w:ascii="Times New Roman"/>
          <w:b w:val="0"/>
        </w:rPr>
      </w:pPr>
      <w:r>
        <w:rPr>
          <w:rFonts w:hint="eastAsia" w:ascii="Times New Roman"/>
          <w:b w:val="0"/>
        </w:rPr>
        <w:t>标识检查</w:t>
      </w:r>
    </w:p>
    <w:p w14:paraId="7C2C23AB">
      <w:pPr>
        <w:pStyle w:val="59"/>
        <w:ind w:firstLine="420" w:firstLineChars="0"/>
      </w:pPr>
      <w:r>
        <w:rPr>
          <w:rFonts w:hint="eastAsia"/>
        </w:rPr>
        <w:t>目测法。</w:t>
      </w:r>
    </w:p>
    <w:p w14:paraId="20E15269">
      <w:pPr>
        <w:pStyle w:val="234"/>
        <w:numPr>
          <w:ilvl w:val="1"/>
          <w:numId w:val="36"/>
        </w:numPr>
        <w:spacing w:before="156" w:after="156"/>
        <w:ind w:firstLineChars="0"/>
        <w:outlineLvl w:val="1"/>
        <w:rPr>
          <w:rFonts w:hint="eastAsia" w:ascii="Times New Roman"/>
          <w:b w:val="0"/>
        </w:rPr>
      </w:pPr>
      <w:bookmarkStart w:id="84" w:name="_Toc20565"/>
      <w:bookmarkStart w:id="85" w:name="_Toc921"/>
      <w:r>
        <w:rPr>
          <w:rFonts w:hint="eastAsia" w:ascii="Times New Roman"/>
          <w:b w:val="0"/>
        </w:rPr>
        <w:t>电气性能</w:t>
      </w:r>
      <w:bookmarkEnd w:id="84"/>
      <w:bookmarkEnd w:id="85"/>
    </w:p>
    <w:p w14:paraId="2FD15CB8">
      <w:pPr>
        <w:pStyle w:val="59"/>
        <w:ind w:firstLine="420"/>
      </w:pPr>
      <w:r>
        <w:rPr>
          <w:rFonts w:hint="eastAsia"/>
        </w:rPr>
        <w:t>按照GB/T 17215.321—2021中第11章规定的方法进行。</w:t>
      </w:r>
    </w:p>
    <w:p w14:paraId="088B5FB7">
      <w:pPr>
        <w:pStyle w:val="234"/>
        <w:numPr>
          <w:ilvl w:val="1"/>
          <w:numId w:val="36"/>
        </w:numPr>
        <w:spacing w:before="156" w:after="156"/>
        <w:ind w:firstLineChars="0"/>
        <w:outlineLvl w:val="1"/>
        <w:rPr>
          <w:rFonts w:hint="eastAsia" w:ascii="Times New Roman"/>
          <w:b w:val="0"/>
        </w:rPr>
      </w:pPr>
      <w:bookmarkStart w:id="86" w:name="_Toc12480"/>
      <w:bookmarkStart w:id="87" w:name="_Toc1730"/>
      <w:r>
        <w:rPr>
          <w:rFonts w:hint="eastAsia" w:ascii="Times New Roman"/>
          <w:b w:val="0"/>
        </w:rPr>
        <w:t>外部影响</w:t>
      </w:r>
      <w:bookmarkEnd w:id="86"/>
      <w:bookmarkEnd w:id="87"/>
    </w:p>
    <w:p w14:paraId="34E772F7">
      <w:pPr>
        <w:pStyle w:val="59"/>
        <w:ind w:firstLine="420"/>
      </w:pPr>
      <w:r>
        <w:rPr>
          <w:rFonts w:hint="eastAsia"/>
        </w:rPr>
        <w:t>按照GB/T 17215.211—2021中的第9章规定的方法进行。</w:t>
      </w:r>
    </w:p>
    <w:p w14:paraId="0CDCA857">
      <w:pPr>
        <w:pStyle w:val="234"/>
        <w:numPr>
          <w:ilvl w:val="1"/>
          <w:numId w:val="36"/>
        </w:numPr>
        <w:spacing w:before="156" w:after="156"/>
        <w:ind w:firstLineChars="0"/>
        <w:outlineLvl w:val="1"/>
        <w:rPr>
          <w:rFonts w:hint="eastAsia" w:ascii="Times New Roman"/>
          <w:b w:val="0"/>
        </w:rPr>
      </w:pPr>
      <w:bookmarkStart w:id="88" w:name="_Toc3336"/>
      <w:bookmarkStart w:id="89" w:name="_Toc26221"/>
      <w:r>
        <w:rPr>
          <w:rFonts w:hint="eastAsia" w:ascii="Times New Roman"/>
          <w:b w:val="0"/>
        </w:rPr>
        <w:t>计量性能</w:t>
      </w:r>
      <w:bookmarkEnd w:id="61"/>
      <w:bookmarkEnd w:id="88"/>
      <w:bookmarkEnd w:id="89"/>
      <w:bookmarkStart w:id="90" w:name="_Toc342648800"/>
      <w:bookmarkStart w:id="91" w:name="_Toc342573571"/>
      <w:r>
        <w:rPr>
          <w:rFonts w:hint="eastAsia" w:ascii="Times New Roman"/>
          <w:b w:val="0"/>
        </w:rPr>
        <w:t xml:space="preserve"> </w:t>
      </w:r>
    </w:p>
    <w:p w14:paraId="2B936FD1">
      <w:pPr>
        <w:pStyle w:val="236"/>
        <w:numPr>
          <w:ilvl w:val="2"/>
          <w:numId w:val="36"/>
        </w:numPr>
        <w:spacing w:before="156" w:after="156"/>
        <w:ind w:firstLineChars="0"/>
        <w:outlineLvl w:val="2"/>
        <w:rPr>
          <w:rFonts w:hint="eastAsia" w:ascii="Times New Roman"/>
          <w:b w:val="0"/>
          <w:szCs w:val="21"/>
        </w:rPr>
      </w:pPr>
      <w:r>
        <w:rPr>
          <w:rFonts w:hint="eastAsia" w:ascii="Times New Roman"/>
          <w:b w:val="0"/>
          <w:szCs w:val="21"/>
        </w:rPr>
        <w:t>电能计量准确度试验</w:t>
      </w:r>
    </w:p>
    <w:p w14:paraId="3FAFED12">
      <w:pPr>
        <w:pStyle w:val="59"/>
        <w:ind w:firstLine="420"/>
        <w:rPr>
          <w:rFonts w:hint="eastAsia"/>
          <w:szCs w:val="22"/>
        </w:rPr>
      </w:pPr>
      <w:r>
        <w:rPr>
          <w:rFonts w:hint="eastAsia"/>
          <w:szCs w:val="22"/>
        </w:rPr>
        <w:t>电能计量准确度试验，按照GB/T 17215.211—2021中第7章规定的方法进行。</w:t>
      </w:r>
    </w:p>
    <w:p w14:paraId="5FD03BF9">
      <w:pPr>
        <w:pStyle w:val="236"/>
        <w:numPr>
          <w:ilvl w:val="2"/>
          <w:numId w:val="36"/>
        </w:numPr>
        <w:spacing w:before="156" w:after="156"/>
        <w:ind w:firstLineChars="0"/>
        <w:outlineLvl w:val="2"/>
        <w:rPr>
          <w:rFonts w:hint="eastAsia" w:ascii="Times New Roman"/>
          <w:b w:val="0"/>
          <w:szCs w:val="21"/>
        </w:rPr>
      </w:pPr>
      <w:r>
        <w:rPr>
          <w:rFonts w:hint="eastAsia" w:ascii="Times New Roman"/>
          <w:b w:val="0"/>
          <w:szCs w:val="21"/>
        </w:rPr>
        <w:t>电碳计量准确度试验</w:t>
      </w:r>
    </w:p>
    <w:p w14:paraId="75873EE9">
      <w:pPr>
        <w:pStyle w:val="239"/>
        <w:numPr>
          <w:ilvl w:val="3"/>
          <w:numId w:val="36"/>
        </w:numPr>
        <w:spacing w:before="156" w:after="156"/>
        <w:ind w:firstLineChars="0"/>
        <w:outlineLvl w:val="3"/>
        <w:rPr>
          <w:rFonts w:hint="eastAsia" w:ascii="Times New Roman" w:hAnsi="Times New Roman"/>
          <w:b w:val="0"/>
          <w:szCs w:val="21"/>
        </w:rPr>
      </w:pPr>
      <w:r>
        <w:rPr>
          <w:rFonts w:hint="eastAsia" w:ascii="Times New Roman" w:hAnsi="Times New Roman"/>
          <w:b w:val="0"/>
          <w:szCs w:val="21"/>
        </w:rPr>
        <w:t>负载点</w:t>
      </w:r>
    </w:p>
    <w:p w14:paraId="37204E83">
      <w:pPr>
        <w:tabs>
          <w:tab w:val="left" w:pos="777"/>
        </w:tabs>
        <w:spacing w:line="240" w:lineRule="auto"/>
        <w:ind w:firstLine="420" w:firstLineChars="200"/>
        <w:rPr>
          <w:rFonts w:ascii="宋体" w:hAnsi="Times New Roman"/>
          <w:kern w:val="0"/>
          <w:szCs w:val="22"/>
        </w:rPr>
      </w:pPr>
      <w:r>
        <w:rPr>
          <w:rFonts w:ascii="宋体" w:hAnsi="Times New Roman"/>
          <w:kern w:val="0"/>
          <w:szCs w:val="22"/>
        </w:rPr>
        <w:t>在参比频率和参比电压下，按照表</w:t>
      </w:r>
      <w:r>
        <w:rPr>
          <w:rFonts w:hint="eastAsia" w:ascii="宋体" w:hAnsi="Times New Roman"/>
          <w:kern w:val="0"/>
          <w:szCs w:val="22"/>
        </w:rPr>
        <w:t>2</w:t>
      </w:r>
      <w:r>
        <w:rPr>
          <w:rFonts w:ascii="宋体" w:hAnsi="Times New Roman"/>
          <w:kern w:val="0"/>
          <w:szCs w:val="22"/>
        </w:rPr>
        <w:t>规定的调定负载点。在不同电碳因子下，按照负载电流逐次减小的顺序测量示值误差。根据需要， 可以增加电碳因子测量点。</w:t>
      </w:r>
    </w:p>
    <w:p w14:paraId="4D6584A0">
      <w:pPr>
        <w:tabs>
          <w:tab w:val="left" w:pos="777"/>
        </w:tabs>
        <w:spacing w:line="240" w:lineRule="auto"/>
        <w:ind w:firstLine="420" w:firstLineChars="200"/>
        <w:rPr>
          <w:rFonts w:ascii="宋体" w:hAnsi="Times New Roman"/>
          <w:kern w:val="0"/>
          <w:szCs w:val="22"/>
        </w:rPr>
      </w:pPr>
      <w:r>
        <w:rPr>
          <w:rFonts w:ascii="宋体" w:hAnsi="Times New Roman"/>
          <w:kern w:val="0"/>
          <w:szCs w:val="22"/>
        </w:rPr>
        <w:t>若计量</w:t>
      </w:r>
      <w:r>
        <w:rPr>
          <w:rFonts w:hint="eastAsia" w:ascii="宋体" w:hAnsi="Times New Roman"/>
          <w:kern w:val="0"/>
          <w:szCs w:val="22"/>
        </w:rPr>
        <w:t>设备</w:t>
      </w:r>
      <w:r>
        <w:rPr>
          <w:rFonts w:ascii="宋体" w:hAnsi="Times New Roman"/>
          <w:kern w:val="0"/>
          <w:szCs w:val="22"/>
        </w:rPr>
        <w:t>适用</w:t>
      </w:r>
      <w:r>
        <w:rPr>
          <w:rFonts w:hint="eastAsia" w:ascii="宋体" w:hAnsi="Times New Roman"/>
          <w:kern w:val="0"/>
          <w:szCs w:val="22"/>
        </w:rPr>
        <w:t>于</w:t>
      </w:r>
      <w:r>
        <w:rPr>
          <w:rFonts w:ascii="宋体" w:hAnsi="Times New Roman"/>
          <w:kern w:val="0"/>
          <w:szCs w:val="22"/>
        </w:rPr>
        <w:t>多个标称电压， 应采用实际使用的标称电压， 如不确定的应测量每一个可能用到的标称电压。</w:t>
      </w:r>
    </w:p>
    <w:p w14:paraId="5759DCA9">
      <w:pPr>
        <w:pStyle w:val="237"/>
        <w:numPr>
          <w:ilvl w:val="0"/>
          <w:numId w:val="0"/>
        </w:numPr>
        <w:spacing w:before="156" w:after="156"/>
        <w:ind w:left="0"/>
        <w:jc w:val="center"/>
        <w:rPr>
          <w:rFonts w:hint="eastAsia" w:ascii="黑体" w:hAnsi="Times New Roman"/>
          <w:kern w:val="0"/>
          <w:szCs w:val="20"/>
        </w:rPr>
      </w:pPr>
      <w:r>
        <w:rPr>
          <w:rFonts w:hint="eastAsia" w:ascii="黑体" w:hAnsi="Times New Roman"/>
          <w:kern w:val="0"/>
          <w:szCs w:val="20"/>
        </w:rPr>
        <w:t>表2</w:t>
      </w:r>
      <w:r>
        <w:rPr>
          <w:rFonts w:hint="eastAsia" w:ascii="黑体" w:hAnsi="Times New Roman"/>
          <w:kern w:val="0"/>
          <w:szCs w:val="20"/>
        </w:rPr>
        <w:tab/>
      </w:r>
      <w:r>
        <w:rPr>
          <w:rFonts w:hint="eastAsia" w:ascii="黑体" w:hAnsi="Times New Roman"/>
          <w:kern w:val="0"/>
          <w:szCs w:val="20"/>
        </w:rPr>
        <w:t>计量设备在碳排放量误差试验应调定的负载点</w:t>
      </w:r>
    </w:p>
    <w:tbl>
      <w:tblPr>
        <w:tblStyle w:val="2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784"/>
        <w:gridCol w:w="2126"/>
        <w:gridCol w:w="2368"/>
      </w:tblGrid>
      <w:tr w14:paraId="668E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43" w:type="dxa"/>
            <w:vAlign w:val="center"/>
          </w:tcPr>
          <w:p w14:paraId="7623C152">
            <w:pPr>
              <w:pStyle w:val="248"/>
              <w:spacing w:before="0" w:line="240" w:lineRule="auto"/>
              <w:ind w:firstLine="0" w:firstLineChars="0"/>
              <w:jc w:val="center"/>
              <w:rPr>
                <w:rFonts w:ascii="宋体" w:eastAsia="宋体" w:cstheme="minorBidi"/>
                <w:sz w:val="21"/>
                <w:lang w:eastAsia="zh-CN"/>
              </w:rPr>
            </w:pPr>
            <w:r>
              <w:rPr>
                <w:rFonts w:hint="eastAsia" w:ascii="宋体" w:eastAsia="宋体" w:cstheme="minorBidi"/>
                <w:sz w:val="21"/>
                <w:lang w:eastAsia="zh-CN"/>
              </w:rPr>
              <w:t>负载条件</w:t>
            </w:r>
          </w:p>
        </w:tc>
        <w:tc>
          <w:tcPr>
            <w:tcW w:w="2784" w:type="dxa"/>
            <w:vAlign w:val="center"/>
          </w:tcPr>
          <w:p w14:paraId="73A54DFB">
            <w:pPr>
              <w:pStyle w:val="248"/>
              <w:spacing w:before="0" w:line="240" w:lineRule="auto"/>
              <w:ind w:left="0" w:right="0"/>
              <w:rPr>
                <w:rFonts w:ascii="宋体" w:eastAsia="宋体" w:cstheme="minorBidi"/>
                <w:sz w:val="21"/>
                <w:lang w:eastAsia="zh-CN"/>
              </w:rPr>
            </w:pPr>
            <w:r>
              <w:rPr>
                <w:rFonts w:hint="eastAsia" w:ascii="宋体" w:eastAsia="宋体" w:cstheme="minorBidi"/>
                <w:sz w:val="21"/>
                <w:lang w:eastAsia="zh-CN"/>
              </w:rPr>
              <w:t>电碳因子</w:t>
            </w:r>
          </w:p>
        </w:tc>
        <w:tc>
          <w:tcPr>
            <w:tcW w:w="2126" w:type="dxa"/>
            <w:vAlign w:val="center"/>
          </w:tcPr>
          <w:p w14:paraId="0EFCB165">
            <w:pPr>
              <w:pStyle w:val="248"/>
              <w:spacing w:before="0" w:line="240" w:lineRule="auto"/>
              <w:ind w:left="0" w:right="0"/>
              <w:rPr>
                <w:rFonts w:ascii="宋体" w:eastAsia="宋体" w:cstheme="minorBidi"/>
                <w:sz w:val="21"/>
                <w:lang w:eastAsia="zh-CN"/>
              </w:rPr>
            </w:pPr>
            <w:r>
              <w:rPr>
                <w:rFonts w:hint="eastAsia" w:ascii="宋体" w:eastAsia="宋体" w:cstheme="minorBidi"/>
                <w:sz w:val="21"/>
                <w:lang w:eastAsia="zh-CN"/>
              </w:rPr>
              <w:t>功率因数</w:t>
            </w:r>
          </w:p>
        </w:tc>
        <w:tc>
          <w:tcPr>
            <w:tcW w:w="2368" w:type="dxa"/>
            <w:vAlign w:val="center"/>
          </w:tcPr>
          <w:p w14:paraId="23DC6CB6">
            <w:pPr>
              <w:pStyle w:val="248"/>
              <w:spacing w:before="0" w:line="240" w:lineRule="auto"/>
              <w:ind w:left="0"/>
              <w:jc w:val="center"/>
              <w:rPr>
                <w:rFonts w:ascii="宋体" w:eastAsia="宋体" w:cstheme="minorBidi"/>
                <w:sz w:val="21"/>
                <w:lang w:eastAsia="zh-CN"/>
              </w:rPr>
            </w:pPr>
            <w:r>
              <w:rPr>
                <w:rFonts w:hint="eastAsia" w:ascii="宋体" w:eastAsia="宋体" w:cstheme="minorBidi"/>
                <w:sz w:val="21"/>
                <w:lang w:eastAsia="zh-CN"/>
              </w:rPr>
              <w:t>负载电流</w:t>
            </w:r>
          </w:p>
        </w:tc>
      </w:tr>
      <w:tr w14:paraId="51EC1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843" w:type="dxa"/>
            <w:vAlign w:val="center"/>
          </w:tcPr>
          <w:p w14:paraId="67E772FF">
            <w:pPr>
              <w:pStyle w:val="248"/>
              <w:spacing w:before="0" w:line="240" w:lineRule="auto"/>
              <w:ind w:right="0" w:firstLine="0" w:firstLineChars="0"/>
              <w:jc w:val="center"/>
              <w:rPr>
                <w:rFonts w:hint="eastAsia" w:ascii="宋体" w:eastAsia="宋体" w:cstheme="minorBidi"/>
                <w:sz w:val="21"/>
                <w:lang w:eastAsia="zh-CN"/>
              </w:rPr>
            </w:pPr>
            <w:r>
              <w:rPr>
                <w:rFonts w:hint="eastAsia" w:ascii="宋体" w:eastAsia="宋体" w:cstheme="minorBidi"/>
                <w:sz w:val="21"/>
                <w:lang w:eastAsia="zh-CN"/>
              </w:rPr>
              <w:t>平衡负载，</w:t>
            </w:r>
          </w:p>
          <w:p w14:paraId="70EFF2CF">
            <w:pPr>
              <w:pStyle w:val="248"/>
              <w:spacing w:before="0" w:line="240" w:lineRule="auto"/>
              <w:ind w:right="0" w:firstLine="0" w:firstLineChars="0"/>
              <w:jc w:val="center"/>
              <w:rPr>
                <w:rFonts w:ascii="宋体" w:eastAsia="宋体" w:cstheme="minorBidi"/>
                <w:sz w:val="21"/>
                <w:lang w:eastAsia="zh-CN"/>
              </w:rPr>
            </w:pPr>
            <w:r>
              <w:rPr>
                <w:rFonts w:hint="eastAsia" w:ascii="宋体" w:eastAsia="宋体" w:cstheme="minorBidi"/>
                <w:sz w:val="21"/>
                <w:lang w:eastAsia="zh-CN"/>
              </w:rPr>
              <w:t>不平衡负载</w:t>
            </w:r>
          </w:p>
        </w:tc>
        <w:tc>
          <w:tcPr>
            <w:tcW w:w="2784" w:type="dxa"/>
            <w:vAlign w:val="center"/>
          </w:tcPr>
          <w:p w14:paraId="6388B5C9">
            <w:pPr>
              <w:pStyle w:val="248"/>
              <w:spacing w:before="0"/>
              <w:ind w:left="0" w:right="0"/>
              <w:rPr>
                <w:rFonts w:ascii="宋体" w:eastAsia="宋体" w:cstheme="minorBidi"/>
                <w:sz w:val="21"/>
                <w:lang w:eastAsia="zh-CN"/>
              </w:rPr>
            </w:pPr>
            <w:r>
              <w:rPr>
                <w:rFonts w:hint="eastAsia" w:ascii="宋体" w:eastAsia="宋体" w:cstheme="minorBidi"/>
                <w:sz w:val="21"/>
                <w:lang w:eastAsia="zh-CN"/>
              </w:rPr>
              <w:t>0.1，0.2，0.</w:t>
            </w:r>
            <w:r>
              <w:rPr>
                <w:rFonts w:hint="eastAsia" w:ascii="宋体" w:eastAsia="宋体" w:cstheme="minorBidi"/>
                <w:sz w:val="21"/>
                <w:lang w:val="en-US" w:eastAsia="zh-CN"/>
              </w:rPr>
              <w:t>5</w:t>
            </w:r>
            <w:r>
              <w:rPr>
                <w:rFonts w:hint="eastAsia" w:ascii="宋体" w:eastAsia="宋体" w:cstheme="minorBidi"/>
                <w:sz w:val="21"/>
                <w:lang w:eastAsia="zh-CN"/>
              </w:rPr>
              <w:t>，1.0</w:t>
            </w:r>
          </w:p>
        </w:tc>
        <w:tc>
          <w:tcPr>
            <w:tcW w:w="2126" w:type="dxa"/>
            <w:vAlign w:val="center"/>
          </w:tcPr>
          <w:p w14:paraId="54A6F337">
            <w:pPr>
              <w:pStyle w:val="248"/>
              <w:spacing w:before="0"/>
              <w:ind w:left="0" w:right="0"/>
              <w:rPr>
                <w:rFonts w:ascii="宋体" w:eastAsia="宋体" w:cstheme="minorBidi"/>
                <w:sz w:val="21"/>
                <w:lang w:eastAsia="zh-CN"/>
              </w:rPr>
            </w:pPr>
            <w:r>
              <w:rPr>
                <w:rFonts w:ascii="宋体" w:eastAsia="宋体" w:cstheme="minorBidi"/>
                <w:sz w:val="21"/>
                <w:lang w:eastAsia="zh-CN"/>
              </w:rPr>
              <w:t>1.0</w:t>
            </w:r>
            <w:r>
              <w:rPr>
                <w:rFonts w:hint="eastAsia" w:ascii="宋体" w:eastAsia="宋体" w:cstheme="minorBidi"/>
                <w:sz w:val="21"/>
                <w:lang w:eastAsia="zh-CN"/>
              </w:rPr>
              <w:t>，</w:t>
            </w:r>
            <w:r>
              <w:rPr>
                <w:rFonts w:hint="eastAsia" w:ascii="宋体" w:eastAsia="宋体" w:cstheme="minorBidi"/>
                <w:sz w:val="21"/>
                <w:lang w:val="en-US" w:eastAsia="zh-CN"/>
              </w:rPr>
              <w:t>0.</w:t>
            </w:r>
            <w:r>
              <w:rPr>
                <w:rFonts w:ascii="宋体" w:eastAsia="宋体" w:cstheme="minorBidi"/>
                <w:sz w:val="21"/>
                <w:lang w:eastAsia="zh-CN"/>
              </w:rPr>
              <w:t>5L, 0.8C</w:t>
            </w:r>
          </w:p>
        </w:tc>
        <w:tc>
          <w:tcPr>
            <w:tcW w:w="2368" w:type="dxa"/>
            <w:vAlign w:val="center"/>
          </w:tcPr>
          <w:p w14:paraId="321F5810">
            <w:pPr>
              <w:pStyle w:val="248"/>
              <w:spacing w:before="0"/>
              <w:ind w:left="0"/>
              <w:jc w:val="center"/>
              <w:rPr>
                <w:rFonts w:ascii="宋体" w:eastAsia="宋体" w:cstheme="minorBidi"/>
                <w:sz w:val="21"/>
                <w:lang w:eastAsia="zh-CN"/>
              </w:rPr>
            </w:pPr>
            <w:r>
              <w:rPr>
                <w:rFonts w:hint="eastAsia" w:ascii="宋体" w:eastAsia="宋体" w:cstheme="minorBidi"/>
                <w:i/>
                <w:sz w:val="21"/>
                <w:lang w:eastAsia="zh-CN"/>
              </w:rPr>
              <w:t>I</w:t>
            </w:r>
            <w:r>
              <w:rPr>
                <w:rFonts w:hint="eastAsia" w:ascii="宋体" w:eastAsia="宋体" w:cstheme="minorBidi"/>
                <w:sz w:val="21"/>
                <w:vertAlign w:val="subscript"/>
                <w:lang w:eastAsia="zh-CN"/>
              </w:rPr>
              <w:t>max</w:t>
            </w:r>
            <w:r>
              <w:rPr>
                <w:rFonts w:hint="eastAsia" w:ascii="宋体" w:eastAsia="宋体" w:cstheme="minorBidi"/>
                <w:sz w:val="21"/>
                <w:lang w:eastAsia="zh-CN"/>
              </w:rPr>
              <w:t>，</w:t>
            </w:r>
            <w:r>
              <w:rPr>
                <w:rFonts w:ascii="宋体" w:eastAsia="宋体" w:cstheme="minorBidi"/>
                <w:sz w:val="21"/>
                <w:lang w:eastAsia="zh-CN"/>
              </w:rPr>
              <w:t>0.5</w:t>
            </w:r>
            <w:r>
              <w:rPr>
                <w:rFonts w:hint="eastAsia" w:ascii="宋体" w:eastAsia="宋体" w:cstheme="minorBidi"/>
                <w:i/>
                <w:sz w:val="21"/>
                <w:lang w:eastAsia="zh-CN"/>
              </w:rPr>
              <w:t>I</w:t>
            </w:r>
            <w:r>
              <w:rPr>
                <w:rFonts w:hint="eastAsia" w:ascii="宋体" w:eastAsia="宋体" w:cstheme="minorBidi"/>
                <w:sz w:val="21"/>
                <w:vertAlign w:val="subscript"/>
                <w:lang w:eastAsia="zh-CN"/>
              </w:rPr>
              <w:t>max</w:t>
            </w:r>
            <w:r>
              <w:rPr>
                <w:rFonts w:hint="eastAsia" w:ascii="宋体" w:eastAsia="宋体" w:cstheme="minorBidi"/>
                <w:sz w:val="21"/>
                <w:lang w:eastAsia="zh-CN"/>
              </w:rPr>
              <w:t>，</w:t>
            </w:r>
          </w:p>
          <w:p w14:paraId="33A5933E">
            <w:pPr>
              <w:pStyle w:val="248"/>
              <w:spacing w:line="240" w:lineRule="auto"/>
              <w:ind w:firstLine="0" w:firstLineChars="0"/>
              <w:jc w:val="center"/>
              <w:rPr>
                <w:rFonts w:ascii="宋体" w:eastAsia="宋体" w:cstheme="minorBidi"/>
                <w:sz w:val="21"/>
                <w:lang w:eastAsia="zh-CN"/>
              </w:rPr>
            </w:pPr>
            <w:r>
              <w:rPr>
                <w:rFonts w:hint="eastAsia" w:ascii="宋体" w:eastAsia="宋体" w:cstheme="minorBidi"/>
                <w:sz w:val="21"/>
                <w:lang w:eastAsia="zh-CN"/>
              </w:rPr>
              <w:t>10</w:t>
            </w:r>
            <w:r>
              <w:rPr>
                <w:rFonts w:ascii="宋体" w:eastAsia="宋体" w:cstheme="minorBidi"/>
                <w:i/>
                <w:sz w:val="21"/>
                <w:lang w:eastAsia="zh-CN"/>
              </w:rPr>
              <w:t>I</w:t>
            </w:r>
            <w:r>
              <w:rPr>
                <w:rFonts w:hint="eastAsia" w:ascii="宋体" w:eastAsia="宋体" w:cstheme="minorBidi"/>
                <w:sz w:val="21"/>
                <w:vertAlign w:val="subscript"/>
                <w:lang w:eastAsia="zh-CN"/>
              </w:rPr>
              <w:t>tr</w:t>
            </w:r>
            <w:r>
              <w:rPr>
                <w:rFonts w:hint="eastAsia" w:ascii="宋体" w:eastAsia="宋体" w:cstheme="minorBidi"/>
                <w:sz w:val="21"/>
                <w:lang w:eastAsia="zh-CN"/>
              </w:rPr>
              <w:t>，</w:t>
            </w:r>
            <w:r>
              <w:rPr>
                <w:rFonts w:ascii="宋体" w:eastAsia="宋体" w:cstheme="minorBidi"/>
                <w:i/>
                <w:sz w:val="21"/>
                <w:lang w:eastAsia="zh-CN"/>
              </w:rPr>
              <w:t>I</w:t>
            </w:r>
            <w:r>
              <w:rPr>
                <w:rFonts w:hint="eastAsia" w:ascii="宋体" w:eastAsia="宋体" w:cstheme="minorBidi"/>
                <w:sz w:val="21"/>
                <w:vertAlign w:val="subscript"/>
                <w:lang w:eastAsia="zh-CN"/>
              </w:rPr>
              <w:t>tr</w:t>
            </w:r>
            <w:r>
              <w:rPr>
                <w:rFonts w:hint="eastAsia" w:ascii="宋体" w:eastAsia="宋体" w:cstheme="minorBidi"/>
                <w:sz w:val="21"/>
                <w:lang w:eastAsia="zh-CN"/>
              </w:rPr>
              <w:t>，</w:t>
            </w:r>
            <w:r>
              <w:rPr>
                <w:rFonts w:hint="eastAsia" w:ascii="宋体" w:eastAsia="宋体" w:cstheme="minorBidi"/>
                <w:i/>
                <w:sz w:val="21"/>
                <w:lang w:eastAsia="zh-CN"/>
              </w:rPr>
              <w:t>I</w:t>
            </w:r>
            <w:r>
              <w:rPr>
                <w:rFonts w:hint="eastAsia" w:ascii="宋体" w:eastAsia="宋体" w:cstheme="minorBidi"/>
                <w:sz w:val="21"/>
                <w:vertAlign w:val="subscript"/>
                <w:lang w:eastAsia="zh-CN"/>
              </w:rPr>
              <w:t>min</w:t>
            </w:r>
          </w:p>
        </w:tc>
      </w:tr>
    </w:tbl>
    <w:p w14:paraId="64C61914">
      <w:pPr>
        <w:pStyle w:val="239"/>
        <w:numPr>
          <w:ilvl w:val="3"/>
          <w:numId w:val="36"/>
        </w:numPr>
        <w:spacing w:before="156" w:after="156"/>
        <w:ind w:left="0"/>
        <w:outlineLvl w:val="3"/>
        <w:rPr>
          <w:rFonts w:hint="eastAsia" w:ascii="Times New Roman" w:hAnsi="Times New Roman"/>
          <w:b w:val="0"/>
          <w:kern w:val="0"/>
          <w:szCs w:val="21"/>
        </w:rPr>
      </w:pPr>
      <w:r>
        <w:rPr>
          <w:rFonts w:hint="eastAsia" w:ascii="Times New Roman" w:hAnsi="Times New Roman"/>
          <w:b w:val="0"/>
          <w:kern w:val="0"/>
          <w:szCs w:val="21"/>
        </w:rPr>
        <w:t>固定电碳因子法</w:t>
      </w:r>
    </w:p>
    <w:p w14:paraId="3B8343CF">
      <w:pPr>
        <w:spacing w:before="0" w:line="240" w:lineRule="auto"/>
        <w:ind w:left="0" w:right="0" w:firstLine="420" w:firstLineChars="200"/>
        <w:rPr>
          <w:rFonts w:ascii="宋体" w:hAnsi="Times New Roman"/>
          <w:kern w:val="0"/>
          <w:szCs w:val="22"/>
        </w:rPr>
      </w:pPr>
      <w:r>
        <w:rPr>
          <w:rFonts w:ascii="宋体" w:hAnsi="Times New Roman"/>
          <w:kern w:val="0"/>
          <w:szCs w:val="22"/>
        </w:rPr>
        <w:t>校准装置的标准电碳计量</w:t>
      </w:r>
      <w:r>
        <w:rPr>
          <w:rFonts w:hint="eastAsia" w:ascii="宋体" w:hAnsi="Times New Roman"/>
          <w:kern w:val="0"/>
          <w:szCs w:val="22"/>
        </w:rPr>
        <w:t>表</w:t>
      </w:r>
      <w:r>
        <w:rPr>
          <w:rFonts w:ascii="宋体" w:hAnsi="Times New Roman"/>
          <w:kern w:val="0"/>
          <w:szCs w:val="22"/>
        </w:rPr>
        <w:t>在与</w:t>
      </w:r>
      <w:r>
        <w:rPr>
          <w:rFonts w:hint="eastAsia" w:ascii="宋体" w:hAnsi="Times New Roman"/>
          <w:kern w:val="0"/>
          <w:szCs w:val="22"/>
        </w:rPr>
        <w:t>电碳计量设备</w:t>
      </w:r>
      <w:r>
        <w:rPr>
          <w:rFonts w:ascii="宋体" w:hAnsi="Times New Roman"/>
          <w:kern w:val="0"/>
          <w:szCs w:val="22"/>
        </w:rPr>
        <w:t>都在连续工作的情况下，用</w:t>
      </w:r>
      <w:r>
        <w:rPr>
          <w:rFonts w:hint="eastAsia" w:ascii="宋体" w:hAnsi="Times New Roman"/>
          <w:kern w:val="0"/>
          <w:szCs w:val="22"/>
        </w:rPr>
        <w:t>电碳计量设备</w:t>
      </w:r>
      <w:r>
        <w:rPr>
          <w:rFonts w:ascii="宋体" w:hAnsi="Times New Roman"/>
          <w:kern w:val="0"/>
          <w:szCs w:val="22"/>
        </w:rPr>
        <w:t>输出的脉冲控制标准电碳计量表计数来确定</w:t>
      </w:r>
      <w:r>
        <w:rPr>
          <w:rFonts w:hint="eastAsia" w:ascii="宋体" w:hAnsi="Times New Roman"/>
          <w:kern w:val="0"/>
          <w:szCs w:val="22"/>
        </w:rPr>
        <w:t>电碳计量设备</w:t>
      </w:r>
      <w:r>
        <w:rPr>
          <w:rFonts w:ascii="宋体" w:hAnsi="Times New Roman"/>
          <w:kern w:val="0"/>
          <w:szCs w:val="22"/>
        </w:rPr>
        <w:t>的误差。在固定电碳因子的情况下，设定每个负载点电流值每2</w:t>
      </w:r>
      <w:r>
        <w:rPr>
          <w:rFonts w:hint="eastAsia" w:ascii="宋体" w:hAnsi="Times New Roman"/>
          <w:kern w:val="0"/>
          <w:szCs w:val="22"/>
        </w:rPr>
        <w:t>分钟</w:t>
      </w:r>
      <w:r>
        <w:rPr>
          <w:rFonts w:ascii="宋体" w:hAnsi="Times New Roman"/>
          <w:kern w:val="0"/>
          <w:szCs w:val="22"/>
        </w:rPr>
        <w:t>变化1次， 直至所有负载点测量完毕，得到碳排放量的误差。</w:t>
      </w:r>
    </w:p>
    <w:p w14:paraId="4B2374AC">
      <w:pPr>
        <w:pStyle w:val="59"/>
        <w:ind w:firstLine="420" w:firstLineChars="200"/>
        <w:rPr>
          <w:rFonts w:hint="eastAsia"/>
          <w:szCs w:val="22"/>
        </w:rPr>
      </w:pPr>
      <w:r>
        <w:rPr>
          <w:szCs w:val="22"/>
        </w:rPr>
        <w:t>被测电碳计量设备的相对误差按照式（</w:t>
      </w:r>
      <w:r>
        <w:rPr>
          <w:rFonts w:hint="eastAsia"/>
          <w:szCs w:val="22"/>
        </w:rPr>
        <w:t>1</w:t>
      </w:r>
      <w:r>
        <w:rPr>
          <w:szCs w:val="22"/>
        </w:rPr>
        <w:t>）计算。</w:t>
      </w:r>
    </w:p>
    <w:p w14:paraId="0F0FB70C">
      <w:pPr>
        <w:pStyle w:val="59"/>
        <w:ind w:firstLine="630" w:firstLineChars="300"/>
        <w:rPr>
          <w:szCs w:val="22"/>
        </w:rPr>
      </w:pPr>
    </w:p>
    <w:p w14:paraId="629F9ACD">
      <w:pPr>
        <w:pStyle w:val="59"/>
        <w:ind w:firstLine="0" w:firstLineChars="0"/>
        <w:rPr>
          <w:szCs w:val="22"/>
        </w:rPr>
      </w:pPr>
      <w:r>
        <w:rPr>
          <w:rFonts w:hint="eastAsia"/>
          <w:szCs w:val="22"/>
        </w:rPr>
        <w:t xml:space="preserve">                </w:t>
      </w:r>
      <m:oMath>
        <m:r>
          <m:rPr/>
          <w:rPr>
            <w:rFonts w:ascii="Cambria Math" w:hAnsi="Cambria Math"/>
            <w:szCs w:val="22"/>
          </w:rPr>
          <m:t>ε</m:t>
        </m:r>
        <m:r>
          <m:rPr>
            <m:sty m:val="p"/>
          </m:rPr>
          <w:rPr>
            <w:rFonts w:ascii="Cambria Math" w:hAnsi="Cambria Math"/>
            <w:szCs w:val="22"/>
          </w:rPr>
          <m:t>=</m:t>
        </m:r>
        <m:f>
          <m:fPr>
            <m:ctrlPr>
              <w:rPr>
                <w:rFonts w:ascii="Cambria Math" w:hAnsi="Cambria Math"/>
                <w:i/>
                <w:szCs w:val="22"/>
              </w:rPr>
            </m:ctrlPr>
          </m:fPr>
          <m:num>
            <m:r>
              <m:rPr/>
              <w:rPr>
                <w:rFonts w:ascii="Cambria Math" w:hAnsi="Cambria Math"/>
                <w:szCs w:val="22"/>
              </w:rPr>
              <m:t>C−</m:t>
            </m:r>
            <m:sSub>
              <m:sSubPr>
                <m:ctrlPr>
                  <w:rPr>
                    <w:rFonts w:ascii="Cambria Math" w:hAnsi="Cambria Math"/>
                    <w:i/>
                    <w:szCs w:val="22"/>
                  </w:rPr>
                </m:ctrlPr>
              </m:sSubPr>
              <m:e>
                <m:r>
                  <m:rPr/>
                  <w:rPr>
                    <w:rFonts w:ascii="Cambria Math" w:hAnsi="Cambria Math"/>
                    <w:szCs w:val="22"/>
                  </w:rPr>
                  <m:t>C</m:t>
                </m:r>
                <m:ctrlPr>
                  <w:rPr>
                    <w:rFonts w:ascii="Cambria Math" w:hAnsi="Cambria Math"/>
                    <w:i/>
                    <w:szCs w:val="22"/>
                  </w:rPr>
                </m:ctrlPr>
              </m:e>
              <m:sub>
                <m:r>
                  <m:rPr/>
                  <w:rPr>
                    <w:rFonts w:ascii="Cambria Math" w:hAnsi="Cambria Math"/>
                    <w:szCs w:val="22"/>
                  </w:rPr>
                  <m:t>0</m:t>
                </m:r>
                <m:ctrlPr>
                  <w:rPr>
                    <w:rFonts w:ascii="Cambria Math" w:hAnsi="Cambria Math"/>
                    <w:i/>
                    <w:szCs w:val="22"/>
                  </w:rPr>
                </m:ctrlPr>
              </m:sub>
            </m:sSub>
            <m:ctrlPr>
              <w:rPr>
                <w:rFonts w:ascii="Cambria Math" w:hAnsi="Cambria Math"/>
                <w:i/>
                <w:szCs w:val="22"/>
              </w:rPr>
            </m:ctrlPr>
          </m:num>
          <m:den>
            <m:sSub>
              <m:sSubPr>
                <m:ctrlPr>
                  <w:rPr>
                    <w:rFonts w:ascii="Cambria Math" w:hAnsi="Cambria Math"/>
                    <w:i/>
                    <w:szCs w:val="22"/>
                  </w:rPr>
                </m:ctrlPr>
              </m:sSubPr>
              <m:e>
                <m:r>
                  <m:rPr/>
                  <w:rPr>
                    <w:rFonts w:ascii="Cambria Math" w:hAnsi="Cambria Math"/>
                    <w:szCs w:val="22"/>
                  </w:rPr>
                  <m:t>C</m:t>
                </m:r>
                <m:ctrlPr>
                  <w:rPr>
                    <w:rFonts w:ascii="Cambria Math" w:hAnsi="Cambria Math"/>
                    <w:i/>
                    <w:szCs w:val="22"/>
                  </w:rPr>
                </m:ctrlPr>
              </m:e>
              <m:sub>
                <m:r>
                  <m:rPr/>
                  <w:rPr>
                    <w:rFonts w:ascii="Cambria Math" w:hAnsi="Cambria Math"/>
                    <w:szCs w:val="22"/>
                  </w:rPr>
                  <m:t>0</m:t>
                </m:r>
                <m:ctrlPr>
                  <w:rPr>
                    <w:rFonts w:ascii="Cambria Math" w:hAnsi="Cambria Math"/>
                    <w:i/>
                    <w:szCs w:val="22"/>
                  </w:rPr>
                </m:ctrlPr>
              </m:sub>
            </m:sSub>
            <m:ctrlPr>
              <w:rPr>
                <w:rFonts w:ascii="Cambria Math" w:hAnsi="Cambria Math"/>
                <w:i/>
                <w:szCs w:val="22"/>
              </w:rPr>
            </m:ctrlPr>
          </m:den>
        </m:f>
        <m:r>
          <m:rPr>
            <m:sty m:val="p"/>
          </m:rPr>
          <w:rPr>
            <w:rFonts w:ascii="Cambria Math" w:hAnsi="Cambria Math"/>
            <w:szCs w:val="22"/>
          </w:rPr>
          <m:t>×100%</m:t>
        </m:r>
      </m:oMath>
      <w:r>
        <w:rPr>
          <w:szCs w:val="22"/>
        </w:rPr>
        <w:tab/>
      </w:r>
      <w:r>
        <w:rPr>
          <w:rFonts w:hint="eastAsia"/>
          <w:szCs w:val="22"/>
        </w:rPr>
        <w:t>...............................................</w:t>
      </w:r>
      <w:r>
        <w:rPr>
          <w:szCs w:val="22"/>
        </w:rPr>
        <w:t>（</w:t>
      </w:r>
      <w:r>
        <w:rPr>
          <w:rFonts w:hint="eastAsia"/>
          <w:szCs w:val="22"/>
        </w:rPr>
        <w:t>1</w:t>
      </w:r>
      <w:r>
        <w:rPr>
          <w:szCs w:val="22"/>
        </w:rPr>
        <w:t>）</w:t>
      </w:r>
    </w:p>
    <w:p w14:paraId="24AB4BB1">
      <w:pPr>
        <w:pStyle w:val="59"/>
        <w:ind w:firstLine="420" w:firstLineChars="200"/>
        <w:rPr>
          <w:szCs w:val="22"/>
        </w:rPr>
      </w:pPr>
      <w:r>
        <w:rPr>
          <w:szCs w:val="22"/>
        </w:rPr>
        <w:t>式中：</w:t>
      </w:r>
    </w:p>
    <w:p w14:paraId="00F30DA6">
      <w:pPr>
        <w:pStyle w:val="59"/>
        <w:ind w:firstLine="560" w:firstLineChars="200"/>
        <w:rPr>
          <w:szCs w:val="22"/>
        </w:rPr>
      </w:pPr>
      <w:r>
        <w:rPr>
          <w:rFonts w:hint="eastAsia"/>
          <w:i/>
          <w:sz w:val="28"/>
          <w:szCs w:val="28"/>
        </w:rPr>
        <w:t>ε</w:t>
      </w:r>
      <w:r>
        <w:rPr>
          <w:rFonts w:hint="eastAsia"/>
          <w:i/>
          <w:szCs w:val="22"/>
        </w:rPr>
        <w:t xml:space="preserve"> </w:t>
      </w:r>
      <w:r>
        <w:rPr>
          <w:szCs w:val="22"/>
        </w:rPr>
        <w:t>——</w:t>
      </w:r>
      <w:r>
        <w:rPr>
          <w:rFonts w:hint="eastAsia"/>
          <w:szCs w:val="22"/>
        </w:rPr>
        <w:t>示值</w:t>
      </w:r>
      <w:r>
        <w:rPr>
          <w:szCs w:val="22"/>
        </w:rPr>
        <w:t>误差；</w:t>
      </w:r>
    </w:p>
    <w:p w14:paraId="3D65BBE7">
      <w:pPr>
        <w:pStyle w:val="59"/>
        <w:ind w:firstLine="420" w:firstLineChars="200"/>
        <w:rPr>
          <w:sz w:val="20"/>
          <w:szCs w:val="22"/>
        </w:rPr>
      </w:pPr>
      <w:r>
        <w:rPr>
          <w:i/>
          <w:szCs w:val="22"/>
        </w:rPr>
        <w:t>C</w:t>
      </w:r>
      <w:r>
        <w:rPr>
          <w:szCs w:val="22"/>
        </w:rPr>
        <w:t xml:space="preserve"> ——</w:t>
      </w:r>
      <w:r>
        <w:rPr>
          <w:rFonts w:hint="eastAsia"/>
          <w:szCs w:val="22"/>
        </w:rPr>
        <w:t>电碳计量设备显示</w:t>
      </w:r>
      <w:r>
        <w:rPr>
          <w:szCs w:val="22"/>
        </w:rPr>
        <w:t>的</w:t>
      </w:r>
      <w:r>
        <w:rPr>
          <w:rFonts w:hint="eastAsia"/>
          <w:szCs w:val="22"/>
        </w:rPr>
        <w:t>电碳排放量，kgCO</w:t>
      </w:r>
      <w:r>
        <w:rPr>
          <w:rFonts w:hint="eastAsia"/>
          <w:sz w:val="13"/>
          <w:szCs w:val="22"/>
        </w:rPr>
        <w:t>2</w:t>
      </w:r>
      <w:r>
        <w:rPr>
          <w:szCs w:val="22"/>
        </w:rPr>
        <w:t>；</w:t>
      </w:r>
    </w:p>
    <w:p w14:paraId="5D8FD08C">
      <w:pPr>
        <w:pStyle w:val="59"/>
        <w:ind w:firstLine="420" w:firstLineChars="200"/>
        <w:rPr>
          <w:rFonts w:hint="eastAsia"/>
          <w:szCs w:val="22"/>
        </w:rPr>
      </w:pPr>
      <w:r>
        <w:rPr>
          <w:i/>
          <w:szCs w:val="22"/>
        </w:rPr>
        <w:t>C</w:t>
      </w:r>
      <w:r>
        <w:rPr>
          <w:i/>
          <w:sz w:val="16"/>
          <w:szCs w:val="16"/>
        </w:rPr>
        <w:t>0</w:t>
      </w:r>
      <w:r>
        <w:rPr>
          <w:szCs w:val="22"/>
        </w:rPr>
        <w:t>——</w:t>
      </w:r>
      <w:r>
        <w:rPr>
          <w:rFonts w:hint="eastAsia"/>
          <w:szCs w:val="22"/>
        </w:rPr>
        <w:t>标准电碳计量表显示的电碳排放量,</w:t>
      </w:r>
      <w:r>
        <w:rPr>
          <w:szCs w:val="22"/>
        </w:rPr>
        <w:t>kgCO</w:t>
      </w:r>
      <w:r>
        <w:rPr>
          <w:sz w:val="15"/>
          <w:szCs w:val="22"/>
        </w:rPr>
        <w:t>2</w:t>
      </w:r>
      <w:r>
        <w:rPr>
          <w:szCs w:val="22"/>
        </w:rPr>
        <w:t>。</w:t>
      </w:r>
    </w:p>
    <w:p w14:paraId="01F05B61">
      <w:pPr>
        <w:pStyle w:val="59"/>
        <w:ind w:firstLine="630" w:firstLineChars="300"/>
        <w:rPr>
          <w:rFonts w:hint="eastAsia"/>
          <w:szCs w:val="22"/>
        </w:rPr>
      </w:pPr>
    </w:p>
    <w:p w14:paraId="0F4E01AF">
      <w:pPr>
        <w:pStyle w:val="59"/>
        <w:ind w:firstLine="630" w:firstLineChars="300"/>
        <w:rPr>
          <w:rFonts w:hint="eastAsia"/>
          <w:szCs w:val="22"/>
        </w:rPr>
      </w:pPr>
      <w:r>
        <w:rPr>
          <w:rFonts w:hint="eastAsia"/>
          <w:szCs w:val="22"/>
        </w:rPr>
        <w:t>此时</w:t>
      </w:r>
    </w:p>
    <w:p w14:paraId="0471F1BC">
      <w:pPr>
        <w:pStyle w:val="59"/>
        <w:ind w:firstLine="630" w:firstLineChars="300"/>
        <w:rPr>
          <w:rFonts w:hint="eastAsia"/>
          <w:szCs w:val="22"/>
        </w:rPr>
      </w:pPr>
    </w:p>
    <w:p w14:paraId="6B0633D4">
      <w:pPr>
        <w:pStyle w:val="59"/>
        <w:ind w:firstLine="1575" w:firstLineChars="750"/>
        <w:rPr>
          <w:rFonts w:hint="eastAsia"/>
          <w:sz w:val="24"/>
          <w:szCs w:val="24"/>
        </w:rPr>
      </w:pPr>
      <w:r>
        <w:rPr>
          <w:rFonts w:hint="eastAsia"/>
          <w:i/>
          <w:szCs w:val="21"/>
        </w:rPr>
        <w:t>C</w:t>
      </w:r>
      <w:r>
        <w:rPr>
          <w:rFonts w:hint="eastAsia"/>
        </w:rPr>
        <w:t xml:space="preserve"> </w:t>
      </w:r>
      <m:oMath>
        <m:r>
          <m:rPr>
            <m:sty m:val="p"/>
          </m:rPr>
          <w:rPr>
            <w:rFonts w:ascii="Cambria Math" w:hAnsi="Cambria Math"/>
            <w:sz w:val="28"/>
            <w:szCs w:val="28"/>
          </w:rPr>
          <m:t xml:space="preserve">= </m:t>
        </m:r>
        <m:f>
          <m:fPr>
            <m:ctrlPr>
              <w:rPr>
                <w:rFonts w:ascii="Cambria Math" w:hAnsi="Cambria Math"/>
                <w:i/>
                <w:sz w:val="28"/>
                <w:szCs w:val="28"/>
              </w:rPr>
            </m:ctrlPr>
          </m:fPr>
          <m:num>
            <m:r>
              <m:rPr/>
              <w:rPr>
                <w:rFonts w:ascii="Cambria Math" w:hAnsi="Cambria Math"/>
                <w:sz w:val="28"/>
                <w:szCs w:val="28"/>
              </w:rPr>
              <m:t>2δ</m:t>
            </m:r>
            <m:nary>
              <m:naryPr>
                <m:chr m:val="∑"/>
                <m:ctrlPr>
                  <w:rPr>
                    <w:rFonts w:ascii="Cambria Math" w:hAnsi="Cambria Math"/>
                    <w:i/>
                    <w:sz w:val="28"/>
                    <w:szCs w:val="28"/>
                  </w:rPr>
                </m:ctrlPr>
              </m:naryPr>
              <m:sub>
                <m:r>
                  <m:rPr/>
                  <w:rPr>
                    <w:rFonts w:ascii="Cambria Math" w:hAnsi="Cambria Math"/>
                    <w:sz w:val="28"/>
                    <w:szCs w:val="28"/>
                  </w:rPr>
                  <m:t>i=1</m:t>
                </m:r>
                <m:ctrlPr>
                  <w:rPr>
                    <w:rFonts w:ascii="Cambria Math" w:hAnsi="Cambria Math"/>
                    <w:i/>
                    <w:sz w:val="28"/>
                    <w:szCs w:val="28"/>
                  </w:rPr>
                </m:ctrlPr>
              </m:sub>
              <m:sup>
                <m:r>
                  <m:rPr/>
                  <w:rPr>
                    <w:rFonts w:ascii="Cambria Math" w:hAnsi="Cambria Math"/>
                    <w:sz w:val="28"/>
                    <w:szCs w:val="28"/>
                  </w:rPr>
                  <m:t>n</m:t>
                </m:r>
                <m:ctrlPr>
                  <w:rPr>
                    <w:rFonts w:ascii="Cambria Math" w:hAnsi="Cambria Math"/>
                    <w:i/>
                    <w:sz w:val="28"/>
                    <w:szCs w:val="28"/>
                  </w:rPr>
                </m:ctrlPr>
              </m:sup>
              <m:e>
                <m:r>
                  <m:rPr/>
                  <w:rPr>
                    <w:rFonts w:ascii="Cambria Math" w:hAnsi="Cambria Math"/>
                    <w:sz w:val="28"/>
                    <w:szCs w:val="28"/>
                  </w:rPr>
                  <m:t>Pi</m:t>
                </m:r>
                <m:ctrlPr>
                  <w:rPr>
                    <w:rFonts w:ascii="Cambria Math" w:hAnsi="Cambria Math"/>
                    <w:i/>
                    <w:sz w:val="28"/>
                    <w:szCs w:val="28"/>
                  </w:rPr>
                </m:ctrlPr>
              </m:e>
            </m:nary>
            <m:ctrlPr>
              <w:rPr>
                <w:rFonts w:ascii="Cambria Math" w:hAnsi="Cambria Math"/>
                <w:i/>
                <w:sz w:val="28"/>
                <w:szCs w:val="28"/>
              </w:rPr>
            </m:ctrlPr>
          </m:num>
          <m:den>
            <m:r>
              <m:rPr/>
              <w:rPr>
                <w:rFonts w:ascii="Cambria Math" w:hAnsi="Cambria Math"/>
                <w:sz w:val="28"/>
                <w:szCs w:val="28"/>
              </w:rPr>
              <m:t>60</m:t>
            </m:r>
            <m:ctrlPr>
              <w:rPr>
                <w:rFonts w:ascii="Cambria Math" w:hAnsi="Cambria Math"/>
                <w:i/>
                <w:sz w:val="28"/>
                <w:szCs w:val="28"/>
              </w:rPr>
            </m:ctrlPr>
          </m:den>
        </m:f>
        <m:r>
          <m:rPr>
            <m:sty m:val="p"/>
          </m:rPr>
          <w:rPr>
            <w:rFonts w:ascii="Cambria Math" w:hAnsi="Cambria Math"/>
            <w:sz w:val="28"/>
            <w:szCs w:val="28"/>
          </w:rPr>
          <m:t xml:space="preserve">   </m:t>
        </m:r>
        <m:r>
          <m:rPr>
            <m:sty m:val="p"/>
          </m:rPr>
          <w:rPr>
            <w:rFonts w:hint="eastAsia" w:ascii="Cambria Math" w:hAnsi="Cambria Math"/>
            <w:sz w:val="28"/>
            <w:szCs w:val="28"/>
          </w:rPr>
          <w:tab/>
        </m:r>
        <m:r>
          <m:rPr>
            <m:sty m:val="p"/>
          </m:rPr>
          <w:rPr>
            <w:rFonts w:hint="eastAsia" w:ascii="Cambria Math" w:hAnsi="Cambria Math"/>
            <w:sz w:val="28"/>
            <w:szCs w:val="28"/>
          </w:rPr>
          <m:t>...............................................</m:t>
        </m:r>
        <m:r>
          <m:rPr>
            <m:sty m:val="p"/>
          </m:rPr>
          <w:rPr>
            <w:rFonts w:hint="eastAsia" w:ascii="Cambria Math" w:hAnsi="Cambria Math"/>
            <w:szCs w:val="22"/>
          </w:rPr>
          <m:t>（</m:t>
        </m:r>
        <m:r>
          <m:rPr>
            <m:sty m:val="p"/>
          </m:rPr>
          <w:rPr>
            <w:rFonts w:ascii="Cambria Math" w:hAnsi="Cambria Math"/>
            <w:szCs w:val="22"/>
          </w:rPr>
          <m:t>2</m:t>
        </m:r>
        <m:r>
          <m:rPr>
            <m:sty m:val="p"/>
          </m:rPr>
          <w:rPr>
            <w:rFonts w:hint="eastAsia" w:ascii="Cambria Math" w:hAnsi="Cambria Math"/>
            <w:szCs w:val="22"/>
          </w:rPr>
          <m:t>）</m:t>
        </m:r>
      </m:oMath>
    </w:p>
    <w:p w14:paraId="4972836A">
      <w:pPr>
        <w:spacing w:before="0" w:line="360" w:lineRule="auto"/>
        <w:ind w:left="0" w:firstLine="420" w:firstLineChars="200"/>
        <w:rPr>
          <w:rFonts w:ascii="宋体" w:hAnsi="Times New Roman"/>
          <w:kern w:val="0"/>
          <w:szCs w:val="22"/>
        </w:rPr>
      </w:pPr>
      <w:r>
        <w:rPr>
          <w:rFonts w:ascii="宋体" w:hAnsi="Times New Roman"/>
          <w:kern w:val="0"/>
          <w:szCs w:val="22"/>
        </w:rPr>
        <w:t>式中：</w:t>
      </w:r>
    </w:p>
    <w:p w14:paraId="528FA688">
      <w:pPr>
        <w:pStyle w:val="59"/>
        <w:ind w:firstLine="420" w:firstLineChars="200"/>
        <w:rPr>
          <w:szCs w:val="22"/>
        </w:rPr>
      </w:pPr>
      <w:r>
        <w:rPr>
          <w:rFonts w:hint="eastAsia"/>
          <w:szCs w:val="22"/>
        </w:rPr>
        <w:t>δ</w:t>
      </w:r>
      <w:r>
        <w:rPr>
          <w:szCs w:val="22"/>
        </w:rPr>
        <w:t>—— 电碳因子，kgCO2/k</w:t>
      </w:r>
      <w:r>
        <w:rPr>
          <w:rFonts w:hint="eastAsia"/>
          <w:szCs w:val="22"/>
        </w:rPr>
        <w:t>W</w:t>
      </w:r>
      <w:r>
        <w:rPr>
          <w:szCs w:val="22"/>
        </w:rPr>
        <w:t>h</w:t>
      </w:r>
      <w:r>
        <w:rPr>
          <w:rFonts w:hint="eastAsia"/>
          <w:szCs w:val="22"/>
        </w:rPr>
        <w:t>；</w:t>
      </w:r>
    </w:p>
    <w:p w14:paraId="6EDCD6C4">
      <w:pPr>
        <w:pStyle w:val="59"/>
        <w:ind w:firstLine="420" w:firstLineChars="200"/>
        <w:rPr>
          <w:rFonts w:hint="eastAsia"/>
          <w:szCs w:val="22"/>
        </w:rPr>
      </w:pPr>
      <w:r>
        <w:rPr>
          <w:szCs w:val="22"/>
        </w:rPr>
        <w:t>Pi——</w:t>
      </w:r>
      <w:r>
        <w:rPr>
          <w:rFonts w:hint="eastAsia"/>
          <w:szCs w:val="22"/>
        </w:rPr>
        <w:t xml:space="preserve"> </w:t>
      </w:r>
      <w:r>
        <w:rPr>
          <w:szCs w:val="22"/>
        </w:rPr>
        <w:t>电碳计量</w:t>
      </w:r>
      <w:r>
        <w:rPr>
          <w:rFonts w:hint="eastAsia"/>
          <w:szCs w:val="22"/>
        </w:rPr>
        <w:t>设备</w:t>
      </w:r>
      <w:r>
        <w:rPr>
          <w:szCs w:val="22"/>
        </w:rPr>
        <w:t>在第</w:t>
      </w:r>
      <w:r>
        <w:rPr>
          <w:rFonts w:hint="eastAsia"/>
          <w:szCs w:val="22"/>
        </w:rPr>
        <w:t>i</w:t>
      </w:r>
      <w:r>
        <w:rPr>
          <w:szCs w:val="22"/>
        </w:rPr>
        <w:t>时刻的功率，kW。</w:t>
      </w:r>
    </w:p>
    <w:p w14:paraId="44A47721">
      <w:pPr>
        <w:pStyle w:val="239"/>
        <w:numPr>
          <w:ilvl w:val="3"/>
          <w:numId w:val="36"/>
        </w:numPr>
        <w:spacing w:before="156" w:after="156"/>
        <w:ind w:left="0"/>
        <w:outlineLvl w:val="3"/>
        <w:rPr>
          <w:rFonts w:hint="eastAsia" w:ascii="Times New Roman" w:hAnsi="Times New Roman"/>
          <w:b w:val="0"/>
          <w:kern w:val="0"/>
          <w:szCs w:val="21"/>
        </w:rPr>
      </w:pPr>
      <w:r>
        <w:rPr>
          <w:rFonts w:hint="eastAsia" w:ascii="Times New Roman" w:hAnsi="Times New Roman"/>
          <w:b w:val="0"/>
          <w:kern w:val="0"/>
          <w:szCs w:val="21"/>
        </w:rPr>
        <w:t>动态电碳因子法</w:t>
      </w:r>
    </w:p>
    <w:p w14:paraId="2BE966E6">
      <w:pPr>
        <w:pStyle w:val="14"/>
        <w:spacing w:before="0" w:after="0" w:line="240" w:lineRule="auto"/>
        <w:ind w:left="0" w:right="0" w:firstLine="416" w:firstLineChars="200"/>
      </w:pPr>
      <w:r>
        <w:rPr>
          <w:color w:val="211F28"/>
          <w:spacing w:val="-1"/>
        </w:rPr>
        <w:t>在动态电碳因子的情况下，电流值保待不变，在每个电碳因子下，在每个调定负</w:t>
      </w:r>
      <w:r>
        <w:rPr>
          <w:color w:val="211F28"/>
        </w:rPr>
        <w:t>载点运行2</w:t>
      </w:r>
      <w:r>
        <w:rPr>
          <w:rFonts w:hint="eastAsia"/>
          <w:color w:val="211F28"/>
        </w:rPr>
        <w:t>分钟，</w:t>
      </w:r>
      <w:r>
        <w:rPr>
          <w:color w:val="211F28"/>
          <w:spacing w:val="4"/>
        </w:rPr>
        <w:t>直至所有电碳因子测量完毕</w:t>
      </w:r>
      <w:r>
        <w:rPr>
          <w:rFonts w:hint="eastAsia"/>
          <w:color w:val="211F28"/>
          <w:spacing w:val="17"/>
          <w:w w:val="95"/>
        </w:rPr>
        <w:t>，</w:t>
      </w:r>
      <w:r>
        <w:rPr>
          <w:color w:val="211F28"/>
        </w:rPr>
        <w:t>得到碳排放量的误差。电碳计量</w:t>
      </w:r>
      <w:r>
        <w:rPr>
          <w:rFonts w:hint="eastAsia"/>
          <w:color w:val="211F28"/>
        </w:rPr>
        <w:t>设备</w:t>
      </w:r>
      <w:r>
        <w:rPr>
          <w:color w:val="211F28"/>
        </w:rPr>
        <w:t>的碳排放量示值误</w:t>
      </w:r>
      <w:r>
        <w:rPr>
          <w:color w:val="34343F"/>
        </w:rPr>
        <w:t>差按公式</w:t>
      </w:r>
      <w:r>
        <w:rPr>
          <w:rFonts w:hint="eastAsia"/>
          <w:color w:val="34343F"/>
        </w:rPr>
        <w:t>（1）</w:t>
      </w:r>
      <w:r>
        <w:rPr>
          <w:color w:val="34343F"/>
        </w:rPr>
        <w:t>计算。</w:t>
      </w:r>
    </w:p>
    <w:p w14:paraId="599AD877">
      <w:pPr>
        <w:pStyle w:val="59"/>
        <w:ind w:firstLine="1575" w:firstLineChars="750"/>
        <w:rPr>
          <w:rFonts w:hint="eastAsia"/>
          <w:sz w:val="24"/>
          <w:szCs w:val="24"/>
        </w:rPr>
      </w:pPr>
      <w:r>
        <w:rPr>
          <w:rFonts w:hint="eastAsia"/>
          <w:i/>
          <w:szCs w:val="21"/>
        </w:rPr>
        <w:t>C</w:t>
      </w:r>
      <w:r>
        <w:rPr>
          <w:rFonts w:hint="eastAsia"/>
        </w:rPr>
        <w:t xml:space="preserve"> </w:t>
      </w:r>
      <m:oMath>
        <m:r>
          <m:rPr>
            <m:sty m:val="p"/>
          </m:rPr>
          <w:rPr>
            <w:rFonts w:ascii="Cambria Math" w:hAnsi="Cambria Math"/>
            <w:sz w:val="28"/>
            <w:szCs w:val="28"/>
          </w:rPr>
          <m:t xml:space="preserve">= </m:t>
        </m:r>
        <m:f>
          <m:fPr>
            <m:ctrlPr>
              <w:rPr>
                <w:rFonts w:ascii="Cambria Math" w:hAnsi="Cambria Math"/>
                <w:i/>
                <w:sz w:val="28"/>
                <w:szCs w:val="28"/>
              </w:rPr>
            </m:ctrlPr>
          </m:fPr>
          <m:num>
            <m:r>
              <m:rPr/>
              <w:rPr>
                <w:rFonts w:ascii="Cambria Math" w:hAnsi="Cambria Math"/>
                <w:sz w:val="28"/>
                <w:szCs w:val="28"/>
              </w:rPr>
              <m:t>2P</m:t>
            </m:r>
            <m:nary>
              <m:naryPr>
                <m:chr m:val="∑"/>
                <m:ctrlPr>
                  <w:rPr>
                    <w:rFonts w:ascii="Cambria Math" w:hAnsi="Cambria Math"/>
                    <w:i/>
                    <w:sz w:val="28"/>
                    <w:szCs w:val="28"/>
                  </w:rPr>
                </m:ctrlPr>
              </m:naryPr>
              <m:sub>
                <m:r>
                  <m:rPr/>
                  <w:rPr>
                    <w:rFonts w:ascii="Cambria Math" w:hAnsi="Cambria Math"/>
                    <w:sz w:val="28"/>
                    <w:szCs w:val="28"/>
                  </w:rPr>
                  <m:t>j=1</m:t>
                </m:r>
                <m:ctrlPr>
                  <w:rPr>
                    <w:rFonts w:ascii="Cambria Math" w:hAnsi="Cambria Math"/>
                    <w:i/>
                    <w:sz w:val="28"/>
                    <w:szCs w:val="28"/>
                  </w:rPr>
                </m:ctrlPr>
              </m:sub>
              <m:sup>
                <m:r>
                  <m:rPr/>
                  <w:rPr>
                    <w:rFonts w:ascii="Cambria Math" w:hAnsi="Cambria Math"/>
                    <w:sz w:val="28"/>
                    <w:szCs w:val="28"/>
                  </w:rPr>
                  <m:t>n</m:t>
                </m:r>
                <m:ctrlPr>
                  <w:rPr>
                    <w:rFonts w:ascii="Cambria Math" w:hAnsi="Cambria Math"/>
                    <w:i/>
                    <w:sz w:val="28"/>
                    <w:szCs w:val="28"/>
                  </w:rPr>
                </m:ctrlPr>
              </m:sup>
              <m:e>
                <m:r>
                  <m:rPr/>
                  <w:rPr>
                    <w:rFonts w:hint="eastAsia" w:ascii="Cambria Math" w:hAnsi="Cambria Math"/>
                    <w:sz w:val="28"/>
                    <w:szCs w:val="28"/>
                  </w:rPr>
                  <m:t>δ</m:t>
                </m:r>
                <m:r>
                  <m:rPr/>
                  <w:rPr>
                    <w:rFonts w:ascii="Cambria Math" w:hAnsi="Cambria Math"/>
                    <w:sz w:val="28"/>
                    <w:szCs w:val="28"/>
                  </w:rPr>
                  <m:t>j</m:t>
                </m:r>
                <m:ctrlPr>
                  <w:rPr>
                    <w:rFonts w:ascii="Cambria Math" w:hAnsi="Cambria Math"/>
                    <w:i/>
                    <w:sz w:val="28"/>
                    <w:szCs w:val="28"/>
                  </w:rPr>
                </m:ctrlPr>
              </m:e>
            </m:nary>
            <m:ctrlPr>
              <w:rPr>
                <w:rFonts w:ascii="Cambria Math" w:hAnsi="Cambria Math"/>
                <w:i/>
                <w:sz w:val="28"/>
                <w:szCs w:val="28"/>
              </w:rPr>
            </m:ctrlPr>
          </m:num>
          <m:den>
            <m:r>
              <m:rPr/>
              <w:rPr>
                <w:rFonts w:ascii="Cambria Math" w:hAnsi="Cambria Math"/>
                <w:sz w:val="28"/>
                <w:szCs w:val="28"/>
              </w:rPr>
              <m:t>60</m:t>
            </m:r>
            <m:ctrlPr>
              <w:rPr>
                <w:rFonts w:ascii="Cambria Math" w:hAnsi="Cambria Math"/>
                <w:i/>
                <w:sz w:val="28"/>
                <w:szCs w:val="28"/>
              </w:rPr>
            </m:ctrlPr>
          </m:den>
        </m:f>
        <m:r>
          <m:rPr>
            <m:sty m:val="p"/>
          </m:rPr>
          <w:rPr>
            <w:rFonts w:ascii="Cambria Math" w:hAnsi="Cambria Math"/>
            <w:sz w:val="28"/>
            <w:szCs w:val="28"/>
          </w:rPr>
          <m:t xml:space="preserve">   </m:t>
        </m:r>
        <m:r>
          <m:rPr>
            <m:sty m:val="p"/>
          </m:rPr>
          <w:rPr>
            <w:rFonts w:hint="eastAsia" w:ascii="Cambria Math" w:hAnsi="Cambria Math"/>
            <w:sz w:val="28"/>
            <w:szCs w:val="28"/>
          </w:rPr>
          <w:tab/>
        </m:r>
        <m:r>
          <m:rPr>
            <m:sty m:val="p"/>
          </m:rPr>
          <w:rPr>
            <w:rFonts w:hint="eastAsia" w:ascii="Cambria Math" w:hAnsi="Cambria Math"/>
            <w:sz w:val="28"/>
            <w:szCs w:val="28"/>
          </w:rPr>
          <m:t>...............................................</m:t>
        </m:r>
        <m:r>
          <m:rPr>
            <m:sty m:val="p"/>
          </m:rPr>
          <w:rPr>
            <w:rFonts w:hint="eastAsia" w:ascii="Cambria Math" w:hAnsi="Cambria Math"/>
            <w:szCs w:val="22"/>
          </w:rPr>
          <m:t>（</m:t>
        </m:r>
        <m:r>
          <m:rPr>
            <m:sty m:val="p"/>
          </m:rPr>
          <w:rPr>
            <w:rFonts w:ascii="Cambria Math" w:hAnsi="Cambria Math"/>
            <w:szCs w:val="22"/>
          </w:rPr>
          <m:t>3</m:t>
        </m:r>
        <m:r>
          <m:rPr>
            <m:sty m:val="p"/>
          </m:rPr>
          <w:rPr>
            <w:rFonts w:hint="eastAsia" w:ascii="Cambria Math" w:hAnsi="Cambria Math"/>
            <w:szCs w:val="22"/>
          </w:rPr>
          <m:t>）</m:t>
        </m:r>
      </m:oMath>
    </w:p>
    <w:p w14:paraId="0A4DDA85">
      <w:pPr>
        <w:spacing w:before="0" w:line="240" w:lineRule="auto"/>
        <w:ind w:left="0" w:firstLine="420" w:firstLineChars="200"/>
        <w:rPr>
          <w:rFonts w:hint="eastAsia" w:ascii="宋体" w:hAnsi="Times New Roman"/>
          <w:kern w:val="0"/>
          <w:szCs w:val="22"/>
        </w:rPr>
      </w:pPr>
      <w:r>
        <w:rPr>
          <w:rFonts w:ascii="宋体" w:hAnsi="Times New Roman"/>
          <w:kern w:val="0"/>
          <w:szCs w:val="22"/>
        </w:rPr>
        <w:t>式中：</w:t>
      </w:r>
    </w:p>
    <w:p w14:paraId="595C7A0F">
      <w:pPr>
        <w:spacing w:before="0" w:line="240" w:lineRule="auto"/>
        <w:ind w:firstLine="420" w:firstLineChars="200"/>
        <w:rPr>
          <w:rFonts w:ascii="宋体" w:hAnsi="Times New Roman"/>
          <w:kern w:val="0"/>
          <w:szCs w:val="22"/>
        </w:rPr>
      </w:pPr>
      <w:r>
        <w:rPr>
          <w:rFonts w:hint="eastAsia" w:ascii="宋体" w:hAnsi="Times New Roman"/>
          <w:kern w:val="0"/>
          <w:szCs w:val="22"/>
        </w:rPr>
        <w:t>δ</w:t>
      </w:r>
      <w:r>
        <w:rPr>
          <w:rFonts w:hint="eastAsia" w:ascii="宋体" w:hAnsi="Times New Roman"/>
          <w:kern w:val="0"/>
          <w:sz w:val="18"/>
          <w:szCs w:val="22"/>
        </w:rPr>
        <w:t>j</w:t>
      </w:r>
      <w:r>
        <w:rPr>
          <w:rFonts w:ascii="宋体" w:hAnsi="Times New Roman"/>
          <w:kern w:val="0"/>
          <w:szCs w:val="22"/>
        </w:rPr>
        <w:t xml:space="preserve">—— </w:t>
      </w:r>
      <w:r>
        <w:rPr>
          <w:rFonts w:hint="eastAsia" w:ascii="宋体" w:hAnsi="Times New Roman"/>
          <w:kern w:val="0"/>
          <w:szCs w:val="22"/>
        </w:rPr>
        <w:t>第j时刻的</w:t>
      </w:r>
      <w:r>
        <w:rPr>
          <w:rFonts w:ascii="宋体" w:hAnsi="Times New Roman"/>
          <w:kern w:val="0"/>
          <w:szCs w:val="22"/>
        </w:rPr>
        <w:t>电碳因子，kgCO2/k</w:t>
      </w:r>
      <w:r>
        <w:rPr>
          <w:rFonts w:hint="eastAsia" w:ascii="宋体" w:hAnsi="Times New Roman"/>
          <w:kern w:val="0"/>
          <w:szCs w:val="22"/>
        </w:rPr>
        <w:t>W</w:t>
      </w:r>
      <w:r>
        <w:rPr>
          <w:rFonts w:ascii="宋体" w:hAnsi="Times New Roman"/>
          <w:kern w:val="0"/>
          <w:szCs w:val="22"/>
        </w:rPr>
        <w:t>h</w:t>
      </w:r>
      <w:r>
        <w:rPr>
          <w:rFonts w:hint="eastAsia" w:ascii="宋体" w:hAnsi="Times New Roman"/>
          <w:kern w:val="0"/>
          <w:szCs w:val="22"/>
        </w:rPr>
        <w:t>；</w:t>
      </w:r>
    </w:p>
    <w:p w14:paraId="7922CACF">
      <w:pPr>
        <w:pStyle w:val="59"/>
        <w:ind w:firstLine="420" w:firstLineChars="200"/>
        <w:rPr>
          <w:szCs w:val="22"/>
        </w:rPr>
      </w:pPr>
      <w:r>
        <w:rPr>
          <w:szCs w:val="22"/>
        </w:rPr>
        <w:t>P</w:t>
      </w:r>
      <w:r>
        <w:rPr>
          <w:rFonts w:hint="eastAsia"/>
          <w:szCs w:val="22"/>
        </w:rPr>
        <w:t xml:space="preserve"> </w:t>
      </w:r>
      <w:r>
        <w:rPr>
          <w:szCs w:val="22"/>
        </w:rPr>
        <w:t>——</w:t>
      </w:r>
      <w:r>
        <w:rPr>
          <w:rFonts w:hint="eastAsia"/>
          <w:szCs w:val="22"/>
        </w:rPr>
        <w:t xml:space="preserve"> </w:t>
      </w:r>
      <w:r>
        <w:rPr>
          <w:szCs w:val="22"/>
        </w:rPr>
        <w:t>电碳计量</w:t>
      </w:r>
      <w:r>
        <w:rPr>
          <w:rFonts w:hint="eastAsia"/>
          <w:szCs w:val="22"/>
        </w:rPr>
        <w:t>设备</w:t>
      </w:r>
      <w:r>
        <w:rPr>
          <w:szCs w:val="22"/>
        </w:rPr>
        <w:t>的功率，kW。</w:t>
      </w:r>
    </w:p>
    <w:p w14:paraId="271448F1">
      <w:pPr>
        <w:pStyle w:val="239"/>
        <w:numPr>
          <w:ilvl w:val="3"/>
          <w:numId w:val="36"/>
        </w:numPr>
        <w:spacing w:before="156" w:after="156"/>
        <w:ind w:left="0"/>
        <w:outlineLvl w:val="3"/>
        <w:rPr>
          <w:rFonts w:hint="eastAsia" w:ascii="Times New Roman" w:hAnsi="Times New Roman"/>
          <w:b w:val="0"/>
          <w:kern w:val="0"/>
          <w:szCs w:val="21"/>
        </w:rPr>
      </w:pPr>
      <w:r>
        <w:rPr>
          <w:rFonts w:hint="eastAsia" w:ascii="Times New Roman" w:hAnsi="Times New Roman"/>
          <w:b w:val="0"/>
          <w:kern w:val="0"/>
          <w:szCs w:val="21"/>
        </w:rPr>
        <w:t>重复性测量次数</w:t>
      </w:r>
    </w:p>
    <w:p w14:paraId="3BB98C96">
      <w:pPr>
        <w:pStyle w:val="14"/>
        <w:spacing w:before="143" w:line="254" w:lineRule="auto"/>
        <w:ind w:right="935" w:firstLine="420" w:firstLineChars="200"/>
        <w:rPr>
          <w:szCs w:val="22"/>
        </w:rPr>
      </w:pPr>
      <w:r>
        <w:rPr>
          <w:color w:val="34343F"/>
        </w:rPr>
        <w:t>在测量过程中</w:t>
      </w:r>
      <w:r>
        <w:rPr>
          <w:color w:val="34343F"/>
          <w:w w:val="90"/>
        </w:rPr>
        <w:t xml:space="preserve">， </w:t>
      </w:r>
      <w:r>
        <w:rPr>
          <w:color w:val="34343F"/>
        </w:rPr>
        <w:t>每个调定负载点或电碳因子条件下</w:t>
      </w:r>
      <w:r>
        <w:rPr>
          <w:rFonts w:hint="eastAsia"/>
          <w:color w:val="34343F"/>
          <w:w w:val="90"/>
        </w:rPr>
        <w:t>，</w:t>
      </w:r>
      <w:r>
        <w:rPr>
          <w:color w:val="34343F"/>
        </w:rPr>
        <w:t>至少记录</w:t>
      </w:r>
      <w:r>
        <w:rPr>
          <w:rFonts w:ascii="Times New Roman" w:eastAsia="Times New Roman"/>
          <w:color w:val="34343F"/>
          <w:sz w:val="22"/>
        </w:rPr>
        <w:t>2</w:t>
      </w:r>
      <w:r>
        <w:rPr>
          <w:color w:val="34343F"/>
        </w:rPr>
        <w:t>次测试数据</w:t>
      </w:r>
      <w:r>
        <w:rPr>
          <w:color w:val="34343F"/>
          <w:w w:val="90"/>
        </w:rPr>
        <w:t xml:space="preserve">， </w:t>
      </w:r>
      <w:r>
        <w:rPr>
          <w:color w:val="34343F"/>
        </w:rPr>
        <w:t>取其平均值作</w:t>
      </w:r>
      <w:r>
        <w:rPr>
          <w:color w:val="211F28"/>
        </w:rPr>
        <w:t>为示值误差。</w:t>
      </w:r>
    </w:p>
    <w:p w14:paraId="4E0F2980">
      <w:pPr>
        <w:pStyle w:val="234"/>
        <w:numPr>
          <w:ilvl w:val="1"/>
          <w:numId w:val="36"/>
        </w:numPr>
        <w:spacing w:before="156" w:after="156"/>
        <w:ind w:firstLineChars="0"/>
        <w:outlineLvl w:val="1"/>
        <w:rPr>
          <w:rFonts w:hint="eastAsia" w:ascii="Times New Roman"/>
          <w:b w:val="0"/>
          <w:szCs w:val="21"/>
        </w:rPr>
      </w:pPr>
      <w:bookmarkStart w:id="92" w:name="_Toc29930"/>
      <w:bookmarkStart w:id="93" w:name="_Toc21449"/>
      <w:r>
        <w:rPr>
          <w:rFonts w:hint="eastAsia" w:ascii="Times New Roman"/>
          <w:b w:val="0"/>
          <w:szCs w:val="21"/>
        </w:rPr>
        <w:t>功能</w:t>
      </w:r>
      <w:bookmarkEnd w:id="92"/>
      <w:bookmarkEnd w:id="93"/>
    </w:p>
    <w:p w14:paraId="7E33F1AB">
      <w:pPr>
        <w:pStyle w:val="236"/>
        <w:numPr>
          <w:ilvl w:val="2"/>
          <w:numId w:val="36"/>
        </w:numPr>
        <w:spacing w:before="156" w:after="156"/>
        <w:ind w:firstLineChars="0"/>
        <w:outlineLvl w:val="2"/>
        <w:rPr>
          <w:rFonts w:hint="eastAsia" w:ascii="Times New Roman"/>
          <w:b w:val="0"/>
          <w:szCs w:val="21"/>
        </w:rPr>
      </w:pPr>
      <w:r>
        <w:rPr>
          <w:rFonts w:hint="eastAsia" w:ascii="Times New Roman"/>
          <w:b w:val="0"/>
          <w:szCs w:val="21"/>
        </w:rPr>
        <w:t>数据存储与显示</w:t>
      </w:r>
    </w:p>
    <w:p w14:paraId="206A411B">
      <w:pPr>
        <w:pStyle w:val="59"/>
        <w:widowControl w:val="0"/>
        <w:ind w:firstLine="0" w:firstLineChars="0"/>
        <w:rPr>
          <w:szCs w:val="22"/>
        </w:rPr>
      </w:pPr>
      <w:r>
        <w:rPr>
          <w:rFonts w:hint="eastAsia" w:ascii="黑体" w:hAnsi="黑体" w:eastAsia="黑体" w:cs="黑体"/>
          <w:szCs w:val="21"/>
        </w:rPr>
        <w:t xml:space="preserve">5.7.1.1  </w:t>
      </w:r>
      <w:r>
        <w:rPr>
          <w:rFonts w:hint="eastAsia"/>
          <w:szCs w:val="22"/>
        </w:rPr>
        <w:t>搭建电碳计量设备工作电路，通电，抄读上1日电碳排放量增量。</w:t>
      </w:r>
    </w:p>
    <w:p w14:paraId="6160E3B8">
      <w:pPr>
        <w:pStyle w:val="59"/>
        <w:widowControl w:val="0"/>
        <w:ind w:firstLine="0" w:firstLineChars="0"/>
        <w:rPr>
          <w:strike/>
          <w:szCs w:val="22"/>
        </w:rPr>
      </w:pPr>
      <w:r>
        <w:rPr>
          <w:rFonts w:hint="eastAsia" w:ascii="黑体" w:hAnsi="黑体" w:eastAsia="黑体" w:cs="黑体"/>
          <w:szCs w:val="21"/>
        </w:rPr>
        <w:t xml:space="preserve">5.7.1.2  </w:t>
      </w:r>
      <w:r>
        <w:rPr>
          <w:rFonts w:hint="eastAsia"/>
          <w:szCs w:val="22"/>
        </w:rPr>
        <w:t>搭建电碳计量设备工作电路，通电，抄读365日的电碳因子和电碳排放量。</w:t>
      </w:r>
    </w:p>
    <w:p w14:paraId="22916C41">
      <w:pPr>
        <w:pStyle w:val="59"/>
        <w:ind w:firstLine="0" w:firstLineChars="0"/>
        <w:rPr>
          <w:szCs w:val="22"/>
        </w:rPr>
      </w:pPr>
      <w:r>
        <w:rPr>
          <w:rFonts w:hint="eastAsia" w:ascii="黑体" w:hAnsi="黑体" w:eastAsia="黑体" w:cs="黑体"/>
          <w:szCs w:val="21"/>
        </w:rPr>
        <w:t xml:space="preserve">5.7.1.3  </w:t>
      </w:r>
      <w:r>
        <w:rPr>
          <w:rFonts w:hint="eastAsia"/>
          <w:szCs w:val="22"/>
        </w:rPr>
        <w:t>搭建电碳计量设备工作电路，通电，测量值显示包含电碳排放量，单位为千克（kg）；电碳因子值，单位为千克每千瓦时（kg/kWh）。</w:t>
      </w:r>
    </w:p>
    <w:p w14:paraId="627AC1AC">
      <w:pPr>
        <w:pStyle w:val="59"/>
        <w:ind w:firstLine="0" w:firstLineChars="0"/>
        <w:rPr>
          <w:szCs w:val="22"/>
        </w:rPr>
      </w:pPr>
      <w:r>
        <w:rPr>
          <w:rFonts w:hint="eastAsia" w:ascii="黑体" w:hAnsi="黑体" w:eastAsia="黑体" w:cs="黑体"/>
          <w:szCs w:val="21"/>
        </w:rPr>
        <w:t xml:space="preserve">5.7.1.4  </w:t>
      </w:r>
      <w:r>
        <w:rPr>
          <w:rFonts w:hint="eastAsia"/>
          <w:szCs w:val="22"/>
        </w:rPr>
        <w:t>搭建电碳计量设备工作电路，通电，检查当前正、反向电碳排放量显示。</w:t>
      </w:r>
    </w:p>
    <w:p w14:paraId="54F09107">
      <w:pPr>
        <w:pStyle w:val="59"/>
        <w:ind w:firstLine="0" w:firstLineChars="0"/>
        <w:rPr>
          <w:szCs w:val="22"/>
        </w:rPr>
      </w:pPr>
      <w:r>
        <w:rPr>
          <w:rFonts w:hint="eastAsia" w:ascii="黑体" w:hAnsi="黑体" w:eastAsia="黑体" w:cs="黑体"/>
          <w:szCs w:val="21"/>
        </w:rPr>
        <w:t xml:space="preserve">5.7.1.5  </w:t>
      </w:r>
      <w:r>
        <w:rPr>
          <w:rFonts w:hint="eastAsia"/>
          <w:szCs w:val="22"/>
        </w:rPr>
        <w:t>搭建电碳计量设备工作电路，通电，检查上1日～上30日的正、反向电碳排放量冻结量显示。</w:t>
      </w:r>
    </w:p>
    <w:p w14:paraId="5F23F32F">
      <w:pPr>
        <w:pStyle w:val="59"/>
        <w:ind w:firstLine="0" w:firstLineChars="0"/>
        <w:rPr>
          <w:szCs w:val="22"/>
        </w:rPr>
      </w:pPr>
      <w:r>
        <w:rPr>
          <w:rFonts w:hint="eastAsia" w:ascii="黑体" w:hAnsi="黑体" w:eastAsia="黑体" w:cs="黑体"/>
          <w:szCs w:val="21"/>
        </w:rPr>
        <w:t xml:space="preserve">5.7.1.6  </w:t>
      </w:r>
      <w:r>
        <w:rPr>
          <w:rFonts w:hint="eastAsia"/>
          <w:szCs w:val="22"/>
        </w:rPr>
        <w:t>搭建电碳计量设备工作电路，通电，检查上1月～上12月的正、反向电碳排放量冻结量显示。</w:t>
      </w:r>
    </w:p>
    <w:p w14:paraId="311F827F">
      <w:pPr>
        <w:pStyle w:val="236"/>
        <w:numPr>
          <w:ilvl w:val="2"/>
          <w:numId w:val="36"/>
        </w:numPr>
        <w:spacing w:before="156" w:after="156"/>
        <w:ind w:firstLineChars="0"/>
        <w:outlineLvl w:val="2"/>
        <w:rPr>
          <w:rFonts w:hint="eastAsia" w:ascii="Times New Roman"/>
          <w:b w:val="0"/>
          <w:szCs w:val="21"/>
        </w:rPr>
      </w:pPr>
      <w:r>
        <w:rPr>
          <w:rFonts w:hint="eastAsia" w:ascii="Times New Roman"/>
          <w:b w:val="0"/>
          <w:szCs w:val="21"/>
        </w:rPr>
        <w:t>通信能力</w:t>
      </w:r>
    </w:p>
    <w:p w14:paraId="0C390CE6">
      <w:pPr>
        <w:pStyle w:val="59"/>
        <w:ind w:firstLine="0" w:firstLineChars="0"/>
        <w:rPr>
          <w:szCs w:val="22"/>
        </w:rPr>
      </w:pPr>
      <w:r>
        <w:rPr>
          <w:rFonts w:hint="eastAsia" w:ascii="黑体" w:hAnsi="黑体" w:eastAsia="黑体" w:cs="黑体"/>
          <w:szCs w:val="21"/>
        </w:rPr>
        <w:t xml:space="preserve">5.7.2.1  </w:t>
      </w:r>
      <w:r>
        <w:rPr>
          <w:rFonts w:hint="eastAsia"/>
          <w:szCs w:val="22"/>
        </w:rPr>
        <w:t>搭建电碳计量设备工作电路，通电，按15分钟间隔接收系统下发的电碳因子。</w:t>
      </w:r>
    </w:p>
    <w:p w14:paraId="7C59F4D1">
      <w:pPr>
        <w:pStyle w:val="59"/>
        <w:ind w:firstLine="0" w:firstLineChars="0"/>
        <w:rPr>
          <w:rFonts w:hint="eastAsia"/>
          <w:szCs w:val="21"/>
        </w:rPr>
      </w:pPr>
      <w:r>
        <w:rPr>
          <w:rFonts w:hint="eastAsia" w:ascii="黑体" w:hAnsi="黑体" w:eastAsia="黑体" w:cs="黑体"/>
          <w:szCs w:val="21"/>
        </w:rPr>
        <w:t xml:space="preserve">5.7.2.2 </w:t>
      </w:r>
      <w:r>
        <w:rPr>
          <w:rFonts w:hint="eastAsia"/>
          <w:szCs w:val="22"/>
        </w:rPr>
        <w:t xml:space="preserve"> </w:t>
      </w:r>
      <w:r>
        <w:rPr>
          <w:rFonts w:hint="eastAsia"/>
          <w:szCs w:val="21"/>
        </w:rPr>
        <w:t>搭建电碳计量设备工作电路，通电，电碳计量系统下发抄读电碳排放量数据命令，抄读日冻结电碳排放量和月冻结电碳排放量数据。</w:t>
      </w:r>
    </w:p>
    <w:p w14:paraId="2989F06E">
      <w:pPr>
        <w:pStyle w:val="235"/>
        <w:numPr>
          <w:ilvl w:val="0"/>
          <w:numId w:val="36"/>
        </w:numPr>
        <w:spacing w:before="312" w:after="312"/>
        <w:outlineLvl w:val="0"/>
        <w:rPr>
          <w:rFonts w:hint="eastAsia" w:ascii="Times New Roman"/>
          <w:szCs w:val="20"/>
        </w:rPr>
      </w:pPr>
      <w:bookmarkStart w:id="94" w:name="_Toc12329"/>
      <w:bookmarkStart w:id="95" w:name="_Toc17956"/>
      <w:r>
        <w:rPr>
          <w:rFonts w:hint="eastAsia" w:ascii="Times New Roman"/>
          <w:szCs w:val="20"/>
        </w:rPr>
        <w:t>检验规则</w:t>
      </w:r>
      <w:bookmarkEnd w:id="94"/>
      <w:bookmarkEnd w:id="95"/>
    </w:p>
    <w:p w14:paraId="1C368AC6">
      <w:pPr>
        <w:pStyle w:val="234"/>
        <w:numPr>
          <w:ilvl w:val="1"/>
          <w:numId w:val="36"/>
        </w:numPr>
        <w:spacing w:before="156" w:after="156"/>
        <w:ind w:firstLineChars="0"/>
        <w:outlineLvl w:val="1"/>
        <w:rPr>
          <w:rFonts w:hint="eastAsia" w:ascii="Times New Roman"/>
          <w:b w:val="0"/>
        </w:rPr>
      </w:pPr>
      <w:bookmarkStart w:id="96" w:name="_Toc32467"/>
      <w:bookmarkStart w:id="97" w:name="_Toc3284"/>
      <w:r>
        <w:rPr>
          <w:rFonts w:hint="eastAsia" w:ascii="Times New Roman"/>
          <w:b w:val="0"/>
        </w:rPr>
        <w:t>检验分类和检验项目</w:t>
      </w:r>
      <w:bookmarkEnd w:id="96"/>
      <w:bookmarkEnd w:id="97"/>
    </w:p>
    <w:p w14:paraId="0C5849EB">
      <w:pPr>
        <w:pStyle w:val="59"/>
        <w:ind w:firstLine="420" w:firstLineChars="200"/>
        <w:rPr>
          <w:szCs w:val="22"/>
        </w:rPr>
      </w:pPr>
      <w:r>
        <w:rPr>
          <w:rFonts w:hint="eastAsia"/>
          <w:szCs w:val="22"/>
        </w:rPr>
        <w:t>电碳计量设备检验分为出厂检验</w:t>
      </w:r>
      <w:r>
        <w:rPr>
          <w:rFonts w:hint="eastAsia"/>
          <w:szCs w:val="22"/>
          <w:lang w:eastAsia="zh-CN"/>
        </w:rPr>
        <w:t>、</w:t>
      </w:r>
      <w:r>
        <w:rPr>
          <w:rFonts w:hint="eastAsia"/>
          <w:szCs w:val="22"/>
        </w:rPr>
        <w:t>型式检验</w:t>
      </w:r>
      <w:r>
        <w:rPr>
          <w:rFonts w:hint="eastAsia"/>
          <w:szCs w:val="22"/>
          <w:lang w:val="en-US" w:eastAsia="zh-CN"/>
        </w:rPr>
        <w:t>和验收检验</w:t>
      </w:r>
      <w:r>
        <w:rPr>
          <w:rFonts w:hint="eastAsia"/>
          <w:szCs w:val="22"/>
        </w:rPr>
        <w:t>。</w:t>
      </w:r>
    </w:p>
    <w:p w14:paraId="222B99DA">
      <w:pPr>
        <w:pStyle w:val="234"/>
        <w:numPr>
          <w:ilvl w:val="1"/>
          <w:numId w:val="36"/>
        </w:numPr>
        <w:spacing w:before="156" w:after="156"/>
        <w:ind w:firstLineChars="0"/>
        <w:outlineLvl w:val="1"/>
        <w:rPr>
          <w:rFonts w:hint="eastAsia" w:ascii="Times New Roman"/>
          <w:b w:val="0"/>
        </w:rPr>
      </w:pPr>
      <w:bookmarkStart w:id="98" w:name="_Toc18019"/>
      <w:bookmarkStart w:id="99" w:name="_Toc14431"/>
      <w:r>
        <w:rPr>
          <w:rFonts w:hint="eastAsia" w:ascii="Times New Roman"/>
          <w:b w:val="0"/>
        </w:rPr>
        <w:t>出厂检验</w:t>
      </w:r>
      <w:bookmarkEnd w:id="98"/>
      <w:bookmarkEnd w:id="99"/>
    </w:p>
    <w:p w14:paraId="28C7379D">
      <w:pPr>
        <w:topLinePunct/>
        <w:spacing w:line="240" w:lineRule="auto"/>
        <w:ind w:firstLine="420" w:firstLineChars="200"/>
        <w:rPr>
          <w:rFonts w:hint="eastAsia"/>
          <w:strike/>
          <w:szCs w:val="22"/>
        </w:rPr>
      </w:pPr>
      <w:r>
        <w:rPr>
          <w:rFonts w:hint="eastAsia" w:ascii="宋体" w:hAnsi="宋体"/>
          <w:szCs w:val="21"/>
        </w:rPr>
        <w:t>由制造单位对所生产的每个产品按照本</w:t>
      </w:r>
      <w:r>
        <w:rPr>
          <w:rFonts w:hint="eastAsia" w:ascii="宋体" w:hAnsi="宋体"/>
          <w:szCs w:val="21"/>
          <w:lang w:val="en-US" w:eastAsia="zh-CN"/>
        </w:rPr>
        <w:t>文件</w:t>
      </w:r>
      <w:r>
        <w:rPr>
          <w:rFonts w:hint="eastAsia" w:ascii="宋体" w:hAnsi="宋体"/>
          <w:szCs w:val="21"/>
        </w:rPr>
        <w:t>提供的试验方法进行检验，检验合格后应施加出厂封印，并出具质量合格证明。检验项目按照GB/T 17215.</w:t>
      </w:r>
      <w:r>
        <w:rPr>
          <w:rFonts w:ascii="宋体" w:hAnsi="宋体"/>
          <w:szCs w:val="21"/>
        </w:rPr>
        <w:t>211—2021</w:t>
      </w:r>
      <w:r>
        <w:rPr>
          <w:rFonts w:hint="eastAsia" w:ascii="宋体" w:hAnsi="宋体"/>
          <w:szCs w:val="21"/>
        </w:rPr>
        <w:t>、GB/T17215.321—2021等</w:t>
      </w:r>
      <w:r>
        <w:rPr>
          <w:rFonts w:hint="eastAsia" w:ascii="宋体" w:hAnsi="宋体"/>
          <w:szCs w:val="21"/>
          <w:lang w:val="en-US" w:eastAsia="zh-CN"/>
        </w:rPr>
        <w:t>计量设备</w:t>
      </w:r>
      <w:r>
        <w:rPr>
          <w:rFonts w:hint="eastAsia" w:ascii="宋体" w:hAnsi="宋体"/>
          <w:szCs w:val="21"/>
        </w:rPr>
        <w:t>相关标准要求。</w:t>
      </w:r>
    </w:p>
    <w:p w14:paraId="14BEA2F4">
      <w:pPr>
        <w:pStyle w:val="234"/>
        <w:numPr>
          <w:ilvl w:val="1"/>
          <w:numId w:val="36"/>
        </w:numPr>
        <w:spacing w:before="156" w:after="156"/>
        <w:ind w:firstLineChars="0"/>
        <w:outlineLvl w:val="1"/>
        <w:rPr>
          <w:rFonts w:hint="eastAsia" w:ascii="Times New Roman"/>
          <w:b w:val="0"/>
        </w:rPr>
      </w:pPr>
      <w:bookmarkStart w:id="100" w:name="_Toc27353"/>
      <w:bookmarkStart w:id="101" w:name="_Toc30776"/>
      <w:r>
        <w:rPr>
          <w:rFonts w:hint="eastAsia" w:ascii="Times New Roman"/>
          <w:b w:val="0"/>
        </w:rPr>
        <w:t>型式检验</w:t>
      </w:r>
      <w:bookmarkEnd w:id="100"/>
      <w:bookmarkEnd w:id="101"/>
    </w:p>
    <w:p w14:paraId="5D9ECDBD">
      <w:pPr>
        <w:pStyle w:val="233"/>
        <w:tabs>
          <w:tab w:val="center" w:pos="4201"/>
          <w:tab w:val="right" w:leader="dot" w:pos="9298"/>
        </w:tabs>
        <w:rPr>
          <w:rFonts w:hAnsi="宋体"/>
        </w:rPr>
      </w:pPr>
      <w:r>
        <w:rPr>
          <w:rFonts w:hint="eastAsia" w:hAnsi="宋体"/>
        </w:rPr>
        <w:t>新产品</w:t>
      </w:r>
      <w:r>
        <w:rPr>
          <w:rFonts w:hAnsi="宋体"/>
        </w:rPr>
        <w:t>定型</w:t>
      </w:r>
      <w:r>
        <w:rPr>
          <w:rFonts w:hint="eastAsia" w:hAnsi="宋体"/>
        </w:rPr>
        <w:t>鉴定</w:t>
      </w:r>
      <w:r>
        <w:rPr>
          <w:rFonts w:hAnsi="宋体"/>
        </w:rPr>
        <w:t>或电能表结构、工艺、主要材料（</w:t>
      </w:r>
      <w:r>
        <w:rPr>
          <w:rFonts w:hint="eastAsia" w:hAnsi="宋体"/>
        </w:rPr>
        <w:t>元器件</w:t>
      </w:r>
      <w:r>
        <w:rPr>
          <w:rFonts w:hAnsi="宋体"/>
        </w:rPr>
        <w:t>）</w:t>
      </w:r>
      <w:r>
        <w:rPr>
          <w:rFonts w:hint="eastAsia" w:hAnsi="宋体"/>
        </w:rPr>
        <w:t>以及</w:t>
      </w:r>
      <w:r>
        <w:rPr>
          <w:rFonts w:hAnsi="宋体"/>
        </w:rPr>
        <w:t>软件发生重大改变时</w:t>
      </w:r>
      <w:r>
        <w:rPr>
          <w:rFonts w:hint="eastAsia" w:hAnsi="宋体"/>
        </w:rPr>
        <w:t>，</w:t>
      </w:r>
      <w:r>
        <w:rPr>
          <w:rFonts w:hAnsi="宋体"/>
        </w:rPr>
        <w:t>按照相关标准规定的试验方法和要求，由国家市场监督管理总局授权的单位或部门对送检样品进行检验。</w:t>
      </w:r>
    </w:p>
    <w:p w14:paraId="612A6CAB">
      <w:pPr>
        <w:pStyle w:val="234"/>
        <w:numPr>
          <w:ilvl w:val="1"/>
          <w:numId w:val="36"/>
        </w:numPr>
        <w:spacing w:before="156" w:after="156"/>
        <w:ind w:firstLineChars="0"/>
        <w:outlineLvl w:val="1"/>
        <w:rPr>
          <w:rFonts w:hint="eastAsia" w:ascii="Times New Roman"/>
          <w:b w:val="0"/>
        </w:rPr>
      </w:pPr>
      <w:bookmarkStart w:id="102" w:name="_Toc8095"/>
      <w:bookmarkStart w:id="103" w:name="_Toc22601"/>
      <w:r>
        <w:rPr>
          <w:rFonts w:hint="eastAsia" w:ascii="Times New Roman"/>
          <w:b w:val="0"/>
          <w:lang w:val="en-US" w:eastAsia="zh-CN"/>
        </w:rPr>
        <w:t>验收</w:t>
      </w:r>
      <w:r>
        <w:rPr>
          <w:rFonts w:hint="eastAsia" w:ascii="Times New Roman"/>
          <w:b w:val="0"/>
        </w:rPr>
        <w:t>检验</w:t>
      </w:r>
      <w:bookmarkEnd w:id="102"/>
      <w:bookmarkEnd w:id="103"/>
    </w:p>
    <w:p w14:paraId="01E7D7B9">
      <w:pPr>
        <w:tabs>
          <w:tab w:val="center" w:pos="4201"/>
          <w:tab w:val="right" w:leader="dot" w:pos="9298"/>
        </w:tabs>
        <w:topLinePunct/>
        <w:spacing w:line="240" w:lineRule="auto"/>
        <w:ind w:firstLine="420" w:firstLineChars="200"/>
        <w:rPr>
          <w:rFonts w:hint="eastAsia"/>
        </w:rPr>
      </w:pPr>
      <w:r>
        <w:rPr>
          <w:rFonts w:ascii="宋体" w:hAnsi="宋体"/>
          <w:szCs w:val="21"/>
        </w:rPr>
        <w:t>按照本文件规定的试验</w:t>
      </w:r>
      <w:r>
        <w:rPr>
          <w:rFonts w:hint="eastAsia" w:ascii="宋体" w:hAnsi="宋体"/>
          <w:szCs w:val="21"/>
        </w:rPr>
        <w:t>项目、试验</w:t>
      </w:r>
      <w:r>
        <w:rPr>
          <w:rFonts w:ascii="宋体" w:hAnsi="宋体"/>
          <w:szCs w:val="21"/>
        </w:rPr>
        <w:t>要求和试验方法</w:t>
      </w:r>
      <w:r>
        <w:rPr>
          <w:rFonts w:hint="eastAsia" w:ascii="宋体" w:hAnsi="宋体"/>
          <w:szCs w:val="21"/>
        </w:rPr>
        <w:t>进行</w:t>
      </w:r>
      <w:r>
        <w:rPr>
          <w:rFonts w:ascii="宋体" w:hAnsi="宋体"/>
          <w:szCs w:val="21"/>
        </w:rPr>
        <w:t>检</w:t>
      </w:r>
      <w:r>
        <w:rPr>
          <w:rFonts w:hint="eastAsia" w:ascii="宋体" w:hAnsi="宋体"/>
          <w:szCs w:val="21"/>
        </w:rPr>
        <w:t>验</w:t>
      </w:r>
      <w:r>
        <w:rPr>
          <w:rFonts w:ascii="宋体" w:hAnsi="宋体"/>
          <w:szCs w:val="21"/>
        </w:rPr>
        <w:t>，以确定</w:t>
      </w:r>
      <w:r>
        <w:rPr>
          <w:rFonts w:hint="eastAsia" w:ascii="宋体" w:hAnsi="宋体"/>
          <w:szCs w:val="21"/>
          <w:lang w:val="en-US" w:eastAsia="zh-CN"/>
        </w:rPr>
        <w:t>电碳计量设备</w:t>
      </w:r>
      <w:r>
        <w:rPr>
          <w:rFonts w:ascii="宋体" w:hAnsi="宋体"/>
          <w:szCs w:val="21"/>
        </w:rPr>
        <w:t>规定的特性并证明其与本文件要求的符合性。</w:t>
      </w:r>
      <w:r>
        <w:rPr>
          <w:rFonts w:hint="eastAsia" w:ascii="宋体" w:hAnsi="宋体"/>
          <w:szCs w:val="21"/>
          <w:lang w:val="en-US" w:eastAsia="zh-CN"/>
        </w:rPr>
        <w:t>检验</w:t>
      </w:r>
      <w:r>
        <w:rPr>
          <w:rFonts w:ascii="宋体" w:hAnsi="宋体"/>
          <w:szCs w:val="21"/>
        </w:rPr>
        <w:t>项目</w:t>
      </w:r>
      <w:r>
        <w:rPr>
          <w:rFonts w:hint="eastAsia" w:ascii="宋体" w:hAnsi="宋体"/>
          <w:szCs w:val="21"/>
        </w:rPr>
        <w:t>应符合附录</w:t>
      </w:r>
      <w:r>
        <w:rPr>
          <w:rFonts w:hint="eastAsia" w:ascii="宋体" w:hAnsi="宋体"/>
          <w:szCs w:val="21"/>
          <w:lang w:val="en-US" w:eastAsia="zh-CN"/>
        </w:rPr>
        <w:t>A</w:t>
      </w:r>
      <w:r>
        <w:rPr>
          <w:rFonts w:hint="eastAsia" w:ascii="宋体" w:hAnsi="宋体"/>
          <w:szCs w:val="21"/>
        </w:rPr>
        <w:t>的规定</w:t>
      </w:r>
      <w:r>
        <w:rPr>
          <w:rFonts w:ascii="宋体" w:hAnsi="宋体"/>
          <w:szCs w:val="21"/>
        </w:rPr>
        <w:t>。</w:t>
      </w:r>
    </w:p>
    <w:p w14:paraId="4ADD8D75">
      <w:pPr>
        <w:pStyle w:val="59"/>
        <w:ind w:firstLine="0" w:firstLineChars="0"/>
        <w:rPr>
          <w:rFonts w:hint="eastAsia"/>
          <w:szCs w:val="22"/>
        </w:rPr>
      </w:pPr>
    </w:p>
    <w:p w14:paraId="014BCEEC">
      <w:pPr>
        <w:pStyle w:val="59"/>
        <w:ind w:firstLine="0" w:firstLineChars="0"/>
        <w:rPr>
          <w:szCs w:val="22"/>
        </w:rPr>
      </w:pPr>
    </w:p>
    <w:p w14:paraId="2188D92F">
      <w:pPr>
        <w:adjustRightInd w:val="0"/>
        <w:snapToGrid w:val="0"/>
        <w:ind w:firstLineChars="0"/>
        <w:jc w:val="center"/>
        <w:rPr>
          <w:rFonts w:hint="eastAsia"/>
          <w:b/>
          <w:szCs w:val="22"/>
        </w:rPr>
      </w:pPr>
      <w:r>
        <w:rPr>
          <w:rFonts w:hint="eastAsia"/>
          <w:b/>
          <w:szCs w:val="22"/>
        </w:rPr>
        <w:br w:type="page"/>
      </w:r>
    </w:p>
    <w:p w14:paraId="4D72C501">
      <w:pPr>
        <w:pStyle w:val="244"/>
        <w:keepNext/>
        <w:keepLines w:val="0"/>
        <w:pageBreakBefore/>
        <w:widowControl/>
        <w:shd w:val="clear" w:color="FFFFFF" w:fill="FFFFFF"/>
        <w:tabs>
          <w:tab w:val="clear" w:pos="360"/>
        </w:tabs>
        <w:kinsoku/>
        <w:wordWrap/>
        <w:overflowPunct/>
        <w:topLinePunct w:val="0"/>
        <w:autoSpaceDE w:val="0"/>
        <w:autoSpaceDN w:val="0"/>
        <w:bidi w:val="0"/>
        <w:adjustRightInd/>
        <w:snapToGrid/>
        <w:spacing w:before="0" w:after="0" w:line="240" w:lineRule="auto"/>
        <w:ind w:left="0"/>
        <w:textAlignment w:val="auto"/>
        <w:outlineLvl w:val="1"/>
        <w:rPr>
          <w:rFonts w:ascii="宋体" w:hAnsi="宋体"/>
        </w:rPr>
      </w:pPr>
      <w:bookmarkStart w:id="104" w:name="_Toc21711"/>
      <w:bookmarkEnd w:id="104"/>
    </w:p>
    <w:p w14:paraId="7D027728">
      <w:pPr>
        <w:pStyle w:val="59"/>
        <w:keepNext w:val="0"/>
        <w:keepLines w:val="0"/>
        <w:pageBreakBefore w:val="0"/>
        <w:widowControl/>
        <w:kinsoku/>
        <w:wordWrap/>
        <w:overflowPunct/>
        <w:topLinePunct w:val="0"/>
        <w:autoSpaceDE w:val="0"/>
        <w:autoSpaceDN w:val="0"/>
        <w:bidi w:val="0"/>
        <w:adjustRightInd w:val="0"/>
        <w:snapToGrid w:val="0"/>
        <w:spacing w:before="0" w:after="0" w:afterLines="0" w:line="240" w:lineRule="auto"/>
        <w:ind w:firstLine="0" w:firstLineChars="0"/>
        <w:jc w:val="center"/>
        <w:textAlignment w:val="auto"/>
        <w:rPr>
          <w:rFonts w:hint="eastAsia" w:ascii="黑体" w:hAnsi="黑体" w:eastAsia="黑体" w:cs="黑体"/>
          <w:b/>
          <w:szCs w:val="22"/>
        </w:rPr>
      </w:pPr>
      <w:bookmarkStart w:id="105" w:name="_Toc22344"/>
      <w:r>
        <w:rPr>
          <w:rFonts w:hint="eastAsia" w:ascii="黑体" w:hAnsi="黑体" w:eastAsia="黑体" w:cs="黑体"/>
        </w:rPr>
        <w:t>（资料性）</w:t>
      </w:r>
      <w:r>
        <w:rPr>
          <w:rFonts w:hint="eastAsia" w:ascii="黑体" w:hAnsi="黑体" w:eastAsia="黑体" w:cs="黑体"/>
        </w:rPr>
        <w:br w:type="textWrapping"/>
      </w:r>
      <w:r>
        <w:rPr>
          <w:rFonts w:hint="eastAsia" w:ascii="黑体" w:hAnsi="黑体" w:eastAsia="黑体" w:cs="黑体"/>
          <w:lang w:val="en-US" w:eastAsia="zh-CN"/>
        </w:rPr>
        <w:t>检验项目明细</w:t>
      </w:r>
      <w:r>
        <w:rPr>
          <w:rFonts w:hint="eastAsia" w:ascii="黑体" w:hAnsi="黑体" w:eastAsia="黑体" w:cs="黑体"/>
        </w:rPr>
        <w:t>表</w:t>
      </w:r>
      <w:bookmarkEnd w:id="105"/>
    </w:p>
    <w:p w14:paraId="30F6B21C">
      <w:pPr>
        <w:pStyle w:val="59"/>
        <w:adjustRightInd w:val="0"/>
        <w:snapToGrid w:val="0"/>
        <w:spacing w:line="360" w:lineRule="auto"/>
        <w:ind w:firstLine="420" w:firstLineChars="200"/>
        <w:rPr>
          <w:rFonts w:hint="eastAsia"/>
          <w:szCs w:val="22"/>
        </w:rPr>
      </w:pPr>
    </w:p>
    <w:p w14:paraId="2A65C35A">
      <w:pPr>
        <w:pStyle w:val="59"/>
        <w:autoSpaceDE/>
        <w:autoSpaceDN/>
        <w:adjustRightInd w:val="0"/>
        <w:snapToGrid w:val="0"/>
        <w:spacing w:line="240" w:lineRule="auto"/>
        <w:ind w:firstLine="420" w:firstLineChars="200"/>
        <w:rPr>
          <w:rFonts w:hint="eastAsia" w:eastAsia="宋体"/>
          <w:szCs w:val="22"/>
          <w:lang w:eastAsia="zh-CN"/>
        </w:rPr>
      </w:pPr>
      <w:r>
        <w:rPr>
          <w:rFonts w:hint="eastAsia"/>
          <w:szCs w:val="22"/>
        </w:rPr>
        <w:t>检验项目见表A.1</w:t>
      </w:r>
      <w:r>
        <w:rPr>
          <w:rFonts w:hint="eastAsia"/>
          <w:szCs w:val="22"/>
          <w:lang w:eastAsia="zh-CN"/>
        </w:rPr>
        <w:t>。</w:t>
      </w:r>
    </w:p>
    <w:p w14:paraId="25980DF7">
      <w:pPr>
        <w:pStyle w:val="59"/>
        <w:adjustRightInd w:val="0"/>
        <w:snapToGrid w:val="0"/>
        <w:spacing w:line="360" w:lineRule="auto"/>
        <w:ind w:firstLine="0" w:firstLineChars="0"/>
        <w:jc w:val="center"/>
        <w:rPr>
          <w:rFonts w:hint="default" w:ascii="黑体" w:hAnsi="黑体" w:eastAsia="黑体" w:cs="黑体"/>
          <w:b w:val="0"/>
          <w:bCs/>
          <w:szCs w:val="22"/>
          <w:lang w:val="en-US" w:eastAsia="zh-CN"/>
        </w:rPr>
      </w:pPr>
      <w:r>
        <w:rPr>
          <w:rFonts w:hint="eastAsia" w:ascii="黑体" w:hAnsi="黑体" w:eastAsia="黑体" w:cs="黑体"/>
          <w:b w:val="0"/>
          <w:bCs/>
          <w:szCs w:val="22"/>
        </w:rPr>
        <w:t>表A.1  检验项目</w:t>
      </w:r>
      <w:r>
        <w:rPr>
          <w:rFonts w:hint="eastAsia" w:ascii="黑体" w:hAnsi="黑体" w:eastAsia="黑体" w:cs="黑体"/>
          <w:b w:val="0"/>
          <w:bCs/>
          <w:szCs w:val="22"/>
          <w:lang w:val="en-US" w:eastAsia="zh-CN"/>
        </w:rPr>
        <w:t>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2552"/>
        <w:gridCol w:w="1276"/>
        <w:gridCol w:w="1134"/>
        <w:gridCol w:w="1134"/>
      </w:tblGrid>
      <w:tr w14:paraId="7A23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171DF35">
            <w:pPr>
              <w:pStyle w:val="59"/>
              <w:ind w:firstLine="0" w:firstLineChars="0"/>
              <w:jc w:val="center"/>
              <w:rPr>
                <w:szCs w:val="22"/>
              </w:rPr>
            </w:pPr>
            <w:r>
              <w:rPr>
                <w:rFonts w:hint="eastAsia"/>
                <w:szCs w:val="22"/>
              </w:rPr>
              <w:t>序号</w:t>
            </w:r>
          </w:p>
        </w:tc>
        <w:tc>
          <w:tcPr>
            <w:tcW w:w="4111" w:type="dxa"/>
            <w:gridSpan w:val="2"/>
          </w:tcPr>
          <w:p w14:paraId="11F92851">
            <w:pPr>
              <w:pStyle w:val="59"/>
              <w:ind w:firstLine="0" w:firstLineChars="0"/>
              <w:jc w:val="center"/>
              <w:rPr>
                <w:szCs w:val="22"/>
              </w:rPr>
            </w:pPr>
            <w:r>
              <w:rPr>
                <w:rFonts w:hint="eastAsia"/>
                <w:szCs w:val="22"/>
              </w:rPr>
              <w:t>检验项目</w:t>
            </w:r>
          </w:p>
        </w:tc>
        <w:tc>
          <w:tcPr>
            <w:tcW w:w="1276" w:type="dxa"/>
          </w:tcPr>
          <w:p w14:paraId="22D340C6">
            <w:pPr>
              <w:pStyle w:val="59"/>
              <w:ind w:firstLine="0" w:firstLineChars="0"/>
              <w:jc w:val="center"/>
              <w:rPr>
                <w:szCs w:val="22"/>
              </w:rPr>
            </w:pPr>
            <w:r>
              <w:rPr>
                <w:rFonts w:hint="eastAsia"/>
                <w:szCs w:val="22"/>
              </w:rPr>
              <w:t>章条号</w:t>
            </w:r>
          </w:p>
        </w:tc>
        <w:tc>
          <w:tcPr>
            <w:tcW w:w="1134" w:type="dxa"/>
          </w:tcPr>
          <w:p w14:paraId="143C42F1">
            <w:pPr>
              <w:pStyle w:val="59"/>
              <w:ind w:firstLine="0" w:firstLineChars="0"/>
              <w:jc w:val="center"/>
              <w:rPr>
                <w:szCs w:val="22"/>
              </w:rPr>
            </w:pPr>
            <w:r>
              <w:rPr>
                <w:rFonts w:hint="eastAsia"/>
                <w:szCs w:val="22"/>
              </w:rPr>
              <w:t>出厂检验</w:t>
            </w:r>
          </w:p>
        </w:tc>
        <w:tc>
          <w:tcPr>
            <w:tcW w:w="1134" w:type="dxa"/>
          </w:tcPr>
          <w:p w14:paraId="6DBFC05F">
            <w:pPr>
              <w:pStyle w:val="59"/>
              <w:ind w:firstLine="0" w:firstLineChars="0"/>
              <w:jc w:val="center"/>
              <w:rPr>
                <w:szCs w:val="22"/>
              </w:rPr>
            </w:pPr>
            <w:r>
              <w:rPr>
                <w:rFonts w:hint="eastAsia"/>
                <w:szCs w:val="22"/>
              </w:rPr>
              <w:t>型式检验</w:t>
            </w:r>
          </w:p>
        </w:tc>
      </w:tr>
      <w:tr w14:paraId="2B5C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75ED3F8">
            <w:pPr>
              <w:pStyle w:val="59"/>
              <w:ind w:firstLine="0" w:firstLineChars="0"/>
              <w:jc w:val="center"/>
              <w:rPr>
                <w:szCs w:val="22"/>
              </w:rPr>
            </w:pPr>
            <w:r>
              <w:rPr>
                <w:rFonts w:hint="eastAsia"/>
                <w:szCs w:val="22"/>
              </w:rPr>
              <w:t>1</w:t>
            </w:r>
          </w:p>
        </w:tc>
        <w:tc>
          <w:tcPr>
            <w:tcW w:w="1559" w:type="dxa"/>
            <w:vMerge w:val="restart"/>
            <w:vAlign w:val="center"/>
          </w:tcPr>
          <w:p w14:paraId="25B41360">
            <w:pPr>
              <w:pStyle w:val="59"/>
              <w:ind w:firstLine="0" w:firstLineChars="0"/>
              <w:jc w:val="center"/>
              <w:rPr>
                <w:szCs w:val="22"/>
              </w:rPr>
            </w:pPr>
            <w:r>
              <w:rPr>
                <w:rFonts w:hint="eastAsia"/>
                <w:szCs w:val="22"/>
              </w:rPr>
              <w:t>机械性能</w:t>
            </w:r>
          </w:p>
        </w:tc>
        <w:tc>
          <w:tcPr>
            <w:tcW w:w="2552" w:type="dxa"/>
          </w:tcPr>
          <w:p w14:paraId="2E8873AE">
            <w:pPr>
              <w:pStyle w:val="59"/>
              <w:ind w:firstLine="0" w:firstLineChars="0"/>
              <w:jc w:val="center"/>
              <w:rPr>
                <w:szCs w:val="22"/>
              </w:rPr>
            </w:pPr>
            <w:r>
              <w:rPr>
                <w:rFonts w:hint="eastAsia"/>
                <w:szCs w:val="22"/>
              </w:rPr>
              <w:t>冲击</w:t>
            </w:r>
          </w:p>
        </w:tc>
        <w:tc>
          <w:tcPr>
            <w:tcW w:w="1276" w:type="dxa"/>
          </w:tcPr>
          <w:p w14:paraId="69F3AA61">
            <w:pPr>
              <w:pStyle w:val="59"/>
              <w:ind w:firstLine="0" w:firstLineChars="0"/>
              <w:jc w:val="center"/>
              <w:rPr>
                <w:szCs w:val="22"/>
              </w:rPr>
            </w:pPr>
            <w:r>
              <w:rPr>
                <w:rFonts w:hint="eastAsia"/>
                <w:szCs w:val="22"/>
              </w:rPr>
              <w:t>5.1.1</w:t>
            </w:r>
          </w:p>
        </w:tc>
        <w:tc>
          <w:tcPr>
            <w:tcW w:w="1134" w:type="dxa"/>
          </w:tcPr>
          <w:p w14:paraId="37D1E291">
            <w:pPr>
              <w:pStyle w:val="59"/>
              <w:ind w:firstLine="0" w:firstLineChars="0"/>
              <w:jc w:val="center"/>
              <w:rPr>
                <w:szCs w:val="22"/>
              </w:rPr>
            </w:pPr>
            <w:r>
              <w:rPr>
                <w:rFonts w:hint="eastAsia"/>
                <w:szCs w:val="22"/>
              </w:rPr>
              <w:t>×</w:t>
            </w:r>
          </w:p>
        </w:tc>
        <w:tc>
          <w:tcPr>
            <w:tcW w:w="1134" w:type="dxa"/>
          </w:tcPr>
          <w:p w14:paraId="16E25298">
            <w:pPr>
              <w:pStyle w:val="59"/>
              <w:ind w:firstLine="0" w:firstLineChars="0"/>
              <w:jc w:val="center"/>
              <w:rPr>
                <w:szCs w:val="22"/>
              </w:rPr>
            </w:pPr>
            <w:r>
              <w:rPr>
                <w:rFonts w:hint="eastAsia"/>
                <w:szCs w:val="22"/>
              </w:rPr>
              <w:t>√</w:t>
            </w:r>
          </w:p>
        </w:tc>
      </w:tr>
      <w:tr w14:paraId="7C82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D891CDC">
            <w:pPr>
              <w:pStyle w:val="59"/>
              <w:ind w:firstLine="0" w:firstLineChars="0"/>
              <w:jc w:val="center"/>
              <w:rPr>
                <w:szCs w:val="22"/>
              </w:rPr>
            </w:pPr>
            <w:r>
              <w:rPr>
                <w:rFonts w:hint="eastAsia"/>
                <w:szCs w:val="22"/>
              </w:rPr>
              <w:t>2</w:t>
            </w:r>
          </w:p>
        </w:tc>
        <w:tc>
          <w:tcPr>
            <w:tcW w:w="1559" w:type="dxa"/>
            <w:vMerge w:val="continue"/>
          </w:tcPr>
          <w:p w14:paraId="42659BD4">
            <w:pPr>
              <w:pStyle w:val="59"/>
              <w:ind w:firstLine="0" w:firstLineChars="0"/>
              <w:jc w:val="center"/>
              <w:rPr>
                <w:szCs w:val="22"/>
              </w:rPr>
            </w:pPr>
          </w:p>
        </w:tc>
        <w:tc>
          <w:tcPr>
            <w:tcW w:w="2552" w:type="dxa"/>
          </w:tcPr>
          <w:p w14:paraId="27103C07">
            <w:pPr>
              <w:pStyle w:val="59"/>
              <w:ind w:firstLine="0" w:firstLineChars="0"/>
              <w:jc w:val="center"/>
              <w:rPr>
                <w:szCs w:val="22"/>
              </w:rPr>
            </w:pPr>
            <w:r>
              <w:rPr>
                <w:rFonts w:hint="eastAsia"/>
                <w:szCs w:val="22"/>
              </w:rPr>
              <w:t>振动</w:t>
            </w:r>
          </w:p>
        </w:tc>
        <w:tc>
          <w:tcPr>
            <w:tcW w:w="1276" w:type="dxa"/>
          </w:tcPr>
          <w:p w14:paraId="7D0E9BCC">
            <w:pPr>
              <w:pStyle w:val="59"/>
              <w:ind w:firstLine="0" w:firstLineChars="0"/>
              <w:jc w:val="center"/>
              <w:rPr>
                <w:szCs w:val="22"/>
              </w:rPr>
            </w:pPr>
            <w:r>
              <w:rPr>
                <w:rFonts w:hint="eastAsia"/>
                <w:szCs w:val="22"/>
              </w:rPr>
              <w:t>5.1.2</w:t>
            </w:r>
          </w:p>
        </w:tc>
        <w:tc>
          <w:tcPr>
            <w:tcW w:w="1134" w:type="dxa"/>
          </w:tcPr>
          <w:p w14:paraId="077C86EF">
            <w:pPr>
              <w:pStyle w:val="59"/>
              <w:ind w:firstLine="0" w:firstLineChars="0"/>
              <w:jc w:val="center"/>
              <w:rPr>
                <w:szCs w:val="22"/>
              </w:rPr>
            </w:pPr>
            <w:r>
              <w:rPr>
                <w:rFonts w:hint="eastAsia"/>
                <w:szCs w:val="22"/>
              </w:rPr>
              <w:t>×</w:t>
            </w:r>
          </w:p>
        </w:tc>
        <w:tc>
          <w:tcPr>
            <w:tcW w:w="1134" w:type="dxa"/>
          </w:tcPr>
          <w:p w14:paraId="50C4C452">
            <w:pPr>
              <w:pStyle w:val="59"/>
              <w:ind w:firstLine="0" w:firstLineChars="0"/>
              <w:jc w:val="center"/>
              <w:rPr>
                <w:szCs w:val="22"/>
              </w:rPr>
            </w:pPr>
            <w:r>
              <w:rPr>
                <w:rFonts w:hint="eastAsia"/>
                <w:szCs w:val="22"/>
              </w:rPr>
              <w:t>√</w:t>
            </w:r>
          </w:p>
        </w:tc>
      </w:tr>
      <w:tr w14:paraId="2951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90F886E">
            <w:pPr>
              <w:pStyle w:val="59"/>
              <w:ind w:firstLine="0" w:firstLineChars="0"/>
              <w:jc w:val="center"/>
              <w:rPr>
                <w:szCs w:val="22"/>
              </w:rPr>
            </w:pPr>
            <w:r>
              <w:rPr>
                <w:rFonts w:hint="eastAsia"/>
                <w:szCs w:val="22"/>
              </w:rPr>
              <w:t>3</w:t>
            </w:r>
          </w:p>
        </w:tc>
        <w:tc>
          <w:tcPr>
            <w:tcW w:w="1559" w:type="dxa"/>
            <w:vMerge w:val="continue"/>
          </w:tcPr>
          <w:p w14:paraId="408784D2">
            <w:pPr>
              <w:pStyle w:val="59"/>
              <w:ind w:firstLine="0" w:firstLineChars="0"/>
              <w:jc w:val="center"/>
              <w:rPr>
                <w:szCs w:val="22"/>
              </w:rPr>
            </w:pPr>
          </w:p>
        </w:tc>
        <w:tc>
          <w:tcPr>
            <w:tcW w:w="2552" w:type="dxa"/>
          </w:tcPr>
          <w:p w14:paraId="418541F8">
            <w:pPr>
              <w:pStyle w:val="59"/>
              <w:ind w:firstLine="0" w:firstLineChars="0"/>
              <w:jc w:val="center"/>
              <w:rPr>
                <w:szCs w:val="22"/>
              </w:rPr>
            </w:pPr>
            <w:r>
              <w:rPr>
                <w:rFonts w:hint="eastAsia"/>
                <w:szCs w:val="22"/>
              </w:rPr>
              <w:t>弹簧锤</w:t>
            </w:r>
          </w:p>
        </w:tc>
        <w:tc>
          <w:tcPr>
            <w:tcW w:w="1276" w:type="dxa"/>
          </w:tcPr>
          <w:p w14:paraId="662B6DA3">
            <w:pPr>
              <w:pStyle w:val="59"/>
              <w:ind w:firstLine="0" w:firstLineChars="0"/>
              <w:jc w:val="center"/>
              <w:rPr>
                <w:szCs w:val="22"/>
              </w:rPr>
            </w:pPr>
            <w:r>
              <w:rPr>
                <w:rFonts w:hint="eastAsia"/>
                <w:szCs w:val="22"/>
              </w:rPr>
              <w:t>5.1.3</w:t>
            </w:r>
          </w:p>
        </w:tc>
        <w:tc>
          <w:tcPr>
            <w:tcW w:w="1134" w:type="dxa"/>
          </w:tcPr>
          <w:p w14:paraId="6D0A6A87">
            <w:pPr>
              <w:pStyle w:val="59"/>
              <w:ind w:firstLine="0" w:firstLineChars="0"/>
              <w:jc w:val="center"/>
              <w:rPr>
                <w:szCs w:val="22"/>
              </w:rPr>
            </w:pPr>
            <w:r>
              <w:rPr>
                <w:rFonts w:hint="eastAsia"/>
                <w:szCs w:val="22"/>
              </w:rPr>
              <w:t>×</w:t>
            </w:r>
          </w:p>
        </w:tc>
        <w:tc>
          <w:tcPr>
            <w:tcW w:w="1134" w:type="dxa"/>
          </w:tcPr>
          <w:p w14:paraId="6433FEF3">
            <w:pPr>
              <w:pStyle w:val="59"/>
              <w:ind w:firstLine="0" w:firstLineChars="0"/>
              <w:jc w:val="center"/>
              <w:rPr>
                <w:szCs w:val="22"/>
              </w:rPr>
            </w:pPr>
            <w:r>
              <w:rPr>
                <w:rFonts w:hint="eastAsia"/>
                <w:szCs w:val="22"/>
              </w:rPr>
              <w:t>√</w:t>
            </w:r>
          </w:p>
        </w:tc>
      </w:tr>
      <w:tr w14:paraId="32F6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BC241F8">
            <w:pPr>
              <w:pStyle w:val="59"/>
              <w:ind w:firstLine="0" w:firstLineChars="0"/>
              <w:jc w:val="center"/>
              <w:rPr>
                <w:szCs w:val="22"/>
              </w:rPr>
            </w:pPr>
            <w:r>
              <w:rPr>
                <w:rFonts w:hint="eastAsia"/>
                <w:szCs w:val="22"/>
              </w:rPr>
              <w:t>4</w:t>
            </w:r>
          </w:p>
        </w:tc>
        <w:tc>
          <w:tcPr>
            <w:tcW w:w="1559" w:type="dxa"/>
            <w:vMerge w:val="continue"/>
          </w:tcPr>
          <w:p w14:paraId="380F37C6">
            <w:pPr>
              <w:pStyle w:val="59"/>
              <w:ind w:firstLine="0" w:firstLineChars="0"/>
              <w:jc w:val="center"/>
              <w:rPr>
                <w:szCs w:val="22"/>
              </w:rPr>
            </w:pPr>
          </w:p>
        </w:tc>
        <w:tc>
          <w:tcPr>
            <w:tcW w:w="2552" w:type="dxa"/>
          </w:tcPr>
          <w:p w14:paraId="69310964">
            <w:pPr>
              <w:pStyle w:val="59"/>
              <w:ind w:firstLine="0" w:firstLineChars="0"/>
              <w:jc w:val="center"/>
              <w:rPr>
                <w:rFonts w:hint="eastAsia"/>
                <w:szCs w:val="22"/>
              </w:rPr>
            </w:pPr>
            <w:r>
              <w:rPr>
                <w:rFonts w:hint="eastAsia"/>
                <w:szCs w:val="22"/>
              </w:rPr>
              <w:t>防护等级</w:t>
            </w:r>
          </w:p>
        </w:tc>
        <w:tc>
          <w:tcPr>
            <w:tcW w:w="1276" w:type="dxa"/>
          </w:tcPr>
          <w:p w14:paraId="5C54F5CA">
            <w:pPr>
              <w:pStyle w:val="59"/>
              <w:ind w:firstLine="0" w:firstLineChars="0"/>
              <w:jc w:val="center"/>
              <w:rPr>
                <w:rFonts w:hint="eastAsia"/>
                <w:szCs w:val="22"/>
              </w:rPr>
            </w:pPr>
            <w:r>
              <w:rPr>
                <w:szCs w:val="22"/>
              </w:rPr>
              <w:t>5.1.</w:t>
            </w:r>
            <w:r>
              <w:rPr>
                <w:rFonts w:hint="eastAsia"/>
                <w:szCs w:val="22"/>
              </w:rPr>
              <w:t>4</w:t>
            </w:r>
          </w:p>
        </w:tc>
        <w:tc>
          <w:tcPr>
            <w:tcW w:w="1134" w:type="dxa"/>
          </w:tcPr>
          <w:p w14:paraId="054FA583">
            <w:pPr>
              <w:pStyle w:val="59"/>
              <w:ind w:firstLine="0" w:firstLineChars="0"/>
              <w:jc w:val="center"/>
              <w:rPr>
                <w:rFonts w:hint="eastAsia"/>
                <w:szCs w:val="22"/>
              </w:rPr>
            </w:pPr>
            <w:r>
              <w:rPr>
                <w:rFonts w:hint="eastAsia"/>
                <w:szCs w:val="22"/>
              </w:rPr>
              <w:t>×</w:t>
            </w:r>
          </w:p>
        </w:tc>
        <w:tc>
          <w:tcPr>
            <w:tcW w:w="1134" w:type="dxa"/>
          </w:tcPr>
          <w:p w14:paraId="2BD3D982">
            <w:pPr>
              <w:pStyle w:val="59"/>
              <w:ind w:firstLine="0" w:firstLineChars="0"/>
              <w:jc w:val="center"/>
              <w:rPr>
                <w:rFonts w:hint="eastAsia"/>
                <w:szCs w:val="22"/>
              </w:rPr>
            </w:pPr>
            <w:r>
              <w:rPr>
                <w:rFonts w:hint="eastAsia"/>
                <w:szCs w:val="22"/>
              </w:rPr>
              <w:t>√</w:t>
            </w:r>
          </w:p>
        </w:tc>
      </w:tr>
      <w:tr w14:paraId="228A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336278F">
            <w:pPr>
              <w:pStyle w:val="59"/>
              <w:ind w:firstLine="0" w:firstLineChars="0"/>
              <w:jc w:val="center"/>
              <w:rPr>
                <w:szCs w:val="22"/>
              </w:rPr>
            </w:pPr>
            <w:r>
              <w:rPr>
                <w:rFonts w:hint="eastAsia"/>
                <w:szCs w:val="22"/>
              </w:rPr>
              <w:t>5</w:t>
            </w:r>
          </w:p>
        </w:tc>
        <w:tc>
          <w:tcPr>
            <w:tcW w:w="1559" w:type="dxa"/>
            <w:vMerge w:val="continue"/>
          </w:tcPr>
          <w:p w14:paraId="0B911C24">
            <w:pPr>
              <w:pStyle w:val="59"/>
              <w:ind w:firstLine="0" w:firstLineChars="0"/>
              <w:jc w:val="center"/>
              <w:rPr>
                <w:szCs w:val="22"/>
              </w:rPr>
            </w:pPr>
          </w:p>
        </w:tc>
        <w:tc>
          <w:tcPr>
            <w:tcW w:w="2552" w:type="dxa"/>
          </w:tcPr>
          <w:p w14:paraId="3471F8CB">
            <w:pPr>
              <w:pStyle w:val="59"/>
              <w:ind w:firstLine="0" w:firstLineChars="0"/>
              <w:jc w:val="center"/>
              <w:rPr>
                <w:rFonts w:hint="eastAsia"/>
                <w:szCs w:val="22"/>
              </w:rPr>
            </w:pPr>
            <w:r>
              <w:rPr>
                <w:rFonts w:hint="eastAsia"/>
                <w:szCs w:val="22"/>
              </w:rPr>
              <w:t>耐热阻燃</w:t>
            </w:r>
          </w:p>
        </w:tc>
        <w:tc>
          <w:tcPr>
            <w:tcW w:w="1276" w:type="dxa"/>
          </w:tcPr>
          <w:p w14:paraId="121E129F">
            <w:pPr>
              <w:pStyle w:val="59"/>
              <w:ind w:firstLine="0" w:firstLineChars="0"/>
              <w:jc w:val="center"/>
              <w:rPr>
                <w:rFonts w:hint="eastAsia"/>
                <w:szCs w:val="22"/>
              </w:rPr>
            </w:pPr>
            <w:r>
              <w:rPr>
                <w:szCs w:val="22"/>
              </w:rPr>
              <w:t>5.1.</w:t>
            </w:r>
            <w:r>
              <w:rPr>
                <w:rFonts w:hint="eastAsia"/>
                <w:szCs w:val="22"/>
              </w:rPr>
              <w:t>5</w:t>
            </w:r>
          </w:p>
        </w:tc>
        <w:tc>
          <w:tcPr>
            <w:tcW w:w="1134" w:type="dxa"/>
          </w:tcPr>
          <w:p w14:paraId="6367751D">
            <w:pPr>
              <w:pStyle w:val="59"/>
              <w:ind w:firstLine="0" w:firstLineChars="0"/>
              <w:jc w:val="center"/>
              <w:rPr>
                <w:rFonts w:hint="eastAsia"/>
                <w:szCs w:val="22"/>
              </w:rPr>
            </w:pPr>
            <w:r>
              <w:rPr>
                <w:rFonts w:hint="eastAsia"/>
                <w:szCs w:val="22"/>
              </w:rPr>
              <w:t>×</w:t>
            </w:r>
          </w:p>
        </w:tc>
        <w:tc>
          <w:tcPr>
            <w:tcW w:w="1134" w:type="dxa"/>
          </w:tcPr>
          <w:p w14:paraId="50D77C06">
            <w:pPr>
              <w:pStyle w:val="59"/>
              <w:ind w:firstLine="0" w:firstLineChars="0"/>
              <w:jc w:val="center"/>
              <w:rPr>
                <w:rFonts w:hint="eastAsia"/>
                <w:szCs w:val="22"/>
              </w:rPr>
            </w:pPr>
            <w:r>
              <w:rPr>
                <w:rFonts w:hint="eastAsia"/>
                <w:szCs w:val="22"/>
              </w:rPr>
              <w:t>√</w:t>
            </w:r>
          </w:p>
        </w:tc>
      </w:tr>
      <w:tr w14:paraId="58FA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0938B24">
            <w:pPr>
              <w:pStyle w:val="59"/>
              <w:ind w:firstLine="0" w:firstLineChars="0"/>
              <w:jc w:val="center"/>
              <w:rPr>
                <w:szCs w:val="22"/>
              </w:rPr>
            </w:pPr>
            <w:r>
              <w:rPr>
                <w:rFonts w:hint="eastAsia"/>
                <w:szCs w:val="22"/>
              </w:rPr>
              <w:t>6</w:t>
            </w:r>
          </w:p>
        </w:tc>
        <w:tc>
          <w:tcPr>
            <w:tcW w:w="1559" w:type="dxa"/>
            <w:vMerge w:val="continue"/>
          </w:tcPr>
          <w:p w14:paraId="74FB299D">
            <w:pPr>
              <w:pStyle w:val="59"/>
              <w:ind w:firstLine="0" w:firstLineChars="0"/>
              <w:jc w:val="center"/>
              <w:rPr>
                <w:szCs w:val="22"/>
              </w:rPr>
            </w:pPr>
          </w:p>
        </w:tc>
        <w:tc>
          <w:tcPr>
            <w:tcW w:w="2552" w:type="dxa"/>
          </w:tcPr>
          <w:p w14:paraId="63AB103F">
            <w:pPr>
              <w:pStyle w:val="59"/>
              <w:ind w:firstLine="0" w:firstLineChars="0"/>
              <w:jc w:val="center"/>
              <w:rPr>
                <w:rFonts w:hint="eastAsia"/>
                <w:szCs w:val="22"/>
              </w:rPr>
            </w:pPr>
            <w:r>
              <w:rPr>
                <w:rFonts w:hint="eastAsia"/>
                <w:szCs w:val="22"/>
              </w:rPr>
              <w:t>盐雾</w:t>
            </w:r>
          </w:p>
        </w:tc>
        <w:tc>
          <w:tcPr>
            <w:tcW w:w="1276" w:type="dxa"/>
          </w:tcPr>
          <w:p w14:paraId="7BF77682">
            <w:pPr>
              <w:pStyle w:val="59"/>
              <w:ind w:firstLine="0" w:firstLineChars="0"/>
              <w:jc w:val="center"/>
              <w:rPr>
                <w:rFonts w:hint="eastAsia"/>
                <w:szCs w:val="22"/>
              </w:rPr>
            </w:pPr>
            <w:r>
              <w:rPr>
                <w:szCs w:val="22"/>
              </w:rPr>
              <w:t>5.1.</w:t>
            </w:r>
            <w:r>
              <w:rPr>
                <w:rFonts w:hint="eastAsia"/>
                <w:szCs w:val="22"/>
              </w:rPr>
              <w:t>6</w:t>
            </w:r>
          </w:p>
        </w:tc>
        <w:tc>
          <w:tcPr>
            <w:tcW w:w="1134" w:type="dxa"/>
          </w:tcPr>
          <w:p w14:paraId="09419F79">
            <w:pPr>
              <w:pStyle w:val="59"/>
              <w:ind w:firstLine="0" w:firstLineChars="0"/>
              <w:jc w:val="center"/>
              <w:rPr>
                <w:rFonts w:hint="eastAsia"/>
                <w:szCs w:val="22"/>
              </w:rPr>
            </w:pPr>
            <w:r>
              <w:rPr>
                <w:rFonts w:hint="eastAsia"/>
                <w:szCs w:val="22"/>
              </w:rPr>
              <w:t>×</w:t>
            </w:r>
          </w:p>
        </w:tc>
        <w:tc>
          <w:tcPr>
            <w:tcW w:w="1134" w:type="dxa"/>
          </w:tcPr>
          <w:p w14:paraId="1DFFABB6">
            <w:pPr>
              <w:pStyle w:val="59"/>
              <w:ind w:firstLine="0" w:firstLineChars="0"/>
              <w:jc w:val="center"/>
              <w:rPr>
                <w:rFonts w:hint="eastAsia"/>
                <w:szCs w:val="22"/>
              </w:rPr>
            </w:pPr>
            <w:r>
              <w:rPr>
                <w:rFonts w:hint="eastAsia"/>
                <w:szCs w:val="22"/>
              </w:rPr>
              <w:t>√</w:t>
            </w:r>
          </w:p>
        </w:tc>
      </w:tr>
      <w:tr w14:paraId="5AB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3D786FC">
            <w:pPr>
              <w:pStyle w:val="59"/>
              <w:ind w:firstLine="0" w:firstLineChars="0"/>
              <w:jc w:val="center"/>
              <w:rPr>
                <w:szCs w:val="22"/>
              </w:rPr>
            </w:pPr>
            <w:r>
              <w:rPr>
                <w:rFonts w:hint="eastAsia"/>
                <w:szCs w:val="22"/>
              </w:rPr>
              <w:t>8</w:t>
            </w:r>
          </w:p>
        </w:tc>
        <w:tc>
          <w:tcPr>
            <w:tcW w:w="1559" w:type="dxa"/>
          </w:tcPr>
          <w:p w14:paraId="4AAD96AE">
            <w:pPr>
              <w:pStyle w:val="59"/>
              <w:ind w:firstLine="0" w:firstLineChars="0"/>
              <w:rPr>
                <w:szCs w:val="22"/>
              </w:rPr>
            </w:pPr>
            <w:r>
              <w:rPr>
                <w:rFonts w:hint="eastAsia"/>
                <w:szCs w:val="22"/>
              </w:rPr>
              <w:t>气候环境影响</w:t>
            </w:r>
          </w:p>
        </w:tc>
        <w:tc>
          <w:tcPr>
            <w:tcW w:w="2552" w:type="dxa"/>
          </w:tcPr>
          <w:p w14:paraId="186A23ED">
            <w:pPr>
              <w:pStyle w:val="59"/>
              <w:ind w:firstLine="0" w:firstLineChars="0"/>
              <w:jc w:val="center"/>
              <w:rPr>
                <w:szCs w:val="22"/>
              </w:rPr>
            </w:pPr>
            <w:r>
              <w:rPr>
                <w:rFonts w:hint="eastAsia"/>
                <w:szCs w:val="22"/>
              </w:rPr>
              <w:t xml:space="preserve"> 气候环境影响</w:t>
            </w:r>
          </w:p>
        </w:tc>
        <w:tc>
          <w:tcPr>
            <w:tcW w:w="1276" w:type="dxa"/>
          </w:tcPr>
          <w:p w14:paraId="4EF52CDB">
            <w:pPr>
              <w:pStyle w:val="59"/>
              <w:ind w:firstLine="0" w:firstLineChars="0"/>
              <w:jc w:val="center"/>
              <w:rPr>
                <w:szCs w:val="22"/>
              </w:rPr>
            </w:pPr>
            <w:r>
              <w:rPr>
                <w:rFonts w:hint="eastAsia"/>
                <w:szCs w:val="22"/>
              </w:rPr>
              <w:t>5.2</w:t>
            </w:r>
          </w:p>
        </w:tc>
        <w:tc>
          <w:tcPr>
            <w:tcW w:w="1134" w:type="dxa"/>
          </w:tcPr>
          <w:p w14:paraId="03BEE20D">
            <w:pPr>
              <w:pStyle w:val="59"/>
              <w:ind w:firstLine="0" w:firstLineChars="0"/>
              <w:jc w:val="center"/>
              <w:rPr>
                <w:szCs w:val="22"/>
              </w:rPr>
            </w:pPr>
            <w:r>
              <w:rPr>
                <w:rFonts w:hint="eastAsia"/>
                <w:szCs w:val="22"/>
              </w:rPr>
              <w:t>×</w:t>
            </w:r>
          </w:p>
        </w:tc>
        <w:tc>
          <w:tcPr>
            <w:tcW w:w="1134" w:type="dxa"/>
          </w:tcPr>
          <w:p w14:paraId="33437777">
            <w:pPr>
              <w:pStyle w:val="59"/>
              <w:ind w:firstLine="0" w:firstLineChars="0"/>
              <w:jc w:val="center"/>
              <w:rPr>
                <w:szCs w:val="22"/>
              </w:rPr>
            </w:pPr>
            <w:r>
              <w:rPr>
                <w:rFonts w:hint="eastAsia"/>
                <w:szCs w:val="22"/>
              </w:rPr>
              <w:t>√</w:t>
            </w:r>
          </w:p>
        </w:tc>
      </w:tr>
      <w:tr w14:paraId="6764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D13F6AA">
            <w:pPr>
              <w:pStyle w:val="59"/>
              <w:ind w:firstLine="0" w:firstLineChars="0"/>
              <w:jc w:val="center"/>
              <w:rPr>
                <w:szCs w:val="22"/>
              </w:rPr>
            </w:pPr>
            <w:r>
              <w:rPr>
                <w:rFonts w:hint="eastAsia"/>
                <w:szCs w:val="22"/>
              </w:rPr>
              <w:t>9</w:t>
            </w:r>
          </w:p>
        </w:tc>
        <w:tc>
          <w:tcPr>
            <w:tcW w:w="1559" w:type="dxa"/>
            <w:vMerge w:val="restart"/>
            <w:vAlign w:val="center"/>
          </w:tcPr>
          <w:p w14:paraId="5A0A3529">
            <w:pPr>
              <w:pStyle w:val="59"/>
              <w:ind w:firstLine="0" w:firstLineChars="0"/>
              <w:jc w:val="center"/>
              <w:rPr>
                <w:szCs w:val="22"/>
              </w:rPr>
            </w:pPr>
            <w:r>
              <w:rPr>
                <w:rFonts w:hint="eastAsia"/>
                <w:szCs w:val="22"/>
              </w:rPr>
              <w:t>外观和标识</w:t>
            </w:r>
          </w:p>
        </w:tc>
        <w:tc>
          <w:tcPr>
            <w:tcW w:w="2552" w:type="dxa"/>
          </w:tcPr>
          <w:p w14:paraId="5348CCBD">
            <w:pPr>
              <w:pStyle w:val="59"/>
              <w:ind w:firstLine="0" w:firstLineChars="0"/>
              <w:jc w:val="center"/>
              <w:rPr>
                <w:szCs w:val="22"/>
              </w:rPr>
            </w:pPr>
            <w:r>
              <w:rPr>
                <w:rFonts w:hint="eastAsia"/>
                <w:szCs w:val="22"/>
              </w:rPr>
              <w:t>外观检查</w:t>
            </w:r>
          </w:p>
        </w:tc>
        <w:tc>
          <w:tcPr>
            <w:tcW w:w="1276" w:type="dxa"/>
          </w:tcPr>
          <w:p w14:paraId="2A7A6EED">
            <w:pPr>
              <w:pStyle w:val="59"/>
              <w:ind w:firstLine="0" w:firstLineChars="0"/>
              <w:jc w:val="center"/>
              <w:rPr>
                <w:szCs w:val="22"/>
              </w:rPr>
            </w:pPr>
            <w:r>
              <w:rPr>
                <w:rFonts w:hint="eastAsia"/>
                <w:szCs w:val="22"/>
              </w:rPr>
              <w:t>5.3.1</w:t>
            </w:r>
          </w:p>
        </w:tc>
        <w:tc>
          <w:tcPr>
            <w:tcW w:w="1134" w:type="dxa"/>
          </w:tcPr>
          <w:p w14:paraId="0CD75CF9">
            <w:pPr>
              <w:pStyle w:val="59"/>
              <w:ind w:firstLine="0" w:firstLineChars="0"/>
              <w:jc w:val="center"/>
              <w:rPr>
                <w:szCs w:val="22"/>
              </w:rPr>
            </w:pPr>
            <w:r>
              <w:rPr>
                <w:rFonts w:hint="eastAsia"/>
                <w:szCs w:val="22"/>
              </w:rPr>
              <w:t>√</w:t>
            </w:r>
          </w:p>
        </w:tc>
        <w:tc>
          <w:tcPr>
            <w:tcW w:w="1134" w:type="dxa"/>
          </w:tcPr>
          <w:p w14:paraId="5754FB50">
            <w:pPr>
              <w:pStyle w:val="59"/>
              <w:ind w:firstLine="0" w:firstLineChars="0"/>
              <w:jc w:val="center"/>
              <w:rPr>
                <w:szCs w:val="22"/>
              </w:rPr>
            </w:pPr>
            <w:r>
              <w:rPr>
                <w:rFonts w:hint="eastAsia"/>
                <w:szCs w:val="22"/>
              </w:rPr>
              <w:t>√</w:t>
            </w:r>
          </w:p>
        </w:tc>
      </w:tr>
      <w:tr w14:paraId="2EB6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FB0968E">
            <w:pPr>
              <w:pStyle w:val="59"/>
              <w:ind w:firstLine="0" w:firstLineChars="0"/>
              <w:jc w:val="center"/>
              <w:rPr>
                <w:szCs w:val="22"/>
              </w:rPr>
            </w:pPr>
            <w:r>
              <w:rPr>
                <w:rFonts w:hint="eastAsia"/>
                <w:szCs w:val="22"/>
              </w:rPr>
              <w:t>10</w:t>
            </w:r>
          </w:p>
        </w:tc>
        <w:tc>
          <w:tcPr>
            <w:tcW w:w="1559" w:type="dxa"/>
            <w:vMerge w:val="continue"/>
          </w:tcPr>
          <w:p w14:paraId="6BC36A26">
            <w:pPr>
              <w:pStyle w:val="59"/>
              <w:ind w:firstLine="0" w:firstLineChars="0"/>
              <w:jc w:val="center"/>
              <w:rPr>
                <w:szCs w:val="22"/>
              </w:rPr>
            </w:pPr>
          </w:p>
        </w:tc>
        <w:tc>
          <w:tcPr>
            <w:tcW w:w="2552" w:type="dxa"/>
          </w:tcPr>
          <w:p w14:paraId="6ED145B1">
            <w:pPr>
              <w:pStyle w:val="59"/>
              <w:ind w:firstLine="0" w:firstLineChars="0"/>
              <w:jc w:val="center"/>
              <w:rPr>
                <w:szCs w:val="22"/>
              </w:rPr>
            </w:pPr>
            <w:r>
              <w:rPr>
                <w:rFonts w:hint="eastAsia"/>
                <w:szCs w:val="22"/>
              </w:rPr>
              <w:t>标识检查</w:t>
            </w:r>
          </w:p>
        </w:tc>
        <w:tc>
          <w:tcPr>
            <w:tcW w:w="1276" w:type="dxa"/>
          </w:tcPr>
          <w:p w14:paraId="785A67B0">
            <w:pPr>
              <w:pStyle w:val="59"/>
              <w:ind w:firstLine="0" w:firstLineChars="0"/>
              <w:jc w:val="center"/>
              <w:rPr>
                <w:szCs w:val="22"/>
              </w:rPr>
            </w:pPr>
            <w:r>
              <w:rPr>
                <w:rFonts w:hint="eastAsia"/>
                <w:szCs w:val="22"/>
              </w:rPr>
              <w:t>5.3.2</w:t>
            </w:r>
          </w:p>
        </w:tc>
        <w:tc>
          <w:tcPr>
            <w:tcW w:w="1134" w:type="dxa"/>
          </w:tcPr>
          <w:p w14:paraId="690867AE">
            <w:pPr>
              <w:pStyle w:val="59"/>
              <w:ind w:firstLine="0" w:firstLineChars="0"/>
              <w:jc w:val="center"/>
              <w:rPr>
                <w:szCs w:val="22"/>
              </w:rPr>
            </w:pPr>
            <w:r>
              <w:rPr>
                <w:rFonts w:hint="eastAsia"/>
                <w:szCs w:val="22"/>
              </w:rPr>
              <w:t>√</w:t>
            </w:r>
          </w:p>
        </w:tc>
        <w:tc>
          <w:tcPr>
            <w:tcW w:w="1134" w:type="dxa"/>
          </w:tcPr>
          <w:p w14:paraId="52FA55CA">
            <w:pPr>
              <w:pStyle w:val="59"/>
              <w:ind w:firstLine="0" w:firstLineChars="0"/>
              <w:jc w:val="center"/>
              <w:rPr>
                <w:szCs w:val="22"/>
              </w:rPr>
            </w:pPr>
            <w:r>
              <w:rPr>
                <w:rFonts w:hint="eastAsia"/>
                <w:szCs w:val="22"/>
              </w:rPr>
              <w:t>√</w:t>
            </w:r>
          </w:p>
        </w:tc>
      </w:tr>
      <w:tr w14:paraId="6138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DDCF3E7">
            <w:pPr>
              <w:pStyle w:val="59"/>
              <w:ind w:firstLine="0" w:firstLineChars="0"/>
              <w:jc w:val="center"/>
              <w:rPr>
                <w:szCs w:val="22"/>
              </w:rPr>
            </w:pPr>
            <w:r>
              <w:rPr>
                <w:rFonts w:hint="eastAsia"/>
                <w:szCs w:val="22"/>
              </w:rPr>
              <w:t>11</w:t>
            </w:r>
          </w:p>
        </w:tc>
        <w:tc>
          <w:tcPr>
            <w:tcW w:w="1559" w:type="dxa"/>
          </w:tcPr>
          <w:p w14:paraId="6FCDDC75">
            <w:pPr>
              <w:pStyle w:val="59"/>
              <w:ind w:firstLine="0" w:firstLineChars="0"/>
              <w:jc w:val="center"/>
              <w:rPr>
                <w:szCs w:val="22"/>
              </w:rPr>
            </w:pPr>
            <w:r>
              <w:rPr>
                <w:rFonts w:hint="eastAsia"/>
                <w:szCs w:val="22"/>
              </w:rPr>
              <w:t>电气性能</w:t>
            </w:r>
          </w:p>
        </w:tc>
        <w:tc>
          <w:tcPr>
            <w:tcW w:w="2552" w:type="dxa"/>
          </w:tcPr>
          <w:p w14:paraId="4E6CA027">
            <w:pPr>
              <w:pStyle w:val="59"/>
              <w:ind w:firstLine="0" w:firstLineChars="0"/>
              <w:jc w:val="center"/>
              <w:rPr>
                <w:szCs w:val="22"/>
              </w:rPr>
            </w:pPr>
            <w:r>
              <w:rPr>
                <w:rFonts w:hint="eastAsia"/>
                <w:szCs w:val="22"/>
              </w:rPr>
              <w:t>电气性能</w:t>
            </w:r>
          </w:p>
        </w:tc>
        <w:tc>
          <w:tcPr>
            <w:tcW w:w="1276" w:type="dxa"/>
          </w:tcPr>
          <w:p w14:paraId="0F6AFF60">
            <w:pPr>
              <w:pStyle w:val="59"/>
              <w:ind w:firstLine="0" w:firstLineChars="0"/>
              <w:jc w:val="center"/>
              <w:rPr>
                <w:szCs w:val="22"/>
              </w:rPr>
            </w:pPr>
            <w:r>
              <w:rPr>
                <w:rFonts w:hint="eastAsia"/>
                <w:szCs w:val="22"/>
              </w:rPr>
              <w:t>5.4</w:t>
            </w:r>
          </w:p>
        </w:tc>
        <w:tc>
          <w:tcPr>
            <w:tcW w:w="1134" w:type="dxa"/>
          </w:tcPr>
          <w:p w14:paraId="5BCB41E2">
            <w:pPr>
              <w:pStyle w:val="59"/>
              <w:ind w:firstLine="0" w:firstLineChars="0"/>
              <w:jc w:val="center"/>
              <w:rPr>
                <w:szCs w:val="22"/>
              </w:rPr>
            </w:pPr>
            <w:r>
              <w:rPr>
                <w:rFonts w:hint="eastAsia"/>
                <w:szCs w:val="22"/>
              </w:rPr>
              <w:t>×</w:t>
            </w:r>
          </w:p>
        </w:tc>
        <w:tc>
          <w:tcPr>
            <w:tcW w:w="1134" w:type="dxa"/>
          </w:tcPr>
          <w:p w14:paraId="22123C01">
            <w:pPr>
              <w:pStyle w:val="59"/>
              <w:ind w:firstLine="0" w:firstLineChars="0"/>
              <w:jc w:val="center"/>
              <w:rPr>
                <w:szCs w:val="22"/>
              </w:rPr>
            </w:pPr>
            <w:r>
              <w:rPr>
                <w:rFonts w:hint="eastAsia"/>
                <w:szCs w:val="22"/>
              </w:rPr>
              <w:t>√</w:t>
            </w:r>
          </w:p>
        </w:tc>
      </w:tr>
      <w:tr w14:paraId="0AB7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514D565">
            <w:pPr>
              <w:pStyle w:val="59"/>
              <w:ind w:firstLine="0" w:firstLineChars="0"/>
              <w:jc w:val="center"/>
              <w:rPr>
                <w:szCs w:val="22"/>
              </w:rPr>
            </w:pPr>
            <w:r>
              <w:rPr>
                <w:rFonts w:hint="eastAsia"/>
                <w:szCs w:val="22"/>
              </w:rPr>
              <w:t>12</w:t>
            </w:r>
          </w:p>
        </w:tc>
        <w:tc>
          <w:tcPr>
            <w:tcW w:w="1559" w:type="dxa"/>
          </w:tcPr>
          <w:p w14:paraId="69AE6796">
            <w:pPr>
              <w:pStyle w:val="59"/>
              <w:ind w:firstLine="0" w:firstLineChars="0"/>
              <w:jc w:val="center"/>
              <w:rPr>
                <w:szCs w:val="22"/>
              </w:rPr>
            </w:pPr>
            <w:r>
              <w:rPr>
                <w:rFonts w:hint="eastAsia"/>
                <w:szCs w:val="22"/>
              </w:rPr>
              <w:t>外部影响</w:t>
            </w:r>
          </w:p>
        </w:tc>
        <w:tc>
          <w:tcPr>
            <w:tcW w:w="2552" w:type="dxa"/>
          </w:tcPr>
          <w:p w14:paraId="7993D263">
            <w:pPr>
              <w:pStyle w:val="59"/>
              <w:ind w:firstLine="0" w:firstLineChars="0"/>
              <w:jc w:val="center"/>
              <w:rPr>
                <w:szCs w:val="22"/>
              </w:rPr>
            </w:pPr>
            <w:r>
              <w:rPr>
                <w:rFonts w:hint="eastAsia"/>
                <w:szCs w:val="22"/>
              </w:rPr>
              <w:t>外部影响</w:t>
            </w:r>
          </w:p>
        </w:tc>
        <w:tc>
          <w:tcPr>
            <w:tcW w:w="1276" w:type="dxa"/>
          </w:tcPr>
          <w:p w14:paraId="0654ECD7">
            <w:pPr>
              <w:pStyle w:val="59"/>
              <w:ind w:firstLine="0" w:firstLineChars="0"/>
              <w:jc w:val="center"/>
              <w:rPr>
                <w:szCs w:val="22"/>
              </w:rPr>
            </w:pPr>
            <w:r>
              <w:rPr>
                <w:rFonts w:hint="eastAsia"/>
                <w:szCs w:val="22"/>
              </w:rPr>
              <w:t>5.5</w:t>
            </w:r>
          </w:p>
        </w:tc>
        <w:tc>
          <w:tcPr>
            <w:tcW w:w="1134" w:type="dxa"/>
          </w:tcPr>
          <w:p w14:paraId="04D947BE">
            <w:pPr>
              <w:pStyle w:val="59"/>
              <w:ind w:firstLine="0" w:firstLineChars="0"/>
              <w:jc w:val="center"/>
              <w:rPr>
                <w:szCs w:val="22"/>
              </w:rPr>
            </w:pPr>
            <w:r>
              <w:rPr>
                <w:rFonts w:hint="eastAsia"/>
                <w:szCs w:val="22"/>
              </w:rPr>
              <w:t>×</w:t>
            </w:r>
          </w:p>
        </w:tc>
        <w:tc>
          <w:tcPr>
            <w:tcW w:w="1134" w:type="dxa"/>
          </w:tcPr>
          <w:p w14:paraId="12D8C108">
            <w:pPr>
              <w:pStyle w:val="59"/>
              <w:ind w:firstLine="0" w:firstLineChars="0"/>
              <w:jc w:val="center"/>
              <w:rPr>
                <w:szCs w:val="22"/>
              </w:rPr>
            </w:pPr>
            <w:r>
              <w:rPr>
                <w:rFonts w:hint="eastAsia"/>
                <w:szCs w:val="22"/>
              </w:rPr>
              <w:t>√</w:t>
            </w:r>
          </w:p>
        </w:tc>
      </w:tr>
      <w:tr w14:paraId="6D7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911D7DD">
            <w:pPr>
              <w:pStyle w:val="59"/>
              <w:ind w:firstLine="0" w:firstLineChars="0"/>
              <w:jc w:val="center"/>
              <w:rPr>
                <w:szCs w:val="22"/>
              </w:rPr>
            </w:pPr>
            <w:r>
              <w:rPr>
                <w:rFonts w:hint="eastAsia"/>
                <w:szCs w:val="22"/>
              </w:rPr>
              <w:t>13</w:t>
            </w:r>
          </w:p>
        </w:tc>
        <w:tc>
          <w:tcPr>
            <w:tcW w:w="1559" w:type="dxa"/>
            <w:vMerge w:val="restart"/>
            <w:vAlign w:val="center"/>
          </w:tcPr>
          <w:p w14:paraId="1F7616F5">
            <w:pPr>
              <w:pStyle w:val="59"/>
              <w:ind w:firstLine="0" w:firstLineChars="0"/>
              <w:jc w:val="center"/>
              <w:rPr>
                <w:szCs w:val="22"/>
              </w:rPr>
            </w:pPr>
            <w:r>
              <w:rPr>
                <w:rFonts w:hint="eastAsia"/>
                <w:szCs w:val="22"/>
              </w:rPr>
              <w:t>计量性能</w:t>
            </w:r>
          </w:p>
        </w:tc>
        <w:tc>
          <w:tcPr>
            <w:tcW w:w="2552" w:type="dxa"/>
          </w:tcPr>
          <w:p w14:paraId="28BE4390">
            <w:pPr>
              <w:pStyle w:val="59"/>
              <w:ind w:firstLine="0" w:firstLineChars="0"/>
              <w:jc w:val="center"/>
              <w:rPr>
                <w:szCs w:val="22"/>
              </w:rPr>
            </w:pPr>
            <w:r>
              <w:rPr>
                <w:rFonts w:hint="eastAsia"/>
                <w:szCs w:val="22"/>
              </w:rPr>
              <w:t>电能计量准确度</w:t>
            </w:r>
          </w:p>
        </w:tc>
        <w:tc>
          <w:tcPr>
            <w:tcW w:w="1276" w:type="dxa"/>
          </w:tcPr>
          <w:p w14:paraId="46ACC1E6">
            <w:pPr>
              <w:pStyle w:val="59"/>
              <w:ind w:firstLine="0" w:firstLineChars="0"/>
              <w:jc w:val="center"/>
              <w:rPr>
                <w:szCs w:val="22"/>
              </w:rPr>
            </w:pPr>
            <w:r>
              <w:rPr>
                <w:rFonts w:hint="eastAsia"/>
                <w:szCs w:val="22"/>
              </w:rPr>
              <w:t>5.6.1</w:t>
            </w:r>
          </w:p>
        </w:tc>
        <w:tc>
          <w:tcPr>
            <w:tcW w:w="1134" w:type="dxa"/>
          </w:tcPr>
          <w:p w14:paraId="1FAD59E8">
            <w:pPr>
              <w:pStyle w:val="59"/>
              <w:ind w:firstLine="0" w:firstLineChars="0"/>
              <w:jc w:val="center"/>
              <w:rPr>
                <w:szCs w:val="22"/>
              </w:rPr>
            </w:pPr>
            <w:r>
              <w:rPr>
                <w:rFonts w:hint="eastAsia"/>
                <w:szCs w:val="22"/>
              </w:rPr>
              <w:t>√</w:t>
            </w:r>
          </w:p>
        </w:tc>
        <w:tc>
          <w:tcPr>
            <w:tcW w:w="1134" w:type="dxa"/>
          </w:tcPr>
          <w:p w14:paraId="63589F4A">
            <w:pPr>
              <w:pStyle w:val="59"/>
              <w:ind w:firstLine="0" w:firstLineChars="0"/>
              <w:jc w:val="center"/>
              <w:rPr>
                <w:szCs w:val="22"/>
              </w:rPr>
            </w:pPr>
            <w:r>
              <w:rPr>
                <w:rFonts w:hint="eastAsia"/>
                <w:szCs w:val="22"/>
              </w:rPr>
              <w:t>√</w:t>
            </w:r>
          </w:p>
        </w:tc>
      </w:tr>
      <w:tr w14:paraId="0234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9455503">
            <w:pPr>
              <w:pStyle w:val="59"/>
              <w:ind w:firstLine="0" w:firstLineChars="0"/>
              <w:jc w:val="center"/>
              <w:rPr>
                <w:szCs w:val="22"/>
              </w:rPr>
            </w:pPr>
            <w:r>
              <w:rPr>
                <w:rFonts w:hint="eastAsia"/>
                <w:szCs w:val="22"/>
              </w:rPr>
              <w:t>14</w:t>
            </w:r>
          </w:p>
        </w:tc>
        <w:tc>
          <w:tcPr>
            <w:tcW w:w="1559" w:type="dxa"/>
            <w:vMerge w:val="continue"/>
          </w:tcPr>
          <w:p w14:paraId="2D5BBCE1">
            <w:pPr>
              <w:pStyle w:val="59"/>
              <w:ind w:firstLine="0" w:firstLineChars="0"/>
              <w:jc w:val="center"/>
              <w:rPr>
                <w:szCs w:val="22"/>
              </w:rPr>
            </w:pPr>
          </w:p>
        </w:tc>
        <w:tc>
          <w:tcPr>
            <w:tcW w:w="2552" w:type="dxa"/>
          </w:tcPr>
          <w:p w14:paraId="1D5D4686">
            <w:pPr>
              <w:pStyle w:val="59"/>
              <w:ind w:firstLine="0" w:firstLineChars="0"/>
              <w:jc w:val="center"/>
              <w:rPr>
                <w:szCs w:val="22"/>
              </w:rPr>
            </w:pPr>
            <w:r>
              <w:rPr>
                <w:rFonts w:hint="eastAsia"/>
                <w:szCs w:val="22"/>
              </w:rPr>
              <w:t>电碳计量准确度</w:t>
            </w:r>
          </w:p>
        </w:tc>
        <w:tc>
          <w:tcPr>
            <w:tcW w:w="1276" w:type="dxa"/>
          </w:tcPr>
          <w:p w14:paraId="36DBF5AB">
            <w:pPr>
              <w:pStyle w:val="59"/>
              <w:ind w:firstLine="0" w:firstLineChars="0"/>
              <w:jc w:val="center"/>
              <w:rPr>
                <w:szCs w:val="22"/>
              </w:rPr>
            </w:pPr>
            <w:r>
              <w:rPr>
                <w:rFonts w:hint="eastAsia"/>
                <w:szCs w:val="22"/>
              </w:rPr>
              <w:t>5.6.2</w:t>
            </w:r>
          </w:p>
        </w:tc>
        <w:tc>
          <w:tcPr>
            <w:tcW w:w="1134" w:type="dxa"/>
          </w:tcPr>
          <w:p w14:paraId="783C5331">
            <w:pPr>
              <w:pStyle w:val="59"/>
              <w:ind w:firstLine="0" w:firstLineChars="0"/>
              <w:jc w:val="center"/>
              <w:rPr>
                <w:szCs w:val="22"/>
              </w:rPr>
            </w:pPr>
            <w:r>
              <w:rPr>
                <w:rFonts w:hint="eastAsia"/>
                <w:szCs w:val="22"/>
              </w:rPr>
              <w:t>√</w:t>
            </w:r>
          </w:p>
        </w:tc>
        <w:tc>
          <w:tcPr>
            <w:tcW w:w="1134" w:type="dxa"/>
          </w:tcPr>
          <w:p w14:paraId="713FBF82">
            <w:pPr>
              <w:pStyle w:val="59"/>
              <w:ind w:firstLine="0" w:firstLineChars="0"/>
              <w:jc w:val="center"/>
              <w:rPr>
                <w:szCs w:val="22"/>
              </w:rPr>
            </w:pPr>
            <w:r>
              <w:rPr>
                <w:rFonts w:hint="eastAsia"/>
                <w:szCs w:val="22"/>
              </w:rPr>
              <w:t>√</w:t>
            </w:r>
          </w:p>
        </w:tc>
      </w:tr>
      <w:tr w14:paraId="3398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15296C8">
            <w:pPr>
              <w:pStyle w:val="59"/>
              <w:ind w:firstLine="0" w:firstLineChars="0"/>
              <w:jc w:val="center"/>
              <w:rPr>
                <w:szCs w:val="22"/>
              </w:rPr>
            </w:pPr>
            <w:r>
              <w:rPr>
                <w:rFonts w:hint="eastAsia"/>
                <w:szCs w:val="22"/>
              </w:rPr>
              <w:t>15</w:t>
            </w:r>
          </w:p>
        </w:tc>
        <w:tc>
          <w:tcPr>
            <w:tcW w:w="1559" w:type="dxa"/>
            <w:vMerge w:val="restart"/>
            <w:vAlign w:val="center"/>
          </w:tcPr>
          <w:p w14:paraId="43AF9F6D">
            <w:pPr>
              <w:pStyle w:val="59"/>
              <w:ind w:firstLine="0" w:firstLineChars="0"/>
              <w:jc w:val="center"/>
              <w:rPr>
                <w:szCs w:val="22"/>
              </w:rPr>
            </w:pPr>
            <w:r>
              <w:rPr>
                <w:rFonts w:hint="eastAsia"/>
                <w:szCs w:val="22"/>
              </w:rPr>
              <w:t>功能</w:t>
            </w:r>
          </w:p>
        </w:tc>
        <w:tc>
          <w:tcPr>
            <w:tcW w:w="2552" w:type="dxa"/>
          </w:tcPr>
          <w:p w14:paraId="5BA73E68">
            <w:pPr>
              <w:pStyle w:val="59"/>
              <w:ind w:firstLine="0" w:firstLineChars="0"/>
              <w:jc w:val="center"/>
              <w:rPr>
                <w:szCs w:val="22"/>
              </w:rPr>
            </w:pPr>
            <w:r>
              <w:rPr>
                <w:rFonts w:hint="eastAsia"/>
                <w:szCs w:val="22"/>
              </w:rPr>
              <w:t>数据存储与显示</w:t>
            </w:r>
          </w:p>
        </w:tc>
        <w:tc>
          <w:tcPr>
            <w:tcW w:w="1276" w:type="dxa"/>
          </w:tcPr>
          <w:p w14:paraId="1FD6871A">
            <w:pPr>
              <w:pStyle w:val="59"/>
              <w:ind w:firstLine="0" w:firstLineChars="0"/>
              <w:jc w:val="center"/>
              <w:rPr>
                <w:szCs w:val="22"/>
              </w:rPr>
            </w:pPr>
            <w:r>
              <w:rPr>
                <w:rFonts w:hint="eastAsia"/>
                <w:szCs w:val="22"/>
              </w:rPr>
              <w:t>5.7.1</w:t>
            </w:r>
          </w:p>
        </w:tc>
        <w:tc>
          <w:tcPr>
            <w:tcW w:w="1134" w:type="dxa"/>
          </w:tcPr>
          <w:p w14:paraId="40635284">
            <w:pPr>
              <w:pStyle w:val="59"/>
              <w:ind w:firstLine="0" w:firstLineChars="0"/>
              <w:jc w:val="center"/>
              <w:rPr>
                <w:szCs w:val="22"/>
              </w:rPr>
            </w:pPr>
            <w:r>
              <w:rPr>
                <w:rFonts w:hint="eastAsia"/>
                <w:szCs w:val="22"/>
              </w:rPr>
              <w:t>√</w:t>
            </w:r>
          </w:p>
        </w:tc>
        <w:tc>
          <w:tcPr>
            <w:tcW w:w="1134" w:type="dxa"/>
          </w:tcPr>
          <w:p w14:paraId="035D0783">
            <w:pPr>
              <w:pStyle w:val="59"/>
              <w:ind w:firstLine="0" w:firstLineChars="0"/>
              <w:jc w:val="center"/>
              <w:rPr>
                <w:szCs w:val="22"/>
              </w:rPr>
            </w:pPr>
            <w:r>
              <w:rPr>
                <w:rFonts w:hint="eastAsia"/>
                <w:szCs w:val="22"/>
              </w:rPr>
              <w:t>√</w:t>
            </w:r>
          </w:p>
        </w:tc>
      </w:tr>
      <w:tr w14:paraId="7914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44FAFFC">
            <w:pPr>
              <w:pStyle w:val="59"/>
              <w:ind w:firstLine="0" w:firstLineChars="0"/>
              <w:jc w:val="center"/>
              <w:rPr>
                <w:szCs w:val="22"/>
              </w:rPr>
            </w:pPr>
            <w:r>
              <w:rPr>
                <w:rFonts w:hint="eastAsia"/>
                <w:szCs w:val="22"/>
              </w:rPr>
              <w:t>16</w:t>
            </w:r>
          </w:p>
        </w:tc>
        <w:tc>
          <w:tcPr>
            <w:tcW w:w="1559" w:type="dxa"/>
            <w:vMerge w:val="continue"/>
          </w:tcPr>
          <w:p w14:paraId="5DA4260F">
            <w:pPr>
              <w:pStyle w:val="59"/>
              <w:ind w:firstLine="0" w:firstLineChars="0"/>
              <w:jc w:val="center"/>
              <w:rPr>
                <w:szCs w:val="22"/>
              </w:rPr>
            </w:pPr>
          </w:p>
        </w:tc>
        <w:tc>
          <w:tcPr>
            <w:tcW w:w="2552" w:type="dxa"/>
          </w:tcPr>
          <w:p w14:paraId="415EB0A4">
            <w:pPr>
              <w:pStyle w:val="59"/>
              <w:ind w:firstLine="0" w:firstLineChars="0"/>
              <w:jc w:val="center"/>
              <w:rPr>
                <w:szCs w:val="22"/>
              </w:rPr>
            </w:pPr>
            <w:r>
              <w:rPr>
                <w:rFonts w:hint="eastAsia"/>
                <w:szCs w:val="22"/>
              </w:rPr>
              <w:t>通信能力</w:t>
            </w:r>
          </w:p>
        </w:tc>
        <w:tc>
          <w:tcPr>
            <w:tcW w:w="1276" w:type="dxa"/>
          </w:tcPr>
          <w:p w14:paraId="0C82DCEA">
            <w:pPr>
              <w:pStyle w:val="59"/>
              <w:ind w:firstLine="0" w:firstLineChars="0"/>
              <w:jc w:val="center"/>
              <w:rPr>
                <w:szCs w:val="22"/>
              </w:rPr>
            </w:pPr>
            <w:r>
              <w:rPr>
                <w:rFonts w:hint="eastAsia"/>
                <w:szCs w:val="22"/>
              </w:rPr>
              <w:t>5.7.2</w:t>
            </w:r>
          </w:p>
        </w:tc>
        <w:tc>
          <w:tcPr>
            <w:tcW w:w="1134" w:type="dxa"/>
          </w:tcPr>
          <w:p w14:paraId="26549559">
            <w:pPr>
              <w:pStyle w:val="59"/>
              <w:ind w:firstLine="0" w:firstLineChars="0"/>
              <w:jc w:val="center"/>
              <w:rPr>
                <w:szCs w:val="22"/>
              </w:rPr>
            </w:pPr>
            <w:r>
              <w:rPr>
                <w:rFonts w:hint="eastAsia"/>
                <w:szCs w:val="22"/>
              </w:rPr>
              <w:t>√</w:t>
            </w:r>
          </w:p>
        </w:tc>
        <w:tc>
          <w:tcPr>
            <w:tcW w:w="1134" w:type="dxa"/>
          </w:tcPr>
          <w:p w14:paraId="749034B1">
            <w:pPr>
              <w:pStyle w:val="59"/>
              <w:ind w:firstLine="0" w:firstLineChars="0"/>
              <w:jc w:val="center"/>
              <w:rPr>
                <w:szCs w:val="22"/>
              </w:rPr>
            </w:pPr>
            <w:r>
              <w:rPr>
                <w:rFonts w:hint="eastAsia"/>
                <w:szCs w:val="22"/>
              </w:rPr>
              <w:t>√</w:t>
            </w:r>
          </w:p>
        </w:tc>
      </w:tr>
      <w:bookmarkEnd w:id="20"/>
      <w:bookmarkEnd w:id="90"/>
      <w:bookmarkEnd w:id="91"/>
    </w:tbl>
    <w:p w14:paraId="77625FB0">
      <w:pPr>
        <w:pStyle w:val="59"/>
        <w:ind w:firstLine="0" w:firstLineChars="0"/>
      </w:pPr>
      <w:bookmarkStart w:id="106" w:name="BookMark8"/>
    </w:p>
    <w:p w14:paraId="32B10204">
      <w:pPr>
        <w:pStyle w:val="59"/>
        <w:ind w:firstLine="0" w:firstLineChars="0"/>
        <w:rPr>
          <w:u w:val="single"/>
        </w:rPr>
      </w:pPr>
      <w:r>
        <w:rPr>
          <w:rFonts w:hint="eastAsia"/>
        </w:rPr>
        <w:t xml:space="preserve">                            </w:t>
      </w:r>
      <w:r>
        <w:rPr>
          <w:rFonts w:hint="eastAsia"/>
          <w:u w:val="single"/>
        </w:rPr>
        <w:t xml:space="preserve">                           </w:t>
      </w:r>
    </w:p>
    <w:p w14:paraId="09D6CE9F">
      <w:pPr>
        <w:pStyle w:val="59"/>
        <w:ind w:firstLine="0" w:firstLineChars="0"/>
      </w:pPr>
    </w:p>
    <w:bookmarkEnd w:id="106"/>
    <w:p w14:paraId="668FB0DA">
      <w:pPr>
        <w:pStyle w:val="59"/>
        <w:ind w:firstLine="0" w:firstLineChars="0"/>
      </w:pPr>
    </w:p>
    <w:sectPr>
      <w:headerReference r:id="rId13" w:type="default"/>
      <w:footerReference r:id="rId15" w:type="default"/>
      <w:headerReference r:id="rId14" w:type="even"/>
      <w:footerReference r:id="rId16" w:type="even"/>
      <w:pgSz w:w="11906" w:h="16838"/>
      <w:pgMar w:top="1928" w:right="1134" w:bottom="1134" w:left="1134"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F208">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BC4AE">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1C8D">
    <w:pPr>
      <w:pStyle w:val="54"/>
      <w:jc w:val="right"/>
    </w:pPr>
  </w:p>
  <w:p w14:paraId="0E3B4C65">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384E">
    <w:pPr>
      <w:pStyle w:val="54"/>
      <w:jc w:val="right"/>
    </w:pPr>
    <w:r>
      <w:rPr>
        <w:rFonts w:hint="eastAsia"/>
      </w:rP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3827B">
    <w:pPr>
      <w:pStyle w:val="55"/>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7D22">
    <w:pPr>
      <w:pStyle w:val="54"/>
      <w:jc w:val="right"/>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4CC5">
    <w:pPr>
      <w:pStyle w:val="22"/>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52D3">
    <w:pPr>
      <w:pStyle w:val="2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6F98">
    <w:pPr>
      <w:pStyle w:val="64"/>
    </w:pPr>
    <w:r>
      <w:fldChar w:fldCharType="begin"/>
    </w:r>
    <w:r>
      <w:instrText xml:space="preserve"> STYLEREF  标准文件_文件编号  \* MERGEFORMAT </w:instrText>
    </w:r>
    <w:r>
      <w:fldChar w:fldCharType="separate"/>
    </w:r>
    <w:r>
      <w:t>T/CIMA 0079.4—XXXX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EB2E">
    <w:pPr>
      <w:pStyle w:val="65"/>
      <w:jc w:val="right"/>
    </w:pPr>
    <w:r>
      <w:fldChar w:fldCharType="begin"/>
    </w:r>
    <w:r>
      <w:instrText xml:space="preserve"> STYLEREF  标准文件_文件编号 \* MERGEFORMAT </w:instrText>
    </w:r>
    <w:r>
      <w:fldChar w:fldCharType="separate"/>
    </w:r>
    <w:r>
      <w:t>T/CIMA 0079.4—XXXX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2B87">
    <w:pPr>
      <w:pStyle w:val="64"/>
    </w:pPr>
    <w:r>
      <w:fldChar w:fldCharType="begin"/>
    </w:r>
    <w:r>
      <w:instrText xml:space="preserve"> STYLEREF  标准文件_文件编号  \* MERGEFORMAT </w:instrText>
    </w:r>
    <w:r>
      <w:fldChar w:fldCharType="separate"/>
    </w:r>
    <w:r>
      <w:t>T/CIMA 0079.4—XXXX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093D">
    <w:pPr>
      <w:pStyle w:val="65"/>
    </w:pPr>
    <w:r>
      <w:fldChar w:fldCharType="begin"/>
    </w:r>
    <w:r>
      <w:instrText xml:space="preserve"> STYLEREF  标准文件_文件编号 \* MERGEFORMAT </w:instrText>
    </w:r>
    <w:r>
      <w:fldChar w:fldCharType="separate"/>
    </w:r>
    <w:r>
      <w:t>T/CIMA 0079.4—XXXX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237"/>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5">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6094B06"/>
    <w:multiLevelType w:val="multilevel"/>
    <w:tmpl w:val="16094B06"/>
    <w:lvl w:ilvl="0" w:tentative="0">
      <w:start w:val="1"/>
      <w:numFmt w:val="upperLetter"/>
      <w:pStyle w:val="2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3A97B238"/>
    <w:multiLevelType w:val="multilevel"/>
    <w:tmpl w:val="3A97B238"/>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2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9"/>
      <w:suff w:val="nothing"/>
      <w:lvlText w:val="附录%1"/>
      <w:lvlJc w:val="left"/>
      <w:pPr>
        <w:ind w:left="0" w:firstLine="0"/>
      </w:pPr>
      <w:rPr>
        <w:rFonts w:hint="default"/>
        <w:spacing w:val="100"/>
        <w:sz w:val="11"/>
        <w:szCs w:val="11"/>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A1C068B"/>
    <w:multiLevelType w:val="multilevel"/>
    <w:tmpl w:val="6A1C068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2"/>
  </w:num>
  <w:num w:numId="3">
    <w:abstractNumId w:val="6"/>
  </w:num>
  <w:num w:numId="4">
    <w:abstractNumId w:val="27"/>
  </w:num>
  <w:num w:numId="5">
    <w:abstractNumId w:val="22"/>
  </w:num>
  <w:num w:numId="6">
    <w:abstractNumId w:val="17"/>
  </w:num>
  <w:num w:numId="7">
    <w:abstractNumId w:val="10"/>
  </w:num>
  <w:num w:numId="8">
    <w:abstractNumId w:val="3"/>
  </w:num>
  <w:num w:numId="9">
    <w:abstractNumId w:val="11"/>
  </w:num>
  <w:num w:numId="10">
    <w:abstractNumId w:val="20"/>
  </w:num>
  <w:num w:numId="11">
    <w:abstractNumId w:val="30"/>
  </w:num>
  <w:num w:numId="12">
    <w:abstractNumId w:val="14"/>
  </w:num>
  <w:num w:numId="13">
    <w:abstractNumId w:val="16"/>
  </w:num>
  <w:num w:numId="14">
    <w:abstractNumId w:val="9"/>
  </w:num>
  <w:num w:numId="15">
    <w:abstractNumId w:val="23"/>
  </w:num>
  <w:num w:numId="16">
    <w:abstractNumId w:val="25"/>
  </w:num>
  <w:num w:numId="17">
    <w:abstractNumId w:val="21"/>
  </w:num>
  <w:num w:numId="18">
    <w:abstractNumId w:val="34"/>
  </w:num>
  <w:num w:numId="19">
    <w:abstractNumId w:val="19"/>
  </w:num>
  <w:num w:numId="20">
    <w:abstractNumId w:val="1"/>
  </w:num>
  <w:num w:numId="21">
    <w:abstractNumId w:val="13"/>
  </w:num>
  <w:num w:numId="22">
    <w:abstractNumId w:val="35"/>
  </w:num>
  <w:num w:numId="23">
    <w:abstractNumId w:val="24"/>
  </w:num>
  <w:num w:numId="24">
    <w:abstractNumId w:val="7"/>
  </w:num>
  <w:num w:numId="25">
    <w:abstractNumId w:val="31"/>
  </w:num>
  <w:num w:numId="26">
    <w:abstractNumId w:val="33"/>
  </w:num>
  <w:num w:numId="27">
    <w:abstractNumId w:val="2"/>
  </w:num>
  <w:num w:numId="28">
    <w:abstractNumId w:val="5"/>
  </w:num>
  <w:num w:numId="29">
    <w:abstractNumId w:val="18"/>
  </w:num>
  <w:num w:numId="30">
    <w:abstractNumId w:val="28"/>
  </w:num>
  <w:num w:numId="31">
    <w:abstractNumId w:val="26"/>
  </w:num>
  <w:num w:numId="32">
    <w:abstractNumId w:val="15"/>
  </w:num>
  <w:num w:numId="33">
    <w:abstractNumId w:val="4"/>
  </w:num>
  <w:num w:numId="34">
    <w:abstractNumId w:val="29"/>
  </w:num>
  <w:num w:numId="35">
    <w:abstractNumId w:val="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mNDNhMDIwNjdkYWI0NTIzMDQ2NjYyMGU5ZDI3ZDgifQ=="/>
  </w:docVars>
  <w:rsids>
    <w:rsidRoot w:val="00436E45"/>
    <w:rsid w:val="0000040A"/>
    <w:rsid w:val="00000A94"/>
    <w:rsid w:val="00001972"/>
    <w:rsid w:val="00001D9A"/>
    <w:rsid w:val="00003E2B"/>
    <w:rsid w:val="00007B3A"/>
    <w:rsid w:val="00010569"/>
    <w:rsid w:val="000107E0"/>
    <w:rsid w:val="00011FDE"/>
    <w:rsid w:val="00012FFD"/>
    <w:rsid w:val="00014162"/>
    <w:rsid w:val="00014340"/>
    <w:rsid w:val="00016A9C"/>
    <w:rsid w:val="00017919"/>
    <w:rsid w:val="00022184"/>
    <w:rsid w:val="00022762"/>
    <w:rsid w:val="000238E0"/>
    <w:rsid w:val="000249DB"/>
    <w:rsid w:val="0002595E"/>
    <w:rsid w:val="000303C3"/>
    <w:rsid w:val="000331D3"/>
    <w:rsid w:val="000346A5"/>
    <w:rsid w:val="00034830"/>
    <w:rsid w:val="000359C3"/>
    <w:rsid w:val="00035A7D"/>
    <w:rsid w:val="000365ED"/>
    <w:rsid w:val="00036632"/>
    <w:rsid w:val="0004249A"/>
    <w:rsid w:val="00043282"/>
    <w:rsid w:val="00044286"/>
    <w:rsid w:val="00047F28"/>
    <w:rsid w:val="000503AA"/>
    <w:rsid w:val="000506A1"/>
    <w:rsid w:val="000515DD"/>
    <w:rsid w:val="0005265A"/>
    <w:rsid w:val="00052E50"/>
    <w:rsid w:val="000536AB"/>
    <w:rsid w:val="000539DD"/>
    <w:rsid w:val="00053B7D"/>
    <w:rsid w:val="00053BD3"/>
    <w:rsid w:val="00054106"/>
    <w:rsid w:val="00054669"/>
    <w:rsid w:val="000556ED"/>
    <w:rsid w:val="00055FE2"/>
    <w:rsid w:val="0005616F"/>
    <w:rsid w:val="00056F28"/>
    <w:rsid w:val="00060C2E"/>
    <w:rsid w:val="00061033"/>
    <w:rsid w:val="000619E9"/>
    <w:rsid w:val="000622D4"/>
    <w:rsid w:val="0006271B"/>
    <w:rsid w:val="0006357D"/>
    <w:rsid w:val="00063A29"/>
    <w:rsid w:val="00067F1E"/>
    <w:rsid w:val="00071CC0"/>
    <w:rsid w:val="00071CFC"/>
    <w:rsid w:val="00073C8C"/>
    <w:rsid w:val="00073D86"/>
    <w:rsid w:val="00077B64"/>
    <w:rsid w:val="00080647"/>
    <w:rsid w:val="00080A1C"/>
    <w:rsid w:val="00080E9F"/>
    <w:rsid w:val="00082317"/>
    <w:rsid w:val="00082659"/>
    <w:rsid w:val="00083D2C"/>
    <w:rsid w:val="00084442"/>
    <w:rsid w:val="00084584"/>
    <w:rsid w:val="00086AA1"/>
    <w:rsid w:val="00087A77"/>
    <w:rsid w:val="00090CA6"/>
    <w:rsid w:val="00092B8A"/>
    <w:rsid w:val="00092FB0"/>
    <w:rsid w:val="000934C5"/>
    <w:rsid w:val="00093D25"/>
    <w:rsid w:val="00093DAB"/>
    <w:rsid w:val="000941C2"/>
    <w:rsid w:val="00094D73"/>
    <w:rsid w:val="000959C7"/>
    <w:rsid w:val="00096D63"/>
    <w:rsid w:val="000A03E3"/>
    <w:rsid w:val="000A0B60"/>
    <w:rsid w:val="000A0EB8"/>
    <w:rsid w:val="000A19FC"/>
    <w:rsid w:val="000A296B"/>
    <w:rsid w:val="000A7311"/>
    <w:rsid w:val="000B060F"/>
    <w:rsid w:val="000B1592"/>
    <w:rsid w:val="000B1833"/>
    <w:rsid w:val="000B1FF2"/>
    <w:rsid w:val="000B3CDA"/>
    <w:rsid w:val="000B6A0B"/>
    <w:rsid w:val="000B7BA9"/>
    <w:rsid w:val="000C0F6C"/>
    <w:rsid w:val="000C11DB"/>
    <w:rsid w:val="000C1492"/>
    <w:rsid w:val="000C2FBD"/>
    <w:rsid w:val="000C4B41"/>
    <w:rsid w:val="000C57D6"/>
    <w:rsid w:val="000C6362"/>
    <w:rsid w:val="000C7666"/>
    <w:rsid w:val="000D0A9C"/>
    <w:rsid w:val="000D1795"/>
    <w:rsid w:val="000D329A"/>
    <w:rsid w:val="000D4B9C"/>
    <w:rsid w:val="000D4EB6"/>
    <w:rsid w:val="000D65BE"/>
    <w:rsid w:val="000D753B"/>
    <w:rsid w:val="000E2F1C"/>
    <w:rsid w:val="000E4C9E"/>
    <w:rsid w:val="000E6FD7"/>
    <w:rsid w:val="000E7144"/>
    <w:rsid w:val="000F06E1"/>
    <w:rsid w:val="000F073A"/>
    <w:rsid w:val="000F0E3C"/>
    <w:rsid w:val="000F19D5"/>
    <w:rsid w:val="000F2A2B"/>
    <w:rsid w:val="000F4050"/>
    <w:rsid w:val="000F444F"/>
    <w:rsid w:val="000F4AEA"/>
    <w:rsid w:val="000F67E9"/>
    <w:rsid w:val="000F7430"/>
    <w:rsid w:val="001002D2"/>
    <w:rsid w:val="00104523"/>
    <w:rsid w:val="00104926"/>
    <w:rsid w:val="001102BC"/>
    <w:rsid w:val="00113B1E"/>
    <w:rsid w:val="0011711C"/>
    <w:rsid w:val="00117D83"/>
    <w:rsid w:val="00120C5F"/>
    <w:rsid w:val="00124E4F"/>
    <w:rsid w:val="001260B7"/>
    <w:rsid w:val="001265CB"/>
    <w:rsid w:val="001321C6"/>
    <w:rsid w:val="001325C4"/>
    <w:rsid w:val="00133010"/>
    <w:rsid w:val="001338EE"/>
    <w:rsid w:val="00133AAE"/>
    <w:rsid w:val="00135323"/>
    <w:rsid w:val="001356C4"/>
    <w:rsid w:val="00137565"/>
    <w:rsid w:val="00137B4C"/>
    <w:rsid w:val="00141114"/>
    <w:rsid w:val="00142969"/>
    <w:rsid w:val="001446C2"/>
    <w:rsid w:val="001457E7"/>
    <w:rsid w:val="00145D9D"/>
    <w:rsid w:val="00146388"/>
    <w:rsid w:val="0014745D"/>
    <w:rsid w:val="00151D41"/>
    <w:rsid w:val="001529E5"/>
    <w:rsid w:val="00152FB3"/>
    <w:rsid w:val="00153C7E"/>
    <w:rsid w:val="00156B25"/>
    <w:rsid w:val="00156E1A"/>
    <w:rsid w:val="00157894"/>
    <w:rsid w:val="00157B55"/>
    <w:rsid w:val="0016370D"/>
    <w:rsid w:val="001642FA"/>
    <w:rsid w:val="0016497B"/>
    <w:rsid w:val="001649EB"/>
    <w:rsid w:val="00164BAF"/>
    <w:rsid w:val="00164FA8"/>
    <w:rsid w:val="00165065"/>
    <w:rsid w:val="00165434"/>
    <w:rsid w:val="0016580B"/>
    <w:rsid w:val="00165F49"/>
    <w:rsid w:val="00166B88"/>
    <w:rsid w:val="0016770A"/>
    <w:rsid w:val="001704D6"/>
    <w:rsid w:val="00170804"/>
    <w:rsid w:val="001708E9"/>
    <w:rsid w:val="00172E94"/>
    <w:rsid w:val="0017340B"/>
    <w:rsid w:val="00173FB1"/>
    <w:rsid w:val="00176776"/>
    <w:rsid w:val="00176DFD"/>
    <w:rsid w:val="001852C9"/>
    <w:rsid w:val="00187454"/>
    <w:rsid w:val="00187A0B"/>
    <w:rsid w:val="00190087"/>
    <w:rsid w:val="001913C4"/>
    <w:rsid w:val="0019348F"/>
    <w:rsid w:val="00193A07"/>
    <w:rsid w:val="00194C95"/>
    <w:rsid w:val="00195C34"/>
    <w:rsid w:val="00196A43"/>
    <w:rsid w:val="00196EF5"/>
    <w:rsid w:val="001A1A53"/>
    <w:rsid w:val="001A234A"/>
    <w:rsid w:val="001A27CF"/>
    <w:rsid w:val="001A4CF3"/>
    <w:rsid w:val="001A6696"/>
    <w:rsid w:val="001B06E8"/>
    <w:rsid w:val="001B5BA1"/>
    <w:rsid w:val="001B71D0"/>
    <w:rsid w:val="001B71EE"/>
    <w:rsid w:val="001C04A8"/>
    <w:rsid w:val="001C04AB"/>
    <w:rsid w:val="001C2C03"/>
    <w:rsid w:val="001C3EDB"/>
    <w:rsid w:val="001C42F7"/>
    <w:rsid w:val="001C49E5"/>
    <w:rsid w:val="001C5C24"/>
    <w:rsid w:val="001C680C"/>
    <w:rsid w:val="001C7FEA"/>
    <w:rsid w:val="001D0499"/>
    <w:rsid w:val="001D0BBE"/>
    <w:rsid w:val="001D0ED4"/>
    <w:rsid w:val="001D212F"/>
    <w:rsid w:val="001D28A9"/>
    <w:rsid w:val="001D29D7"/>
    <w:rsid w:val="001D2DE7"/>
    <w:rsid w:val="001D411C"/>
    <w:rsid w:val="001E1B6A"/>
    <w:rsid w:val="001E2484"/>
    <w:rsid w:val="001E2EED"/>
    <w:rsid w:val="001E3CC4"/>
    <w:rsid w:val="001E4882"/>
    <w:rsid w:val="001E6FFB"/>
    <w:rsid w:val="001E73AB"/>
    <w:rsid w:val="001F0134"/>
    <w:rsid w:val="001F092D"/>
    <w:rsid w:val="001F143A"/>
    <w:rsid w:val="001F1605"/>
    <w:rsid w:val="001F2508"/>
    <w:rsid w:val="001F4816"/>
    <w:rsid w:val="001F69B4"/>
    <w:rsid w:val="001F77C7"/>
    <w:rsid w:val="00200124"/>
    <w:rsid w:val="00200183"/>
    <w:rsid w:val="00200333"/>
    <w:rsid w:val="0020107D"/>
    <w:rsid w:val="00202AA4"/>
    <w:rsid w:val="002031F7"/>
    <w:rsid w:val="002040E6"/>
    <w:rsid w:val="0020527B"/>
    <w:rsid w:val="00205F2C"/>
    <w:rsid w:val="00210B15"/>
    <w:rsid w:val="002142EA"/>
    <w:rsid w:val="00215ADD"/>
    <w:rsid w:val="002162AB"/>
    <w:rsid w:val="002165D1"/>
    <w:rsid w:val="00217255"/>
    <w:rsid w:val="002204BB"/>
    <w:rsid w:val="00221B79"/>
    <w:rsid w:val="00221C6B"/>
    <w:rsid w:val="00221D03"/>
    <w:rsid w:val="002253A1"/>
    <w:rsid w:val="00225CF8"/>
    <w:rsid w:val="0022794E"/>
    <w:rsid w:val="00232A75"/>
    <w:rsid w:val="00233D64"/>
    <w:rsid w:val="0023482A"/>
    <w:rsid w:val="00235353"/>
    <w:rsid w:val="002355AC"/>
    <w:rsid w:val="002359CB"/>
    <w:rsid w:val="002403CA"/>
    <w:rsid w:val="00243540"/>
    <w:rsid w:val="00243E2B"/>
    <w:rsid w:val="0024497B"/>
    <w:rsid w:val="0024515B"/>
    <w:rsid w:val="00246021"/>
    <w:rsid w:val="0024666E"/>
    <w:rsid w:val="002466CA"/>
    <w:rsid w:val="00247F52"/>
    <w:rsid w:val="00250B25"/>
    <w:rsid w:val="00250BBE"/>
    <w:rsid w:val="002515C2"/>
    <w:rsid w:val="0025194F"/>
    <w:rsid w:val="00252E06"/>
    <w:rsid w:val="002546FF"/>
    <w:rsid w:val="0026148A"/>
    <w:rsid w:val="00262696"/>
    <w:rsid w:val="00263D25"/>
    <w:rsid w:val="002643C3"/>
    <w:rsid w:val="00264A0C"/>
    <w:rsid w:val="00266EEB"/>
    <w:rsid w:val="00267EF4"/>
    <w:rsid w:val="00270CB8"/>
    <w:rsid w:val="00272B08"/>
    <w:rsid w:val="00273DC3"/>
    <w:rsid w:val="00276E58"/>
    <w:rsid w:val="00281BB8"/>
    <w:rsid w:val="00281E9E"/>
    <w:rsid w:val="00282405"/>
    <w:rsid w:val="00284816"/>
    <w:rsid w:val="00285170"/>
    <w:rsid w:val="00285361"/>
    <w:rsid w:val="002877CC"/>
    <w:rsid w:val="00287ED7"/>
    <w:rsid w:val="00292D60"/>
    <w:rsid w:val="00293477"/>
    <w:rsid w:val="00293B30"/>
    <w:rsid w:val="00294D34"/>
    <w:rsid w:val="00294E3B"/>
    <w:rsid w:val="00296193"/>
    <w:rsid w:val="00296B43"/>
    <w:rsid w:val="00296C66"/>
    <w:rsid w:val="00296EBE"/>
    <w:rsid w:val="002974E3"/>
    <w:rsid w:val="002A084B"/>
    <w:rsid w:val="002A1260"/>
    <w:rsid w:val="002A1589"/>
    <w:rsid w:val="002A1608"/>
    <w:rsid w:val="002A25DC"/>
    <w:rsid w:val="002A3AAB"/>
    <w:rsid w:val="002A4CEA"/>
    <w:rsid w:val="002A5977"/>
    <w:rsid w:val="002A5A13"/>
    <w:rsid w:val="002A6D7C"/>
    <w:rsid w:val="002A757F"/>
    <w:rsid w:val="002A7F44"/>
    <w:rsid w:val="002B0C40"/>
    <w:rsid w:val="002B0FF5"/>
    <w:rsid w:val="002B1966"/>
    <w:rsid w:val="002B1A4C"/>
    <w:rsid w:val="002B4508"/>
    <w:rsid w:val="002B5779"/>
    <w:rsid w:val="002B6928"/>
    <w:rsid w:val="002B7332"/>
    <w:rsid w:val="002B7F51"/>
    <w:rsid w:val="002C023B"/>
    <w:rsid w:val="002C09E7"/>
    <w:rsid w:val="002C1E06"/>
    <w:rsid w:val="002C3E0F"/>
    <w:rsid w:val="002C3F07"/>
    <w:rsid w:val="002C5278"/>
    <w:rsid w:val="002C6E48"/>
    <w:rsid w:val="002C6F1D"/>
    <w:rsid w:val="002C7EBB"/>
    <w:rsid w:val="002D06C1"/>
    <w:rsid w:val="002D42B5"/>
    <w:rsid w:val="002D4F1A"/>
    <w:rsid w:val="002D6EC6"/>
    <w:rsid w:val="002D79AC"/>
    <w:rsid w:val="002E00D8"/>
    <w:rsid w:val="002E039D"/>
    <w:rsid w:val="002E4D5A"/>
    <w:rsid w:val="002E6326"/>
    <w:rsid w:val="002F15E1"/>
    <w:rsid w:val="002F30E0"/>
    <w:rsid w:val="002F35E4"/>
    <w:rsid w:val="002F3730"/>
    <w:rsid w:val="002F38E1"/>
    <w:rsid w:val="002F3B43"/>
    <w:rsid w:val="002F3D50"/>
    <w:rsid w:val="002F7AF6"/>
    <w:rsid w:val="00300E63"/>
    <w:rsid w:val="00302F5F"/>
    <w:rsid w:val="0030441D"/>
    <w:rsid w:val="00306063"/>
    <w:rsid w:val="00306C3B"/>
    <w:rsid w:val="00307C6D"/>
    <w:rsid w:val="00313850"/>
    <w:rsid w:val="00313B85"/>
    <w:rsid w:val="00314D50"/>
    <w:rsid w:val="00317988"/>
    <w:rsid w:val="003221B4"/>
    <w:rsid w:val="0032258D"/>
    <w:rsid w:val="00322A5B"/>
    <w:rsid w:val="00322E62"/>
    <w:rsid w:val="00323782"/>
    <w:rsid w:val="00324282"/>
    <w:rsid w:val="00324D13"/>
    <w:rsid w:val="00324EDD"/>
    <w:rsid w:val="003331E4"/>
    <w:rsid w:val="00334054"/>
    <w:rsid w:val="0033582C"/>
    <w:rsid w:val="00336C64"/>
    <w:rsid w:val="00337162"/>
    <w:rsid w:val="00340A09"/>
    <w:rsid w:val="0034194F"/>
    <w:rsid w:val="00343B45"/>
    <w:rsid w:val="00344395"/>
    <w:rsid w:val="00344605"/>
    <w:rsid w:val="003474AA"/>
    <w:rsid w:val="00350D1D"/>
    <w:rsid w:val="00352C83"/>
    <w:rsid w:val="00352F1A"/>
    <w:rsid w:val="00355029"/>
    <w:rsid w:val="0036107C"/>
    <w:rsid w:val="003615D2"/>
    <w:rsid w:val="00362557"/>
    <w:rsid w:val="0036429C"/>
    <w:rsid w:val="00364A53"/>
    <w:rsid w:val="003654CB"/>
    <w:rsid w:val="00365AA9"/>
    <w:rsid w:val="00365F86"/>
    <w:rsid w:val="00365F87"/>
    <w:rsid w:val="00366E89"/>
    <w:rsid w:val="003679AE"/>
    <w:rsid w:val="003705F4"/>
    <w:rsid w:val="00370D58"/>
    <w:rsid w:val="00371316"/>
    <w:rsid w:val="00371440"/>
    <w:rsid w:val="0037211D"/>
    <w:rsid w:val="00376713"/>
    <w:rsid w:val="00377364"/>
    <w:rsid w:val="00381815"/>
    <w:rsid w:val="003819AF"/>
    <w:rsid w:val="003820E9"/>
    <w:rsid w:val="00382632"/>
    <w:rsid w:val="00382DE7"/>
    <w:rsid w:val="00384FFC"/>
    <w:rsid w:val="003872FC"/>
    <w:rsid w:val="00387ADC"/>
    <w:rsid w:val="00390020"/>
    <w:rsid w:val="003903D6"/>
    <w:rsid w:val="00390EE6"/>
    <w:rsid w:val="0039118F"/>
    <w:rsid w:val="003924C1"/>
    <w:rsid w:val="00392AD7"/>
    <w:rsid w:val="003938D9"/>
    <w:rsid w:val="00394376"/>
    <w:rsid w:val="003943FF"/>
    <w:rsid w:val="00396561"/>
    <w:rsid w:val="003974EB"/>
    <w:rsid w:val="00397CC5"/>
    <w:rsid w:val="003A115E"/>
    <w:rsid w:val="003A11D1"/>
    <w:rsid w:val="003A1582"/>
    <w:rsid w:val="003A38F8"/>
    <w:rsid w:val="003A3D9C"/>
    <w:rsid w:val="003A3FB4"/>
    <w:rsid w:val="003A4077"/>
    <w:rsid w:val="003A4AA7"/>
    <w:rsid w:val="003A6D25"/>
    <w:rsid w:val="003A7EDB"/>
    <w:rsid w:val="003B09AD"/>
    <w:rsid w:val="003B1F18"/>
    <w:rsid w:val="003B295E"/>
    <w:rsid w:val="003B5BF0"/>
    <w:rsid w:val="003B60BF"/>
    <w:rsid w:val="003B6BE3"/>
    <w:rsid w:val="003C010C"/>
    <w:rsid w:val="003C05AE"/>
    <w:rsid w:val="003C0A6C"/>
    <w:rsid w:val="003C14F8"/>
    <w:rsid w:val="003C2526"/>
    <w:rsid w:val="003C2B60"/>
    <w:rsid w:val="003C37CF"/>
    <w:rsid w:val="003C5A43"/>
    <w:rsid w:val="003C6C02"/>
    <w:rsid w:val="003D0519"/>
    <w:rsid w:val="003D0AAA"/>
    <w:rsid w:val="003D0FF6"/>
    <w:rsid w:val="003D1113"/>
    <w:rsid w:val="003D262C"/>
    <w:rsid w:val="003D4F5A"/>
    <w:rsid w:val="003D6D61"/>
    <w:rsid w:val="003E019F"/>
    <w:rsid w:val="003E091D"/>
    <w:rsid w:val="003E1C53"/>
    <w:rsid w:val="003E2A69"/>
    <w:rsid w:val="003E2D49"/>
    <w:rsid w:val="003E2FD4"/>
    <w:rsid w:val="003E49F6"/>
    <w:rsid w:val="003E660F"/>
    <w:rsid w:val="003E7B3B"/>
    <w:rsid w:val="003F0841"/>
    <w:rsid w:val="003F0AFC"/>
    <w:rsid w:val="003F0E59"/>
    <w:rsid w:val="003F23D3"/>
    <w:rsid w:val="003F3F08"/>
    <w:rsid w:val="003F3F6F"/>
    <w:rsid w:val="003F49F1"/>
    <w:rsid w:val="003F5D5E"/>
    <w:rsid w:val="003F6272"/>
    <w:rsid w:val="003F712D"/>
    <w:rsid w:val="00400E72"/>
    <w:rsid w:val="00401400"/>
    <w:rsid w:val="00403856"/>
    <w:rsid w:val="00403B01"/>
    <w:rsid w:val="00404869"/>
    <w:rsid w:val="00405884"/>
    <w:rsid w:val="004062AD"/>
    <w:rsid w:val="00407D39"/>
    <w:rsid w:val="00411941"/>
    <w:rsid w:val="004138E9"/>
    <w:rsid w:val="0041477A"/>
    <w:rsid w:val="00415D7C"/>
    <w:rsid w:val="004167A3"/>
    <w:rsid w:val="00425D22"/>
    <w:rsid w:val="00425EC0"/>
    <w:rsid w:val="00430491"/>
    <w:rsid w:val="00432DAA"/>
    <w:rsid w:val="00434305"/>
    <w:rsid w:val="00435DF7"/>
    <w:rsid w:val="00436E45"/>
    <w:rsid w:val="004407C2"/>
    <w:rsid w:val="0044083F"/>
    <w:rsid w:val="00441AE7"/>
    <w:rsid w:val="00445574"/>
    <w:rsid w:val="004467FB"/>
    <w:rsid w:val="00450A29"/>
    <w:rsid w:val="00451519"/>
    <w:rsid w:val="00452D6B"/>
    <w:rsid w:val="00454484"/>
    <w:rsid w:val="0045517B"/>
    <w:rsid w:val="004565E9"/>
    <w:rsid w:val="00463B77"/>
    <w:rsid w:val="00463C7B"/>
    <w:rsid w:val="004644A6"/>
    <w:rsid w:val="004659BD"/>
    <w:rsid w:val="00470775"/>
    <w:rsid w:val="004746B1"/>
    <w:rsid w:val="00474C6A"/>
    <w:rsid w:val="0047583F"/>
    <w:rsid w:val="00475DE8"/>
    <w:rsid w:val="00480A3B"/>
    <w:rsid w:val="00480E08"/>
    <w:rsid w:val="00481C44"/>
    <w:rsid w:val="00484936"/>
    <w:rsid w:val="00485C89"/>
    <w:rsid w:val="00486BE3"/>
    <w:rsid w:val="0049032F"/>
    <w:rsid w:val="004905E4"/>
    <w:rsid w:val="00490A89"/>
    <w:rsid w:val="00490AB4"/>
    <w:rsid w:val="00492F02"/>
    <w:rsid w:val="004939AE"/>
    <w:rsid w:val="00495F06"/>
    <w:rsid w:val="00496BE9"/>
    <w:rsid w:val="00496D93"/>
    <w:rsid w:val="004A12DF"/>
    <w:rsid w:val="004A1BA8"/>
    <w:rsid w:val="004A3356"/>
    <w:rsid w:val="004A4B57"/>
    <w:rsid w:val="004A50C7"/>
    <w:rsid w:val="004A63FA"/>
    <w:rsid w:val="004A63FF"/>
    <w:rsid w:val="004A6A3D"/>
    <w:rsid w:val="004B0272"/>
    <w:rsid w:val="004B2701"/>
    <w:rsid w:val="004B2E1B"/>
    <w:rsid w:val="004B3AA8"/>
    <w:rsid w:val="004B3E93"/>
    <w:rsid w:val="004B70A8"/>
    <w:rsid w:val="004B70AE"/>
    <w:rsid w:val="004C193F"/>
    <w:rsid w:val="004C1FBC"/>
    <w:rsid w:val="004C25A2"/>
    <w:rsid w:val="004C3F1D"/>
    <w:rsid w:val="004C458D"/>
    <w:rsid w:val="004C7556"/>
    <w:rsid w:val="004C7E8B"/>
    <w:rsid w:val="004C7E9D"/>
    <w:rsid w:val="004C7F67"/>
    <w:rsid w:val="004D0049"/>
    <w:rsid w:val="004D076D"/>
    <w:rsid w:val="004D0EF1"/>
    <w:rsid w:val="004D2253"/>
    <w:rsid w:val="004D4406"/>
    <w:rsid w:val="004D7C42"/>
    <w:rsid w:val="004E0465"/>
    <w:rsid w:val="004E127B"/>
    <w:rsid w:val="004E1C0A"/>
    <w:rsid w:val="004E30C5"/>
    <w:rsid w:val="004E3536"/>
    <w:rsid w:val="004E4AA5"/>
    <w:rsid w:val="004E4AEE"/>
    <w:rsid w:val="004E59E3"/>
    <w:rsid w:val="004E67C0"/>
    <w:rsid w:val="004F3188"/>
    <w:rsid w:val="004F37FC"/>
    <w:rsid w:val="004F391A"/>
    <w:rsid w:val="004F3CFB"/>
    <w:rsid w:val="004F6456"/>
    <w:rsid w:val="004F696E"/>
    <w:rsid w:val="004F6C71"/>
    <w:rsid w:val="0050016F"/>
    <w:rsid w:val="00501139"/>
    <w:rsid w:val="0050363E"/>
    <w:rsid w:val="005039BC"/>
    <w:rsid w:val="005043BB"/>
    <w:rsid w:val="00504A3D"/>
    <w:rsid w:val="00504EAF"/>
    <w:rsid w:val="00505767"/>
    <w:rsid w:val="005073F0"/>
    <w:rsid w:val="00510A7B"/>
    <w:rsid w:val="00512F6E"/>
    <w:rsid w:val="00513038"/>
    <w:rsid w:val="0051391B"/>
    <w:rsid w:val="00514174"/>
    <w:rsid w:val="00516088"/>
    <w:rsid w:val="00516B0B"/>
    <w:rsid w:val="005220EC"/>
    <w:rsid w:val="00523F95"/>
    <w:rsid w:val="00524D65"/>
    <w:rsid w:val="005252BB"/>
    <w:rsid w:val="00525B16"/>
    <w:rsid w:val="00525FD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624"/>
    <w:rsid w:val="00551F6F"/>
    <w:rsid w:val="00554B0D"/>
    <w:rsid w:val="00555044"/>
    <w:rsid w:val="00555C18"/>
    <w:rsid w:val="00556BF0"/>
    <w:rsid w:val="00560663"/>
    <w:rsid w:val="00561475"/>
    <w:rsid w:val="0056191C"/>
    <w:rsid w:val="00562308"/>
    <w:rsid w:val="00562917"/>
    <w:rsid w:val="0056385E"/>
    <w:rsid w:val="0056487B"/>
    <w:rsid w:val="00564FB9"/>
    <w:rsid w:val="00565898"/>
    <w:rsid w:val="00572184"/>
    <w:rsid w:val="0057297C"/>
    <w:rsid w:val="00573D9E"/>
    <w:rsid w:val="005801E3"/>
    <w:rsid w:val="00581802"/>
    <w:rsid w:val="005836A8"/>
    <w:rsid w:val="0058409C"/>
    <w:rsid w:val="00584262"/>
    <w:rsid w:val="00584981"/>
    <w:rsid w:val="00586630"/>
    <w:rsid w:val="00587ADD"/>
    <w:rsid w:val="005901C5"/>
    <w:rsid w:val="00590575"/>
    <w:rsid w:val="005920B9"/>
    <w:rsid w:val="00593A49"/>
    <w:rsid w:val="005946F6"/>
    <w:rsid w:val="00596160"/>
    <w:rsid w:val="005966E2"/>
    <w:rsid w:val="00597007"/>
    <w:rsid w:val="00597D89"/>
    <w:rsid w:val="005A0966"/>
    <w:rsid w:val="005A0A97"/>
    <w:rsid w:val="005A11B7"/>
    <w:rsid w:val="005A260B"/>
    <w:rsid w:val="005A4A1B"/>
    <w:rsid w:val="005A6BB3"/>
    <w:rsid w:val="005A7830"/>
    <w:rsid w:val="005A7FCE"/>
    <w:rsid w:val="005B0B96"/>
    <w:rsid w:val="005B0F3F"/>
    <w:rsid w:val="005B0F47"/>
    <w:rsid w:val="005B13B1"/>
    <w:rsid w:val="005B191C"/>
    <w:rsid w:val="005B3685"/>
    <w:rsid w:val="005B4903"/>
    <w:rsid w:val="005B51CE"/>
    <w:rsid w:val="005B5885"/>
    <w:rsid w:val="005B5CD7"/>
    <w:rsid w:val="005B6CF6"/>
    <w:rsid w:val="005B7422"/>
    <w:rsid w:val="005C29B8"/>
    <w:rsid w:val="005C5F21"/>
    <w:rsid w:val="005C7156"/>
    <w:rsid w:val="005D035A"/>
    <w:rsid w:val="005D0C75"/>
    <w:rsid w:val="005D4171"/>
    <w:rsid w:val="005D6A95"/>
    <w:rsid w:val="005D6B2C"/>
    <w:rsid w:val="005D6D9C"/>
    <w:rsid w:val="005E2335"/>
    <w:rsid w:val="005E34CA"/>
    <w:rsid w:val="005E3C18"/>
    <w:rsid w:val="005E4250"/>
    <w:rsid w:val="005E6812"/>
    <w:rsid w:val="005E7881"/>
    <w:rsid w:val="005E78E0"/>
    <w:rsid w:val="005F0594"/>
    <w:rsid w:val="005F0D9C"/>
    <w:rsid w:val="005F284E"/>
    <w:rsid w:val="005F3633"/>
    <w:rsid w:val="006015CE"/>
    <w:rsid w:val="00604784"/>
    <w:rsid w:val="00605017"/>
    <w:rsid w:val="00606419"/>
    <w:rsid w:val="00607D29"/>
    <w:rsid w:val="006115B3"/>
    <w:rsid w:val="00612952"/>
    <w:rsid w:val="00614CC1"/>
    <w:rsid w:val="00615A9D"/>
    <w:rsid w:val="00617387"/>
    <w:rsid w:val="006205D6"/>
    <w:rsid w:val="006247FD"/>
    <w:rsid w:val="006252D8"/>
    <w:rsid w:val="006259BC"/>
    <w:rsid w:val="0062636B"/>
    <w:rsid w:val="00627D2F"/>
    <w:rsid w:val="00632182"/>
    <w:rsid w:val="00632AE0"/>
    <w:rsid w:val="00632F49"/>
    <w:rsid w:val="00633C17"/>
    <w:rsid w:val="006340CC"/>
    <w:rsid w:val="00634D9E"/>
    <w:rsid w:val="00635377"/>
    <w:rsid w:val="00636E3E"/>
    <w:rsid w:val="006379F7"/>
    <w:rsid w:val="00637E4D"/>
    <w:rsid w:val="00640620"/>
    <w:rsid w:val="00640659"/>
    <w:rsid w:val="00641A1F"/>
    <w:rsid w:val="0064349A"/>
    <w:rsid w:val="00643899"/>
    <w:rsid w:val="00644344"/>
    <w:rsid w:val="006457C8"/>
    <w:rsid w:val="00645904"/>
    <w:rsid w:val="00651ACB"/>
    <w:rsid w:val="00651C47"/>
    <w:rsid w:val="00652AB2"/>
    <w:rsid w:val="00653FED"/>
    <w:rsid w:val="00654EC0"/>
    <w:rsid w:val="0065525B"/>
    <w:rsid w:val="0065564C"/>
    <w:rsid w:val="00655D4F"/>
    <w:rsid w:val="00656D29"/>
    <w:rsid w:val="00663ACA"/>
    <w:rsid w:val="006640E5"/>
    <w:rsid w:val="006646F1"/>
    <w:rsid w:val="00664929"/>
    <w:rsid w:val="00664A52"/>
    <w:rsid w:val="00664F62"/>
    <w:rsid w:val="006655E1"/>
    <w:rsid w:val="00671805"/>
    <w:rsid w:val="00672060"/>
    <w:rsid w:val="00672BFD"/>
    <w:rsid w:val="006766C8"/>
    <w:rsid w:val="006770F4"/>
    <w:rsid w:val="00677A84"/>
    <w:rsid w:val="0068026D"/>
    <w:rsid w:val="00680A27"/>
    <w:rsid w:val="006816A4"/>
    <w:rsid w:val="006819B8"/>
    <w:rsid w:val="006840A6"/>
    <w:rsid w:val="006850CD"/>
    <w:rsid w:val="00685234"/>
    <w:rsid w:val="00685AAB"/>
    <w:rsid w:val="00694BC4"/>
    <w:rsid w:val="0069784C"/>
    <w:rsid w:val="006A07AA"/>
    <w:rsid w:val="006A0A5B"/>
    <w:rsid w:val="006A20F8"/>
    <w:rsid w:val="006A25E5"/>
    <w:rsid w:val="006A2B46"/>
    <w:rsid w:val="006A336D"/>
    <w:rsid w:val="006A37B9"/>
    <w:rsid w:val="006A74A7"/>
    <w:rsid w:val="006B1CB7"/>
    <w:rsid w:val="006B2672"/>
    <w:rsid w:val="006B43B7"/>
    <w:rsid w:val="006B54BF"/>
    <w:rsid w:val="006B5F44"/>
    <w:rsid w:val="006B5F90"/>
    <w:rsid w:val="006B62E4"/>
    <w:rsid w:val="006C0DDC"/>
    <w:rsid w:val="006C1BBA"/>
    <w:rsid w:val="006C2079"/>
    <w:rsid w:val="006C5A62"/>
    <w:rsid w:val="006C5D68"/>
    <w:rsid w:val="006C6976"/>
    <w:rsid w:val="006C6DD0"/>
    <w:rsid w:val="006C787F"/>
    <w:rsid w:val="006D04EA"/>
    <w:rsid w:val="006D1176"/>
    <w:rsid w:val="006D16C4"/>
    <w:rsid w:val="006D3E96"/>
    <w:rsid w:val="006D4515"/>
    <w:rsid w:val="006D4BB1"/>
    <w:rsid w:val="006D6593"/>
    <w:rsid w:val="006E173E"/>
    <w:rsid w:val="006E7C60"/>
    <w:rsid w:val="006F03A8"/>
    <w:rsid w:val="006F0CFC"/>
    <w:rsid w:val="006F2ACA"/>
    <w:rsid w:val="006F2ADC"/>
    <w:rsid w:val="006F2BFE"/>
    <w:rsid w:val="006F31E9"/>
    <w:rsid w:val="006F6284"/>
    <w:rsid w:val="007002C5"/>
    <w:rsid w:val="00704387"/>
    <w:rsid w:val="00707669"/>
    <w:rsid w:val="007119A5"/>
    <w:rsid w:val="00711CBA"/>
    <w:rsid w:val="00711FB5"/>
    <w:rsid w:val="00712A01"/>
    <w:rsid w:val="00714AD3"/>
    <w:rsid w:val="00714F58"/>
    <w:rsid w:val="00715C9F"/>
    <w:rsid w:val="0072124E"/>
    <w:rsid w:val="00722FBF"/>
    <w:rsid w:val="00722FC2"/>
    <w:rsid w:val="00724E1B"/>
    <w:rsid w:val="00725949"/>
    <w:rsid w:val="00725F56"/>
    <w:rsid w:val="00726F73"/>
    <w:rsid w:val="00727FA2"/>
    <w:rsid w:val="0073196B"/>
    <w:rsid w:val="007322D9"/>
    <w:rsid w:val="00732BC0"/>
    <w:rsid w:val="007345D3"/>
    <w:rsid w:val="00735EED"/>
    <w:rsid w:val="0073720F"/>
    <w:rsid w:val="00737796"/>
    <w:rsid w:val="007412CD"/>
    <w:rsid w:val="0074165C"/>
    <w:rsid w:val="007425EB"/>
    <w:rsid w:val="00742C35"/>
    <w:rsid w:val="007432CA"/>
    <w:rsid w:val="007439EB"/>
    <w:rsid w:val="00743CB4"/>
    <w:rsid w:val="00743F0A"/>
    <w:rsid w:val="00744230"/>
    <w:rsid w:val="007444E8"/>
    <w:rsid w:val="0074506E"/>
    <w:rsid w:val="0074548E"/>
    <w:rsid w:val="007454A1"/>
    <w:rsid w:val="00745773"/>
    <w:rsid w:val="00746800"/>
    <w:rsid w:val="0074681C"/>
    <w:rsid w:val="007501A8"/>
    <w:rsid w:val="00750D61"/>
    <w:rsid w:val="00750EE1"/>
    <w:rsid w:val="00752B4D"/>
    <w:rsid w:val="00755402"/>
    <w:rsid w:val="00756B26"/>
    <w:rsid w:val="00756EDF"/>
    <w:rsid w:val="00757D18"/>
    <w:rsid w:val="007600E3"/>
    <w:rsid w:val="007613F7"/>
    <w:rsid w:val="00763DF4"/>
    <w:rsid w:val="00765C43"/>
    <w:rsid w:val="00765EFB"/>
    <w:rsid w:val="0076606D"/>
    <w:rsid w:val="00766C59"/>
    <w:rsid w:val="007671CA"/>
    <w:rsid w:val="00767C61"/>
    <w:rsid w:val="0077008A"/>
    <w:rsid w:val="00771084"/>
    <w:rsid w:val="00771B63"/>
    <w:rsid w:val="00773C1F"/>
    <w:rsid w:val="00774DA4"/>
    <w:rsid w:val="00776599"/>
    <w:rsid w:val="00780264"/>
    <w:rsid w:val="0078114B"/>
    <w:rsid w:val="00781DD2"/>
    <w:rsid w:val="00782740"/>
    <w:rsid w:val="00783ECF"/>
    <w:rsid w:val="0078413A"/>
    <w:rsid w:val="007924FD"/>
    <w:rsid w:val="0079521A"/>
    <w:rsid w:val="007959E8"/>
    <w:rsid w:val="00795E9C"/>
    <w:rsid w:val="007A0521"/>
    <w:rsid w:val="007A2E12"/>
    <w:rsid w:val="007A3475"/>
    <w:rsid w:val="007A41C8"/>
    <w:rsid w:val="007A54CE"/>
    <w:rsid w:val="007A5D3A"/>
    <w:rsid w:val="007A6FD9"/>
    <w:rsid w:val="007A7E4D"/>
    <w:rsid w:val="007A7FFA"/>
    <w:rsid w:val="007B04EB"/>
    <w:rsid w:val="007B0D4F"/>
    <w:rsid w:val="007B1219"/>
    <w:rsid w:val="007B1BBA"/>
    <w:rsid w:val="007B2F6D"/>
    <w:rsid w:val="007B5A3D"/>
    <w:rsid w:val="007B5B95"/>
    <w:rsid w:val="007B6032"/>
    <w:rsid w:val="007B68EA"/>
    <w:rsid w:val="007B7453"/>
    <w:rsid w:val="007C2D89"/>
    <w:rsid w:val="007C4593"/>
    <w:rsid w:val="007C5309"/>
    <w:rsid w:val="007C55B4"/>
    <w:rsid w:val="007C6069"/>
    <w:rsid w:val="007D023A"/>
    <w:rsid w:val="007D06C4"/>
    <w:rsid w:val="007D0D89"/>
    <w:rsid w:val="007D1352"/>
    <w:rsid w:val="007D149C"/>
    <w:rsid w:val="007D2508"/>
    <w:rsid w:val="007D346A"/>
    <w:rsid w:val="007D6518"/>
    <w:rsid w:val="007D76BD"/>
    <w:rsid w:val="007E0BF1"/>
    <w:rsid w:val="007E27AD"/>
    <w:rsid w:val="007E3004"/>
    <w:rsid w:val="007E3E3F"/>
    <w:rsid w:val="007E4BD1"/>
    <w:rsid w:val="007E5D86"/>
    <w:rsid w:val="007E614D"/>
    <w:rsid w:val="007E6C11"/>
    <w:rsid w:val="007F035C"/>
    <w:rsid w:val="007F0ED8"/>
    <w:rsid w:val="007F0F63"/>
    <w:rsid w:val="007F1A29"/>
    <w:rsid w:val="007F48A9"/>
    <w:rsid w:val="007F75CE"/>
    <w:rsid w:val="007F7B66"/>
    <w:rsid w:val="00800DB8"/>
    <w:rsid w:val="0080125B"/>
    <w:rsid w:val="008013A4"/>
    <w:rsid w:val="008027CE"/>
    <w:rsid w:val="00802F42"/>
    <w:rsid w:val="00804383"/>
    <w:rsid w:val="00804BB7"/>
    <w:rsid w:val="00804D41"/>
    <w:rsid w:val="00810257"/>
    <w:rsid w:val="008104F5"/>
    <w:rsid w:val="00811072"/>
    <w:rsid w:val="00811369"/>
    <w:rsid w:val="0081147E"/>
    <w:rsid w:val="00815419"/>
    <w:rsid w:val="008163C8"/>
    <w:rsid w:val="008164A1"/>
    <w:rsid w:val="00817325"/>
    <w:rsid w:val="008209E6"/>
    <w:rsid w:val="00821D19"/>
    <w:rsid w:val="00823303"/>
    <w:rsid w:val="008233B2"/>
    <w:rsid w:val="00823A9F"/>
    <w:rsid w:val="00823C85"/>
    <w:rsid w:val="00825138"/>
    <w:rsid w:val="008261B6"/>
    <w:rsid w:val="008265ED"/>
    <w:rsid w:val="008269C2"/>
    <w:rsid w:val="008269DD"/>
    <w:rsid w:val="00830621"/>
    <w:rsid w:val="0083348C"/>
    <w:rsid w:val="008373D3"/>
    <w:rsid w:val="00840617"/>
    <w:rsid w:val="00840F84"/>
    <w:rsid w:val="00841185"/>
    <w:rsid w:val="00842A47"/>
    <w:rsid w:val="00843C13"/>
    <w:rsid w:val="00843DEF"/>
    <w:rsid w:val="008454F8"/>
    <w:rsid w:val="0085173A"/>
    <w:rsid w:val="008603CE"/>
    <w:rsid w:val="008620FC"/>
    <w:rsid w:val="008627A5"/>
    <w:rsid w:val="00862DD1"/>
    <w:rsid w:val="00863E05"/>
    <w:rsid w:val="00865ACA"/>
    <w:rsid w:val="00865D28"/>
    <w:rsid w:val="00865F85"/>
    <w:rsid w:val="008672A3"/>
    <w:rsid w:val="00867C10"/>
    <w:rsid w:val="00870439"/>
    <w:rsid w:val="00870DA1"/>
    <w:rsid w:val="00877A38"/>
    <w:rsid w:val="008800E0"/>
    <w:rsid w:val="008829F5"/>
    <w:rsid w:val="00883120"/>
    <w:rsid w:val="00883F93"/>
    <w:rsid w:val="0088482B"/>
    <w:rsid w:val="00884DB3"/>
    <w:rsid w:val="00885A9D"/>
    <w:rsid w:val="008864F6"/>
    <w:rsid w:val="0089049D"/>
    <w:rsid w:val="008928C9"/>
    <w:rsid w:val="008930CB"/>
    <w:rsid w:val="008936C9"/>
    <w:rsid w:val="008938DC"/>
    <w:rsid w:val="00893FD1"/>
    <w:rsid w:val="00894836"/>
    <w:rsid w:val="00895172"/>
    <w:rsid w:val="00895680"/>
    <w:rsid w:val="00896B1A"/>
    <w:rsid w:val="00896DFF"/>
    <w:rsid w:val="0089762C"/>
    <w:rsid w:val="008A173B"/>
    <w:rsid w:val="008A1893"/>
    <w:rsid w:val="008A3B8A"/>
    <w:rsid w:val="008A57E6"/>
    <w:rsid w:val="008A63F8"/>
    <w:rsid w:val="008A6F81"/>
    <w:rsid w:val="008A769A"/>
    <w:rsid w:val="008B0C9C"/>
    <w:rsid w:val="008B1587"/>
    <w:rsid w:val="008B166D"/>
    <w:rsid w:val="008B16B8"/>
    <w:rsid w:val="008B17F4"/>
    <w:rsid w:val="008B1BCB"/>
    <w:rsid w:val="008B267D"/>
    <w:rsid w:val="008B3615"/>
    <w:rsid w:val="008B4AC4"/>
    <w:rsid w:val="008B50C8"/>
    <w:rsid w:val="008B5281"/>
    <w:rsid w:val="008B7E05"/>
    <w:rsid w:val="008C1797"/>
    <w:rsid w:val="008C219C"/>
    <w:rsid w:val="008C475E"/>
    <w:rsid w:val="008C619A"/>
    <w:rsid w:val="008C77A3"/>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0F9"/>
    <w:rsid w:val="008E5518"/>
    <w:rsid w:val="008E6A84"/>
    <w:rsid w:val="008F0CDC"/>
    <w:rsid w:val="008F17A3"/>
    <w:rsid w:val="008F1ED3"/>
    <w:rsid w:val="008F4C29"/>
    <w:rsid w:val="008F4CB5"/>
    <w:rsid w:val="008F6165"/>
    <w:rsid w:val="008F6623"/>
    <w:rsid w:val="008F70BD"/>
    <w:rsid w:val="008F788F"/>
    <w:rsid w:val="008F7EA2"/>
    <w:rsid w:val="0090181E"/>
    <w:rsid w:val="00902722"/>
    <w:rsid w:val="009027BC"/>
    <w:rsid w:val="00904890"/>
    <w:rsid w:val="009062E6"/>
    <w:rsid w:val="00906962"/>
    <w:rsid w:val="009069FD"/>
    <w:rsid w:val="00910B86"/>
    <w:rsid w:val="00910ECC"/>
    <w:rsid w:val="00911BE5"/>
    <w:rsid w:val="00913CA9"/>
    <w:rsid w:val="009145AE"/>
    <w:rsid w:val="009146CE"/>
    <w:rsid w:val="00914CA7"/>
    <w:rsid w:val="00915C3E"/>
    <w:rsid w:val="009161A8"/>
    <w:rsid w:val="00917F25"/>
    <w:rsid w:val="009245AE"/>
    <w:rsid w:val="009245F5"/>
    <w:rsid w:val="009249EC"/>
    <w:rsid w:val="00926957"/>
    <w:rsid w:val="009273B3"/>
    <w:rsid w:val="009305B5"/>
    <w:rsid w:val="00931FCE"/>
    <w:rsid w:val="0093257D"/>
    <w:rsid w:val="009378DD"/>
    <w:rsid w:val="00940108"/>
    <w:rsid w:val="0094045D"/>
    <w:rsid w:val="00941C23"/>
    <w:rsid w:val="00941E73"/>
    <w:rsid w:val="009429D5"/>
    <w:rsid w:val="00942BF1"/>
    <w:rsid w:val="0094335C"/>
    <w:rsid w:val="00945180"/>
    <w:rsid w:val="00945428"/>
    <w:rsid w:val="00945E04"/>
    <w:rsid w:val="0094607B"/>
    <w:rsid w:val="00946E78"/>
    <w:rsid w:val="009516F0"/>
    <w:rsid w:val="00951CFA"/>
    <w:rsid w:val="00953604"/>
    <w:rsid w:val="00954143"/>
    <w:rsid w:val="0095496B"/>
    <w:rsid w:val="0095613B"/>
    <w:rsid w:val="00960923"/>
    <w:rsid w:val="00960F1E"/>
    <w:rsid w:val="009610DC"/>
    <w:rsid w:val="00961490"/>
    <w:rsid w:val="0096381A"/>
    <w:rsid w:val="00965E04"/>
    <w:rsid w:val="009674AD"/>
    <w:rsid w:val="00970CDC"/>
    <w:rsid w:val="009730BC"/>
    <w:rsid w:val="00975727"/>
    <w:rsid w:val="00976CB9"/>
    <w:rsid w:val="00977010"/>
    <w:rsid w:val="00977D02"/>
    <w:rsid w:val="00977FF9"/>
    <w:rsid w:val="009809BB"/>
    <w:rsid w:val="0098364B"/>
    <w:rsid w:val="0098523D"/>
    <w:rsid w:val="0098630F"/>
    <w:rsid w:val="009868C5"/>
    <w:rsid w:val="009908A3"/>
    <w:rsid w:val="009911AF"/>
    <w:rsid w:val="00991875"/>
    <w:rsid w:val="00991F92"/>
    <w:rsid w:val="00992985"/>
    <w:rsid w:val="00993871"/>
    <w:rsid w:val="00993889"/>
    <w:rsid w:val="00994B60"/>
    <w:rsid w:val="0099551B"/>
    <w:rsid w:val="00996BD2"/>
    <w:rsid w:val="00997BF1"/>
    <w:rsid w:val="009A0286"/>
    <w:rsid w:val="009A089C"/>
    <w:rsid w:val="009A118E"/>
    <w:rsid w:val="009A21CD"/>
    <w:rsid w:val="009A23D2"/>
    <w:rsid w:val="009A278C"/>
    <w:rsid w:val="009A2BC2"/>
    <w:rsid w:val="009A42C1"/>
    <w:rsid w:val="009A5429"/>
    <w:rsid w:val="009A72AD"/>
    <w:rsid w:val="009B09E0"/>
    <w:rsid w:val="009B0BC5"/>
    <w:rsid w:val="009B1247"/>
    <w:rsid w:val="009B1A30"/>
    <w:rsid w:val="009B6029"/>
    <w:rsid w:val="009B6971"/>
    <w:rsid w:val="009B7A65"/>
    <w:rsid w:val="009C027A"/>
    <w:rsid w:val="009C27F1"/>
    <w:rsid w:val="009C3152"/>
    <w:rsid w:val="009C3257"/>
    <w:rsid w:val="009C4CFA"/>
    <w:rsid w:val="009C5070"/>
    <w:rsid w:val="009D112C"/>
    <w:rsid w:val="009D1385"/>
    <w:rsid w:val="009D239A"/>
    <w:rsid w:val="009D47FA"/>
    <w:rsid w:val="009D4C5B"/>
    <w:rsid w:val="009D50D2"/>
    <w:rsid w:val="009D6BCA"/>
    <w:rsid w:val="009E0F62"/>
    <w:rsid w:val="009E4A58"/>
    <w:rsid w:val="009E5A2D"/>
    <w:rsid w:val="009E5AB2"/>
    <w:rsid w:val="009E6219"/>
    <w:rsid w:val="009E6D68"/>
    <w:rsid w:val="009E7A0C"/>
    <w:rsid w:val="009F03B3"/>
    <w:rsid w:val="009F1398"/>
    <w:rsid w:val="009F3671"/>
    <w:rsid w:val="009F5BFF"/>
    <w:rsid w:val="00A0096C"/>
    <w:rsid w:val="00A01592"/>
    <w:rsid w:val="00A01757"/>
    <w:rsid w:val="00A028C0"/>
    <w:rsid w:val="00A02BAE"/>
    <w:rsid w:val="00A06A6B"/>
    <w:rsid w:val="00A07E47"/>
    <w:rsid w:val="00A129D0"/>
    <w:rsid w:val="00A12BDA"/>
    <w:rsid w:val="00A12C33"/>
    <w:rsid w:val="00A138BA"/>
    <w:rsid w:val="00A14C8E"/>
    <w:rsid w:val="00A153D9"/>
    <w:rsid w:val="00A15F09"/>
    <w:rsid w:val="00A166D2"/>
    <w:rsid w:val="00A169B6"/>
    <w:rsid w:val="00A1702E"/>
    <w:rsid w:val="00A17B65"/>
    <w:rsid w:val="00A2271D"/>
    <w:rsid w:val="00A237D5"/>
    <w:rsid w:val="00A30EFC"/>
    <w:rsid w:val="00A31984"/>
    <w:rsid w:val="00A32D73"/>
    <w:rsid w:val="00A3359E"/>
    <w:rsid w:val="00A3367B"/>
    <w:rsid w:val="00A33C67"/>
    <w:rsid w:val="00A3511C"/>
    <w:rsid w:val="00A3597D"/>
    <w:rsid w:val="00A36DD1"/>
    <w:rsid w:val="00A4006C"/>
    <w:rsid w:val="00A40091"/>
    <w:rsid w:val="00A4030F"/>
    <w:rsid w:val="00A413E1"/>
    <w:rsid w:val="00A41C79"/>
    <w:rsid w:val="00A41CB5"/>
    <w:rsid w:val="00A42CDF"/>
    <w:rsid w:val="00A4452E"/>
    <w:rsid w:val="00A4472C"/>
    <w:rsid w:val="00A44E69"/>
    <w:rsid w:val="00A4661E"/>
    <w:rsid w:val="00A47E9F"/>
    <w:rsid w:val="00A47FF9"/>
    <w:rsid w:val="00A55BD6"/>
    <w:rsid w:val="00A55D50"/>
    <w:rsid w:val="00A57142"/>
    <w:rsid w:val="00A648CD"/>
    <w:rsid w:val="00A64A16"/>
    <w:rsid w:val="00A6537A"/>
    <w:rsid w:val="00A67866"/>
    <w:rsid w:val="00A70B07"/>
    <w:rsid w:val="00A70E69"/>
    <w:rsid w:val="00A723F8"/>
    <w:rsid w:val="00A75D55"/>
    <w:rsid w:val="00A77CCB"/>
    <w:rsid w:val="00A815FF"/>
    <w:rsid w:val="00A81D9B"/>
    <w:rsid w:val="00A83D8D"/>
    <w:rsid w:val="00A8446B"/>
    <w:rsid w:val="00A8473F"/>
    <w:rsid w:val="00A85A7A"/>
    <w:rsid w:val="00A862D6"/>
    <w:rsid w:val="00A8715E"/>
    <w:rsid w:val="00A9295B"/>
    <w:rsid w:val="00A93B09"/>
    <w:rsid w:val="00A947B4"/>
    <w:rsid w:val="00A94FD8"/>
    <w:rsid w:val="00A952D7"/>
    <w:rsid w:val="00A955C2"/>
    <w:rsid w:val="00A963F7"/>
    <w:rsid w:val="00A965BB"/>
    <w:rsid w:val="00A96AD8"/>
    <w:rsid w:val="00AA052C"/>
    <w:rsid w:val="00AA1E45"/>
    <w:rsid w:val="00AA1E4C"/>
    <w:rsid w:val="00AA4286"/>
    <w:rsid w:val="00AA456B"/>
    <w:rsid w:val="00AA4BE1"/>
    <w:rsid w:val="00AA57F5"/>
    <w:rsid w:val="00AA5D1E"/>
    <w:rsid w:val="00AA672E"/>
    <w:rsid w:val="00AA6EC9"/>
    <w:rsid w:val="00AB1C98"/>
    <w:rsid w:val="00AB212C"/>
    <w:rsid w:val="00AB38EA"/>
    <w:rsid w:val="00AB6309"/>
    <w:rsid w:val="00AB69C4"/>
    <w:rsid w:val="00AB6C5F"/>
    <w:rsid w:val="00AB7129"/>
    <w:rsid w:val="00AC27A6"/>
    <w:rsid w:val="00AC30F7"/>
    <w:rsid w:val="00AC3A5A"/>
    <w:rsid w:val="00AC4D95"/>
    <w:rsid w:val="00AC59A5"/>
    <w:rsid w:val="00AC5DF4"/>
    <w:rsid w:val="00AD0AEF"/>
    <w:rsid w:val="00AD11B7"/>
    <w:rsid w:val="00AD1A94"/>
    <w:rsid w:val="00AD1C05"/>
    <w:rsid w:val="00AD4126"/>
    <w:rsid w:val="00AD421C"/>
    <w:rsid w:val="00AD44FA"/>
    <w:rsid w:val="00AD5BA5"/>
    <w:rsid w:val="00AE070A"/>
    <w:rsid w:val="00AE101C"/>
    <w:rsid w:val="00AE18B4"/>
    <w:rsid w:val="00AE2A69"/>
    <w:rsid w:val="00AE37E5"/>
    <w:rsid w:val="00AE5878"/>
    <w:rsid w:val="00AE5EB4"/>
    <w:rsid w:val="00AF0156"/>
    <w:rsid w:val="00AF0C18"/>
    <w:rsid w:val="00AF2684"/>
    <w:rsid w:val="00AF47C5"/>
    <w:rsid w:val="00AF5398"/>
    <w:rsid w:val="00B00573"/>
    <w:rsid w:val="00B049AF"/>
    <w:rsid w:val="00B059A6"/>
    <w:rsid w:val="00B07242"/>
    <w:rsid w:val="00B10534"/>
    <w:rsid w:val="00B113DB"/>
    <w:rsid w:val="00B11D8A"/>
    <w:rsid w:val="00B12981"/>
    <w:rsid w:val="00B147DD"/>
    <w:rsid w:val="00B156FD"/>
    <w:rsid w:val="00B21F61"/>
    <w:rsid w:val="00B25309"/>
    <w:rsid w:val="00B261F1"/>
    <w:rsid w:val="00B265BC"/>
    <w:rsid w:val="00B31FB1"/>
    <w:rsid w:val="00B33952"/>
    <w:rsid w:val="00B33C5E"/>
    <w:rsid w:val="00B342F4"/>
    <w:rsid w:val="00B34369"/>
    <w:rsid w:val="00B34DC2"/>
    <w:rsid w:val="00B378E5"/>
    <w:rsid w:val="00B409A5"/>
    <w:rsid w:val="00B4346D"/>
    <w:rsid w:val="00B440F4"/>
    <w:rsid w:val="00B447A5"/>
    <w:rsid w:val="00B4654C"/>
    <w:rsid w:val="00B47293"/>
    <w:rsid w:val="00B50E50"/>
    <w:rsid w:val="00B52120"/>
    <w:rsid w:val="00B54ABC"/>
    <w:rsid w:val="00B55EC6"/>
    <w:rsid w:val="00B561DE"/>
    <w:rsid w:val="00B56FBE"/>
    <w:rsid w:val="00B60ACF"/>
    <w:rsid w:val="00B62B58"/>
    <w:rsid w:val="00B65149"/>
    <w:rsid w:val="00B66567"/>
    <w:rsid w:val="00B66F52"/>
    <w:rsid w:val="00B66FE5"/>
    <w:rsid w:val="00B71673"/>
    <w:rsid w:val="00B72880"/>
    <w:rsid w:val="00B729CA"/>
    <w:rsid w:val="00B73300"/>
    <w:rsid w:val="00B73D22"/>
    <w:rsid w:val="00B74957"/>
    <w:rsid w:val="00B758BF"/>
    <w:rsid w:val="00B77EC8"/>
    <w:rsid w:val="00B827A6"/>
    <w:rsid w:val="00B831CE"/>
    <w:rsid w:val="00B8419B"/>
    <w:rsid w:val="00B85544"/>
    <w:rsid w:val="00B86677"/>
    <w:rsid w:val="00B87131"/>
    <w:rsid w:val="00B939B1"/>
    <w:rsid w:val="00B96D40"/>
    <w:rsid w:val="00B97386"/>
    <w:rsid w:val="00BA263B"/>
    <w:rsid w:val="00BA42B2"/>
    <w:rsid w:val="00BA43EE"/>
    <w:rsid w:val="00BA4672"/>
    <w:rsid w:val="00BA58D4"/>
    <w:rsid w:val="00BA5B9E"/>
    <w:rsid w:val="00BA7C9A"/>
    <w:rsid w:val="00BB0360"/>
    <w:rsid w:val="00BB2DC2"/>
    <w:rsid w:val="00BB5F8F"/>
    <w:rsid w:val="00BB657A"/>
    <w:rsid w:val="00BC0FAC"/>
    <w:rsid w:val="00BC1A4E"/>
    <w:rsid w:val="00BC5DC7"/>
    <w:rsid w:val="00BC5F2E"/>
    <w:rsid w:val="00BC6B8B"/>
    <w:rsid w:val="00BC73D8"/>
    <w:rsid w:val="00BD063C"/>
    <w:rsid w:val="00BD303D"/>
    <w:rsid w:val="00BD52D7"/>
    <w:rsid w:val="00BD5AD2"/>
    <w:rsid w:val="00BD5B9F"/>
    <w:rsid w:val="00BE22F3"/>
    <w:rsid w:val="00BE56E0"/>
    <w:rsid w:val="00BE5B52"/>
    <w:rsid w:val="00BE5C69"/>
    <w:rsid w:val="00BE7B8D"/>
    <w:rsid w:val="00BF0993"/>
    <w:rsid w:val="00BF10A9"/>
    <w:rsid w:val="00BF1703"/>
    <w:rsid w:val="00BF231C"/>
    <w:rsid w:val="00BF2FCA"/>
    <w:rsid w:val="00BF51E5"/>
    <w:rsid w:val="00BF5389"/>
    <w:rsid w:val="00BF74A6"/>
    <w:rsid w:val="00BF7CC3"/>
    <w:rsid w:val="00C0118F"/>
    <w:rsid w:val="00C013AD"/>
    <w:rsid w:val="00C04904"/>
    <w:rsid w:val="00C056B3"/>
    <w:rsid w:val="00C065E9"/>
    <w:rsid w:val="00C06803"/>
    <w:rsid w:val="00C103E5"/>
    <w:rsid w:val="00C13319"/>
    <w:rsid w:val="00C13EE9"/>
    <w:rsid w:val="00C21540"/>
    <w:rsid w:val="00C21906"/>
    <w:rsid w:val="00C21BFA"/>
    <w:rsid w:val="00C21F44"/>
    <w:rsid w:val="00C24C8D"/>
    <w:rsid w:val="00C25768"/>
    <w:rsid w:val="00C25FE2"/>
    <w:rsid w:val="00C26B53"/>
    <w:rsid w:val="00C279B2"/>
    <w:rsid w:val="00C300F8"/>
    <w:rsid w:val="00C30FAE"/>
    <w:rsid w:val="00C31C5E"/>
    <w:rsid w:val="00C33C76"/>
    <w:rsid w:val="00C33E50"/>
    <w:rsid w:val="00C34C20"/>
    <w:rsid w:val="00C35A3E"/>
    <w:rsid w:val="00C40968"/>
    <w:rsid w:val="00C42130"/>
    <w:rsid w:val="00C423A4"/>
    <w:rsid w:val="00C423E3"/>
    <w:rsid w:val="00C44607"/>
    <w:rsid w:val="00C44BF5"/>
    <w:rsid w:val="00C50C7E"/>
    <w:rsid w:val="00C521D6"/>
    <w:rsid w:val="00C54A3B"/>
    <w:rsid w:val="00C55232"/>
    <w:rsid w:val="00C553A4"/>
    <w:rsid w:val="00C55A06"/>
    <w:rsid w:val="00C55D03"/>
    <w:rsid w:val="00C56EA5"/>
    <w:rsid w:val="00C601BC"/>
    <w:rsid w:val="00C6329F"/>
    <w:rsid w:val="00C63340"/>
    <w:rsid w:val="00C643F9"/>
    <w:rsid w:val="00C64E95"/>
    <w:rsid w:val="00C66D71"/>
    <w:rsid w:val="00C71372"/>
    <w:rsid w:val="00C72410"/>
    <w:rsid w:val="00C7287F"/>
    <w:rsid w:val="00C767B6"/>
    <w:rsid w:val="00C768C9"/>
    <w:rsid w:val="00C80CB8"/>
    <w:rsid w:val="00C81580"/>
    <w:rsid w:val="00C819F8"/>
    <w:rsid w:val="00C8248C"/>
    <w:rsid w:val="00C82DF4"/>
    <w:rsid w:val="00C84E33"/>
    <w:rsid w:val="00C86D6F"/>
    <w:rsid w:val="00C905FC"/>
    <w:rsid w:val="00C92D03"/>
    <w:rsid w:val="00C9319C"/>
    <w:rsid w:val="00C9435D"/>
    <w:rsid w:val="00C94DF2"/>
    <w:rsid w:val="00C96741"/>
    <w:rsid w:val="00C9715C"/>
    <w:rsid w:val="00C971A3"/>
    <w:rsid w:val="00C97633"/>
    <w:rsid w:val="00CA2D1B"/>
    <w:rsid w:val="00CA375D"/>
    <w:rsid w:val="00CA6211"/>
    <w:rsid w:val="00CA662A"/>
    <w:rsid w:val="00CA7AFD"/>
    <w:rsid w:val="00CA7C3C"/>
    <w:rsid w:val="00CB0189"/>
    <w:rsid w:val="00CB0BA2"/>
    <w:rsid w:val="00CB1A42"/>
    <w:rsid w:val="00CB1B0C"/>
    <w:rsid w:val="00CB2C0B"/>
    <w:rsid w:val="00CB3062"/>
    <w:rsid w:val="00CB517D"/>
    <w:rsid w:val="00CC038D"/>
    <w:rsid w:val="00CC08DB"/>
    <w:rsid w:val="00CC162E"/>
    <w:rsid w:val="00CC2A11"/>
    <w:rsid w:val="00CC39FF"/>
    <w:rsid w:val="00CC3C2F"/>
    <w:rsid w:val="00CC4AC8"/>
    <w:rsid w:val="00CC5233"/>
    <w:rsid w:val="00CC5DE6"/>
    <w:rsid w:val="00CC6E4E"/>
    <w:rsid w:val="00CC6FE8"/>
    <w:rsid w:val="00CC7202"/>
    <w:rsid w:val="00CD2808"/>
    <w:rsid w:val="00CD28BF"/>
    <w:rsid w:val="00CD353B"/>
    <w:rsid w:val="00CD4092"/>
    <w:rsid w:val="00CD4A20"/>
    <w:rsid w:val="00CD50A1"/>
    <w:rsid w:val="00CD519E"/>
    <w:rsid w:val="00CD76CB"/>
    <w:rsid w:val="00CE0C4F"/>
    <w:rsid w:val="00CE2DDD"/>
    <w:rsid w:val="00CE30EA"/>
    <w:rsid w:val="00CE343E"/>
    <w:rsid w:val="00CE67B3"/>
    <w:rsid w:val="00CF048A"/>
    <w:rsid w:val="00CF155A"/>
    <w:rsid w:val="00CF2947"/>
    <w:rsid w:val="00CF3A5C"/>
    <w:rsid w:val="00CF422D"/>
    <w:rsid w:val="00CF686F"/>
    <w:rsid w:val="00CF69A3"/>
    <w:rsid w:val="00CF6E60"/>
    <w:rsid w:val="00CF7BCA"/>
    <w:rsid w:val="00D008FD"/>
    <w:rsid w:val="00D010B3"/>
    <w:rsid w:val="00D0321C"/>
    <w:rsid w:val="00D035EC"/>
    <w:rsid w:val="00D06AB1"/>
    <w:rsid w:val="00D06FC1"/>
    <w:rsid w:val="00D072ED"/>
    <w:rsid w:val="00D07A16"/>
    <w:rsid w:val="00D1067E"/>
    <w:rsid w:val="00D10F50"/>
    <w:rsid w:val="00D11272"/>
    <w:rsid w:val="00D126F5"/>
    <w:rsid w:val="00D1447D"/>
    <w:rsid w:val="00D1489E"/>
    <w:rsid w:val="00D17628"/>
    <w:rsid w:val="00D20737"/>
    <w:rsid w:val="00D21E81"/>
    <w:rsid w:val="00D223DE"/>
    <w:rsid w:val="00D25E37"/>
    <w:rsid w:val="00D2661A"/>
    <w:rsid w:val="00D27472"/>
    <w:rsid w:val="00D27582"/>
    <w:rsid w:val="00D275CD"/>
    <w:rsid w:val="00D27EC4"/>
    <w:rsid w:val="00D32719"/>
    <w:rsid w:val="00D33333"/>
    <w:rsid w:val="00D349EC"/>
    <w:rsid w:val="00D352A2"/>
    <w:rsid w:val="00D4162B"/>
    <w:rsid w:val="00D427A4"/>
    <w:rsid w:val="00D4338B"/>
    <w:rsid w:val="00D43B51"/>
    <w:rsid w:val="00D4514F"/>
    <w:rsid w:val="00D451E2"/>
    <w:rsid w:val="00D45E89"/>
    <w:rsid w:val="00D45E8D"/>
    <w:rsid w:val="00D466AE"/>
    <w:rsid w:val="00D4734F"/>
    <w:rsid w:val="00D51BF3"/>
    <w:rsid w:val="00D51ECF"/>
    <w:rsid w:val="00D56FC5"/>
    <w:rsid w:val="00D57FF8"/>
    <w:rsid w:val="00D66846"/>
    <w:rsid w:val="00D66D53"/>
    <w:rsid w:val="00D674B6"/>
    <w:rsid w:val="00D675FB"/>
    <w:rsid w:val="00D71F25"/>
    <w:rsid w:val="00D72A9C"/>
    <w:rsid w:val="00D769D4"/>
    <w:rsid w:val="00D77031"/>
    <w:rsid w:val="00D83184"/>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EEA"/>
    <w:rsid w:val="00DA64F8"/>
    <w:rsid w:val="00DA6C15"/>
    <w:rsid w:val="00DB0258"/>
    <w:rsid w:val="00DB24FC"/>
    <w:rsid w:val="00DB38EE"/>
    <w:rsid w:val="00DB498B"/>
    <w:rsid w:val="00DB66CA"/>
    <w:rsid w:val="00DB6BCA"/>
    <w:rsid w:val="00DB6F54"/>
    <w:rsid w:val="00DB73F7"/>
    <w:rsid w:val="00DC0321"/>
    <w:rsid w:val="00DC3003"/>
    <w:rsid w:val="00DC3067"/>
    <w:rsid w:val="00DC370B"/>
    <w:rsid w:val="00DC5B90"/>
    <w:rsid w:val="00DD00FF"/>
    <w:rsid w:val="00DD0619"/>
    <w:rsid w:val="00DD07FB"/>
    <w:rsid w:val="00DD0D32"/>
    <w:rsid w:val="00DD25C6"/>
    <w:rsid w:val="00DD2AEE"/>
    <w:rsid w:val="00DD41A5"/>
    <w:rsid w:val="00DD4FE5"/>
    <w:rsid w:val="00DD54B0"/>
    <w:rsid w:val="00DD57EE"/>
    <w:rsid w:val="00DD6987"/>
    <w:rsid w:val="00DD6BCC"/>
    <w:rsid w:val="00DE0A4B"/>
    <w:rsid w:val="00DE2410"/>
    <w:rsid w:val="00DE2939"/>
    <w:rsid w:val="00DE3C48"/>
    <w:rsid w:val="00DE3C91"/>
    <w:rsid w:val="00DE6E81"/>
    <w:rsid w:val="00DE703F"/>
    <w:rsid w:val="00DE7595"/>
    <w:rsid w:val="00DF1961"/>
    <w:rsid w:val="00DF44DE"/>
    <w:rsid w:val="00E00394"/>
    <w:rsid w:val="00E0073A"/>
    <w:rsid w:val="00E00862"/>
    <w:rsid w:val="00E01138"/>
    <w:rsid w:val="00E02DFB"/>
    <w:rsid w:val="00E030F9"/>
    <w:rsid w:val="00E0311A"/>
    <w:rsid w:val="00E03138"/>
    <w:rsid w:val="00E06404"/>
    <w:rsid w:val="00E06E76"/>
    <w:rsid w:val="00E11A85"/>
    <w:rsid w:val="00E12495"/>
    <w:rsid w:val="00E128DA"/>
    <w:rsid w:val="00E12D7C"/>
    <w:rsid w:val="00E15CCD"/>
    <w:rsid w:val="00E202EF"/>
    <w:rsid w:val="00E210B5"/>
    <w:rsid w:val="00E2114C"/>
    <w:rsid w:val="00E220C9"/>
    <w:rsid w:val="00E2339B"/>
    <w:rsid w:val="00E23B6C"/>
    <w:rsid w:val="00E249DF"/>
    <w:rsid w:val="00E2552F"/>
    <w:rsid w:val="00E30C34"/>
    <w:rsid w:val="00E3137A"/>
    <w:rsid w:val="00E32CCF"/>
    <w:rsid w:val="00E332D0"/>
    <w:rsid w:val="00E34A98"/>
    <w:rsid w:val="00E35D1E"/>
    <w:rsid w:val="00E364F9"/>
    <w:rsid w:val="00E365FA"/>
    <w:rsid w:val="00E36789"/>
    <w:rsid w:val="00E376B4"/>
    <w:rsid w:val="00E37CD1"/>
    <w:rsid w:val="00E44A83"/>
    <w:rsid w:val="00E459AC"/>
    <w:rsid w:val="00E502C1"/>
    <w:rsid w:val="00E502DD"/>
    <w:rsid w:val="00E50D3A"/>
    <w:rsid w:val="00E51387"/>
    <w:rsid w:val="00E51E68"/>
    <w:rsid w:val="00E52EFD"/>
    <w:rsid w:val="00E5408A"/>
    <w:rsid w:val="00E54CBC"/>
    <w:rsid w:val="00E56800"/>
    <w:rsid w:val="00E60C63"/>
    <w:rsid w:val="00E62A90"/>
    <w:rsid w:val="00E62FF9"/>
    <w:rsid w:val="00E635D6"/>
    <w:rsid w:val="00E639BC"/>
    <w:rsid w:val="00E6494F"/>
    <w:rsid w:val="00E65406"/>
    <w:rsid w:val="00E664CC"/>
    <w:rsid w:val="00E70388"/>
    <w:rsid w:val="00E70F92"/>
    <w:rsid w:val="00E74313"/>
    <w:rsid w:val="00E74C54"/>
    <w:rsid w:val="00E77A03"/>
    <w:rsid w:val="00E822E8"/>
    <w:rsid w:val="00E82554"/>
    <w:rsid w:val="00E82606"/>
    <w:rsid w:val="00E831C1"/>
    <w:rsid w:val="00E846C8"/>
    <w:rsid w:val="00E84957"/>
    <w:rsid w:val="00E84A55"/>
    <w:rsid w:val="00E84B1D"/>
    <w:rsid w:val="00E84D72"/>
    <w:rsid w:val="00E84E91"/>
    <w:rsid w:val="00E85BFF"/>
    <w:rsid w:val="00E90391"/>
    <w:rsid w:val="00E906C2"/>
    <w:rsid w:val="00E9311F"/>
    <w:rsid w:val="00E934D1"/>
    <w:rsid w:val="00E93A41"/>
    <w:rsid w:val="00E94AF0"/>
    <w:rsid w:val="00E95D13"/>
    <w:rsid w:val="00E95DD3"/>
    <w:rsid w:val="00E969D5"/>
    <w:rsid w:val="00EA58D1"/>
    <w:rsid w:val="00EA61BC"/>
    <w:rsid w:val="00EA6562"/>
    <w:rsid w:val="00EA681A"/>
    <w:rsid w:val="00EA735B"/>
    <w:rsid w:val="00EB04F8"/>
    <w:rsid w:val="00EB1E69"/>
    <w:rsid w:val="00EB2086"/>
    <w:rsid w:val="00EB31ED"/>
    <w:rsid w:val="00EB5EDF"/>
    <w:rsid w:val="00EB60FE"/>
    <w:rsid w:val="00EB74DB"/>
    <w:rsid w:val="00EC06EA"/>
    <w:rsid w:val="00EC1822"/>
    <w:rsid w:val="00EC5359"/>
    <w:rsid w:val="00EC562A"/>
    <w:rsid w:val="00ED067A"/>
    <w:rsid w:val="00ED2B50"/>
    <w:rsid w:val="00ED3FDC"/>
    <w:rsid w:val="00ED4A16"/>
    <w:rsid w:val="00ED74DA"/>
    <w:rsid w:val="00EE0350"/>
    <w:rsid w:val="00EE0719"/>
    <w:rsid w:val="00EE0E80"/>
    <w:rsid w:val="00EE2D9B"/>
    <w:rsid w:val="00EE5DEB"/>
    <w:rsid w:val="00EE613F"/>
    <w:rsid w:val="00EE7295"/>
    <w:rsid w:val="00EE7869"/>
    <w:rsid w:val="00EF054A"/>
    <w:rsid w:val="00EF26EE"/>
    <w:rsid w:val="00EF2C5E"/>
    <w:rsid w:val="00EF3235"/>
    <w:rsid w:val="00EF3593"/>
    <w:rsid w:val="00EF5E0A"/>
    <w:rsid w:val="00EF6006"/>
    <w:rsid w:val="00EF7E72"/>
    <w:rsid w:val="00F00961"/>
    <w:rsid w:val="00F009C9"/>
    <w:rsid w:val="00F0257D"/>
    <w:rsid w:val="00F06731"/>
    <w:rsid w:val="00F06D37"/>
    <w:rsid w:val="00F06FD1"/>
    <w:rsid w:val="00F07B9D"/>
    <w:rsid w:val="00F11586"/>
    <w:rsid w:val="00F1183B"/>
    <w:rsid w:val="00F11C9F"/>
    <w:rsid w:val="00F12263"/>
    <w:rsid w:val="00F1409D"/>
    <w:rsid w:val="00F14214"/>
    <w:rsid w:val="00F157A9"/>
    <w:rsid w:val="00F16F00"/>
    <w:rsid w:val="00F20403"/>
    <w:rsid w:val="00F25BB6"/>
    <w:rsid w:val="00F26B7E"/>
    <w:rsid w:val="00F27A3B"/>
    <w:rsid w:val="00F32780"/>
    <w:rsid w:val="00F33817"/>
    <w:rsid w:val="00F420D5"/>
    <w:rsid w:val="00F43D3E"/>
    <w:rsid w:val="00F451EA"/>
    <w:rsid w:val="00F45447"/>
    <w:rsid w:val="00F454E5"/>
    <w:rsid w:val="00F456C6"/>
    <w:rsid w:val="00F4577B"/>
    <w:rsid w:val="00F46496"/>
    <w:rsid w:val="00F46BC7"/>
    <w:rsid w:val="00F474D0"/>
    <w:rsid w:val="00F50179"/>
    <w:rsid w:val="00F515EE"/>
    <w:rsid w:val="00F56511"/>
    <w:rsid w:val="00F6194E"/>
    <w:rsid w:val="00F623AC"/>
    <w:rsid w:val="00F6412A"/>
    <w:rsid w:val="00F647AE"/>
    <w:rsid w:val="00F65893"/>
    <w:rsid w:val="00F66A4A"/>
    <w:rsid w:val="00F70124"/>
    <w:rsid w:val="00F71E22"/>
    <w:rsid w:val="00F72142"/>
    <w:rsid w:val="00F72AE7"/>
    <w:rsid w:val="00F760EC"/>
    <w:rsid w:val="00F76C69"/>
    <w:rsid w:val="00F80FFD"/>
    <w:rsid w:val="00F816D6"/>
    <w:rsid w:val="00F819E9"/>
    <w:rsid w:val="00F833BA"/>
    <w:rsid w:val="00F84FD0"/>
    <w:rsid w:val="00F859A8"/>
    <w:rsid w:val="00F86837"/>
    <w:rsid w:val="00F86D2F"/>
    <w:rsid w:val="00F86D87"/>
    <w:rsid w:val="00F90A07"/>
    <w:rsid w:val="00F9108B"/>
    <w:rsid w:val="00F91349"/>
    <w:rsid w:val="00F93A8A"/>
    <w:rsid w:val="00F95248"/>
    <w:rsid w:val="00F956A9"/>
    <w:rsid w:val="00F963ED"/>
    <w:rsid w:val="00F966CF"/>
    <w:rsid w:val="00F96CAE"/>
    <w:rsid w:val="00F974AB"/>
    <w:rsid w:val="00F97C99"/>
    <w:rsid w:val="00FA0F6C"/>
    <w:rsid w:val="00FA662D"/>
    <w:rsid w:val="00FA697E"/>
    <w:rsid w:val="00FA73B1"/>
    <w:rsid w:val="00FA78AB"/>
    <w:rsid w:val="00FB0CB9"/>
    <w:rsid w:val="00FB1BED"/>
    <w:rsid w:val="00FB231D"/>
    <w:rsid w:val="00FB2E8C"/>
    <w:rsid w:val="00FB45F1"/>
    <w:rsid w:val="00FB4A72"/>
    <w:rsid w:val="00FB54E8"/>
    <w:rsid w:val="00FB7054"/>
    <w:rsid w:val="00FB7307"/>
    <w:rsid w:val="00FC175D"/>
    <w:rsid w:val="00FC17B7"/>
    <w:rsid w:val="00FC2CB7"/>
    <w:rsid w:val="00FC4090"/>
    <w:rsid w:val="00FC55B4"/>
    <w:rsid w:val="00FD00E6"/>
    <w:rsid w:val="00FD09A1"/>
    <w:rsid w:val="00FD2A7C"/>
    <w:rsid w:val="00FD4A3D"/>
    <w:rsid w:val="00FD59EB"/>
    <w:rsid w:val="00FD648E"/>
    <w:rsid w:val="00FD726C"/>
    <w:rsid w:val="00FD7299"/>
    <w:rsid w:val="00FD7A6B"/>
    <w:rsid w:val="00FE1FBE"/>
    <w:rsid w:val="00FE3901"/>
    <w:rsid w:val="00FE39D3"/>
    <w:rsid w:val="00FE4BCE"/>
    <w:rsid w:val="00FE54AE"/>
    <w:rsid w:val="00FE576A"/>
    <w:rsid w:val="00FE7E79"/>
    <w:rsid w:val="00FF3E7D"/>
    <w:rsid w:val="00FF4292"/>
    <w:rsid w:val="00FF4F56"/>
    <w:rsid w:val="00FF5B99"/>
    <w:rsid w:val="00FF6D0E"/>
    <w:rsid w:val="00FF730C"/>
    <w:rsid w:val="00FF73F4"/>
    <w:rsid w:val="00FF7CE4"/>
    <w:rsid w:val="00FF7E39"/>
    <w:rsid w:val="01186506"/>
    <w:rsid w:val="01624970"/>
    <w:rsid w:val="01A60743"/>
    <w:rsid w:val="01DC5AA9"/>
    <w:rsid w:val="01E90757"/>
    <w:rsid w:val="02025E58"/>
    <w:rsid w:val="027B5D80"/>
    <w:rsid w:val="028C7006"/>
    <w:rsid w:val="0320049B"/>
    <w:rsid w:val="040767C4"/>
    <w:rsid w:val="040776D7"/>
    <w:rsid w:val="040954ED"/>
    <w:rsid w:val="042B483D"/>
    <w:rsid w:val="043D1938"/>
    <w:rsid w:val="04BF3ADE"/>
    <w:rsid w:val="04CB0127"/>
    <w:rsid w:val="050063B7"/>
    <w:rsid w:val="05812237"/>
    <w:rsid w:val="05D15B15"/>
    <w:rsid w:val="06216C9C"/>
    <w:rsid w:val="06611E7C"/>
    <w:rsid w:val="06760E41"/>
    <w:rsid w:val="07184314"/>
    <w:rsid w:val="071C421B"/>
    <w:rsid w:val="07385832"/>
    <w:rsid w:val="075F6031"/>
    <w:rsid w:val="076B42B8"/>
    <w:rsid w:val="07927791"/>
    <w:rsid w:val="07972F2B"/>
    <w:rsid w:val="07975B34"/>
    <w:rsid w:val="07CE16DC"/>
    <w:rsid w:val="07E04D54"/>
    <w:rsid w:val="082C7FA2"/>
    <w:rsid w:val="087F2EBA"/>
    <w:rsid w:val="08E424E1"/>
    <w:rsid w:val="090D1CFD"/>
    <w:rsid w:val="09100669"/>
    <w:rsid w:val="094A56C8"/>
    <w:rsid w:val="095E2249"/>
    <w:rsid w:val="097F35A8"/>
    <w:rsid w:val="098766F4"/>
    <w:rsid w:val="0B2840E9"/>
    <w:rsid w:val="0B546536"/>
    <w:rsid w:val="0B7C6837"/>
    <w:rsid w:val="0B815238"/>
    <w:rsid w:val="0B8566B8"/>
    <w:rsid w:val="0BA53B2E"/>
    <w:rsid w:val="0BFE6C9A"/>
    <w:rsid w:val="0C272208"/>
    <w:rsid w:val="0C560CA8"/>
    <w:rsid w:val="0C7A2DE0"/>
    <w:rsid w:val="0C823D28"/>
    <w:rsid w:val="0C9717E3"/>
    <w:rsid w:val="0D0522AD"/>
    <w:rsid w:val="0D3B396A"/>
    <w:rsid w:val="0E0B5D8A"/>
    <w:rsid w:val="0E3F3599"/>
    <w:rsid w:val="0ECA4A79"/>
    <w:rsid w:val="0EF50A18"/>
    <w:rsid w:val="0F7C25E2"/>
    <w:rsid w:val="0FC450C6"/>
    <w:rsid w:val="1066012B"/>
    <w:rsid w:val="10A72FA3"/>
    <w:rsid w:val="11DF7584"/>
    <w:rsid w:val="11F528ED"/>
    <w:rsid w:val="12CD62EF"/>
    <w:rsid w:val="13A666E0"/>
    <w:rsid w:val="13BD4F46"/>
    <w:rsid w:val="13EF3C3E"/>
    <w:rsid w:val="14413219"/>
    <w:rsid w:val="14BE4234"/>
    <w:rsid w:val="14DA6349"/>
    <w:rsid w:val="14F37B3F"/>
    <w:rsid w:val="14F528D6"/>
    <w:rsid w:val="14F8138D"/>
    <w:rsid w:val="156A23B8"/>
    <w:rsid w:val="158422B9"/>
    <w:rsid w:val="158451C0"/>
    <w:rsid w:val="159E2C63"/>
    <w:rsid w:val="15DC7610"/>
    <w:rsid w:val="15E83749"/>
    <w:rsid w:val="1641391C"/>
    <w:rsid w:val="166B0357"/>
    <w:rsid w:val="16AA7661"/>
    <w:rsid w:val="16AC2C21"/>
    <w:rsid w:val="16B44D33"/>
    <w:rsid w:val="16BC293E"/>
    <w:rsid w:val="16FB220A"/>
    <w:rsid w:val="16FE45C5"/>
    <w:rsid w:val="17276151"/>
    <w:rsid w:val="17303A20"/>
    <w:rsid w:val="179E2DAF"/>
    <w:rsid w:val="17A5171C"/>
    <w:rsid w:val="18AB46E9"/>
    <w:rsid w:val="193F6E91"/>
    <w:rsid w:val="19465D55"/>
    <w:rsid w:val="196A46B9"/>
    <w:rsid w:val="19830288"/>
    <w:rsid w:val="19D4436C"/>
    <w:rsid w:val="1A552270"/>
    <w:rsid w:val="1A815342"/>
    <w:rsid w:val="1AA247E5"/>
    <w:rsid w:val="1B9C0C6A"/>
    <w:rsid w:val="1BD44D30"/>
    <w:rsid w:val="1BF04568"/>
    <w:rsid w:val="1C3E5861"/>
    <w:rsid w:val="1CAC44F0"/>
    <w:rsid w:val="1D5608D4"/>
    <w:rsid w:val="1D8042E1"/>
    <w:rsid w:val="1D860F9D"/>
    <w:rsid w:val="1DB44539"/>
    <w:rsid w:val="1DDE7065"/>
    <w:rsid w:val="1DE2316E"/>
    <w:rsid w:val="1E6E21E0"/>
    <w:rsid w:val="1F3C2B3F"/>
    <w:rsid w:val="1F5B3593"/>
    <w:rsid w:val="1FAF4A23"/>
    <w:rsid w:val="1FE52659"/>
    <w:rsid w:val="1FF140C6"/>
    <w:rsid w:val="20570E30"/>
    <w:rsid w:val="20664E02"/>
    <w:rsid w:val="20B8420E"/>
    <w:rsid w:val="21184C03"/>
    <w:rsid w:val="214410AE"/>
    <w:rsid w:val="214C1E8A"/>
    <w:rsid w:val="214D63B6"/>
    <w:rsid w:val="21662DDE"/>
    <w:rsid w:val="2183306E"/>
    <w:rsid w:val="21A654E8"/>
    <w:rsid w:val="21AC4A97"/>
    <w:rsid w:val="21AF6021"/>
    <w:rsid w:val="22294462"/>
    <w:rsid w:val="22970B49"/>
    <w:rsid w:val="22B32985"/>
    <w:rsid w:val="23143E0C"/>
    <w:rsid w:val="235F050E"/>
    <w:rsid w:val="23A221A9"/>
    <w:rsid w:val="24594F5D"/>
    <w:rsid w:val="248A1543"/>
    <w:rsid w:val="24900D0D"/>
    <w:rsid w:val="24A46BB3"/>
    <w:rsid w:val="25B02F79"/>
    <w:rsid w:val="2639768F"/>
    <w:rsid w:val="264C1531"/>
    <w:rsid w:val="26B94695"/>
    <w:rsid w:val="27B03FD1"/>
    <w:rsid w:val="28233866"/>
    <w:rsid w:val="28620794"/>
    <w:rsid w:val="28E055A3"/>
    <w:rsid w:val="28E263AC"/>
    <w:rsid w:val="28F91132"/>
    <w:rsid w:val="28FA0BB3"/>
    <w:rsid w:val="28FB6E3C"/>
    <w:rsid w:val="2904007E"/>
    <w:rsid w:val="2919153E"/>
    <w:rsid w:val="29DB666A"/>
    <w:rsid w:val="29E11288"/>
    <w:rsid w:val="29E452C9"/>
    <w:rsid w:val="2A3967B8"/>
    <w:rsid w:val="2A677739"/>
    <w:rsid w:val="2AD52E64"/>
    <w:rsid w:val="2BC502AE"/>
    <w:rsid w:val="2BE9422C"/>
    <w:rsid w:val="2C2027B4"/>
    <w:rsid w:val="2C5E2BCD"/>
    <w:rsid w:val="2C7B5463"/>
    <w:rsid w:val="2C95757A"/>
    <w:rsid w:val="2CC53257"/>
    <w:rsid w:val="2D7E07DD"/>
    <w:rsid w:val="2DCF3D31"/>
    <w:rsid w:val="2DFC65E7"/>
    <w:rsid w:val="2E0834DB"/>
    <w:rsid w:val="2E372688"/>
    <w:rsid w:val="2EDA5880"/>
    <w:rsid w:val="2EE1385D"/>
    <w:rsid w:val="2F736A12"/>
    <w:rsid w:val="3029023F"/>
    <w:rsid w:val="303224C4"/>
    <w:rsid w:val="30CC1A3F"/>
    <w:rsid w:val="30F55230"/>
    <w:rsid w:val="31DB42F6"/>
    <w:rsid w:val="31E2510D"/>
    <w:rsid w:val="32263D5F"/>
    <w:rsid w:val="326A2A2B"/>
    <w:rsid w:val="326F53C5"/>
    <w:rsid w:val="328E4EA1"/>
    <w:rsid w:val="32A12152"/>
    <w:rsid w:val="33087D71"/>
    <w:rsid w:val="33134E71"/>
    <w:rsid w:val="3331550C"/>
    <w:rsid w:val="333816AA"/>
    <w:rsid w:val="33B33916"/>
    <w:rsid w:val="341260F7"/>
    <w:rsid w:val="34775EB8"/>
    <w:rsid w:val="347D35A8"/>
    <w:rsid w:val="34F10849"/>
    <w:rsid w:val="352A44CA"/>
    <w:rsid w:val="354162DE"/>
    <w:rsid w:val="356E638F"/>
    <w:rsid w:val="358D06F3"/>
    <w:rsid w:val="35F10EFB"/>
    <w:rsid w:val="36682CF3"/>
    <w:rsid w:val="36936DA9"/>
    <w:rsid w:val="36EE152E"/>
    <w:rsid w:val="37043692"/>
    <w:rsid w:val="37406E76"/>
    <w:rsid w:val="37595392"/>
    <w:rsid w:val="379D7225"/>
    <w:rsid w:val="37D3298A"/>
    <w:rsid w:val="37EA17DA"/>
    <w:rsid w:val="38F34A4C"/>
    <w:rsid w:val="39370FDE"/>
    <w:rsid w:val="395632B0"/>
    <w:rsid w:val="39A9295A"/>
    <w:rsid w:val="39B43BCB"/>
    <w:rsid w:val="3A3130D5"/>
    <w:rsid w:val="3B710320"/>
    <w:rsid w:val="3B7213F4"/>
    <w:rsid w:val="3B907E13"/>
    <w:rsid w:val="3B950993"/>
    <w:rsid w:val="3BF94CD6"/>
    <w:rsid w:val="3C166D9A"/>
    <w:rsid w:val="3C34782E"/>
    <w:rsid w:val="3CA53D1A"/>
    <w:rsid w:val="3CA549DE"/>
    <w:rsid w:val="3CB76B29"/>
    <w:rsid w:val="3D1F6857"/>
    <w:rsid w:val="3D2E2245"/>
    <w:rsid w:val="3D6F5C6A"/>
    <w:rsid w:val="3D956BAE"/>
    <w:rsid w:val="3E123D30"/>
    <w:rsid w:val="3E8D67F1"/>
    <w:rsid w:val="3FE24CEC"/>
    <w:rsid w:val="3FE80450"/>
    <w:rsid w:val="40066116"/>
    <w:rsid w:val="401D732F"/>
    <w:rsid w:val="40477A06"/>
    <w:rsid w:val="40544939"/>
    <w:rsid w:val="40C51707"/>
    <w:rsid w:val="40C94933"/>
    <w:rsid w:val="40FC76BA"/>
    <w:rsid w:val="410C31D2"/>
    <w:rsid w:val="416740FC"/>
    <w:rsid w:val="41D07E64"/>
    <w:rsid w:val="41FC4387"/>
    <w:rsid w:val="42900673"/>
    <w:rsid w:val="4294348F"/>
    <w:rsid w:val="429F54CA"/>
    <w:rsid w:val="43076CD6"/>
    <w:rsid w:val="435F6DBE"/>
    <w:rsid w:val="43B9120A"/>
    <w:rsid w:val="43C06776"/>
    <w:rsid w:val="444400A1"/>
    <w:rsid w:val="451A7EFE"/>
    <w:rsid w:val="4543700E"/>
    <w:rsid w:val="45510972"/>
    <w:rsid w:val="45852136"/>
    <w:rsid w:val="46051B00"/>
    <w:rsid w:val="46296068"/>
    <w:rsid w:val="466E39E0"/>
    <w:rsid w:val="46E97F6B"/>
    <w:rsid w:val="47427551"/>
    <w:rsid w:val="47527669"/>
    <w:rsid w:val="4798452D"/>
    <w:rsid w:val="47A67C0A"/>
    <w:rsid w:val="47B1109F"/>
    <w:rsid w:val="48A0669D"/>
    <w:rsid w:val="48BF2D31"/>
    <w:rsid w:val="48E00EFA"/>
    <w:rsid w:val="49461683"/>
    <w:rsid w:val="4990782C"/>
    <w:rsid w:val="49B04CC4"/>
    <w:rsid w:val="49B22DBA"/>
    <w:rsid w:val="49E2149D"/>
    <w:rsid w:val="49F8647F"/>
    <w:rsid w:val="49FE0626"/>
    <w:rsid w:val="4AA62F9F"/>
    <w:rsid w:val="4AC33DB7"/>
    <w:rsid w:val="4AD90ADD"/>
    <w:rsid w:val="4AD94921"/>
    <w:rsid w:val="4AE23D4E"/>
    <w:rsid w:val="4AF917E4"/>
    <w:rsid w:val="4B0C04F1"/>
    <w:rsid w:val="4B373821"/>
    <w:rsid w:val="4B77489F"/>
    <w:rsid w:val="4CE070D4"/>
    <w:rsid w:val="4D2E008F"/>
    <w:rsid w:val="4D5900E7"/>
    <w:rsid w:val="4DB37C0B"/>
    <w:rsid w:val="4DBD1B0B"/>
    <w:rsid w:val="4DCF5942"/>
    <w:rsid w:val="4DEB4A5E"/>
    <w:rsid w:val="4E3F59DF"/>
    <w:rsid w:val="4F11005F"/>
    <w:rsid w:val="4F1B20A8"/>
    <w:rsid w:val="4F7C5A38"/>
    <w:rsid w:val="4F9B4994"/>
    <w:rsid w:val="4FDD3522"/>
    <w:rsid w:val="50D82998"/>
    <w:rsid w:val="518B635C"/>
    <w:rsid w:val="518D195B"/>
    <w:rsid w:val="51A23F69"/>
    <w:rsid w:val="51A71BCD"/>
    <w:rsid w:val="51BE7EB6"/>
    <w:rsid w:val="51D41A9B"/>
    <w:rsid w:val="51DB0783"/>
    <w:rsid w:val="51F85750"/>
    <w:rsid w:val="51FE0D6E"/>
    <w:rsid w:val="524A0300"/>
    <w:rsid w:val="52763068"/>
    <w:rsid w:val="5304323C"/>
    <w:rsid w:val="53883342"/>
    <w:rsid w:val="53B646D1"/>
    <w:rsid w:val="53C72A24"/>
    <w:rsid w:val="547603F7"/>
    <w:rsid w:val="54C471EA"/>
    <w:rsid w:val="54D6754F"/>
    <w:rsid w:val="54EB0CEC"/>
    <w:rsid w:val="55476388"/>
    <w:rsid w:val="556D0220"/>
    <w:rsid w:val="557716CB"/>
    <w:rsid w:val="557B0928"/>
    <w:rsid w:val="558B3B7E"/>
    <w:rsid w:val="55EF798F"/>
    <w:rsid w:val="564C7DF6"/>
    <w:rsid w:val="56752209"/>
    <w:rsid w:val="56770186"/>
    <w:rsid w:val="56800342"/>
    <w:rsid w:val="568020FC"/>
    <w:rsid w:val="56985DCD"/>
    <w:rsid w:val="56CB4F97"/>
    <w:rsid w:val="56E8138D"/>
    <w:rsid w:val="56F52281"/>
    <w:rsid w:val="572C2811"/>
    <w:rsid w:val="57853648"/>
    <w:rsid w:val="57AD3F96"/>
    <w:rsid w:val="581666E6"/>
    <w:rsid w:val="5890437C"/>
    <w:rsid w:val="589C325A"/>
    <w:rsid w:val="58A851CD"/>
    <w:rsid w:val="58E631E6"/>
    <w:rsid w:val="58FB757B"/>
    <w:rsid w:val="59505C28"/>
    <w:rsid w:val="5AD002D9"/>
    <w:rsid w:val="5AFD79D4"/>
    <w:rsid w:val="5B2F646E"/>
    <w:rsid w:val="5B7A197A"/>
    <w:rsid w:val="5B96396A"/>
    <w:rsid w:val="5BA922A1"/>
    <w:rsid w:val="5BAA6E73"/>
    <w:rsid w:val="5BC338AD"/>
    <w:rsid w:val="5BD20B76"/>
    <w:rsid w:val="5C031F8B"/>
    <w:rsid w:val="5C172697"/>
    <w:rsid w:val="5C655B81"/>
    <w:rsid w:val="5C6941D0"/>
    <w:rsid w:val="5CBE34C8"/>
    <w:rsid w:val="5CDC6150"/>
    <w:rsid w:val="5D1A1CFE"/>
    <w:rsid w:val="5D382706"/>
    <w:rsid w:val="5DB53153"/>
    <w:rsid w:val="5E057EDE"/>
    <w:rsid w:val="5E2907AA"/>
    <w:rsid w:val="5E421759"/>
    <w:rsid w:val="5E5520A5"/>
    <w:rsid w:val="5E7161BB"/>
    <w:rsid w:val="5E7277DA"/>
    <w:rsid w:val="5EB4379F"/>
    <w:rsid w:val="5EBB24AF"/>
    <w:rsid w:val="5ED96003"/>
    <w:rsid w:val="5F7F2125"/>
    <w:rsid w:val="5F8D4616"/>
    <w:rsid w:val="5FF9600D"/>
    <w:rsid w:val="60166968"/>
    <w:rsid w:val="606C5F06"/>
    <w:rsid w:val="60AC7DBB"/>
    <w:rsid w:val="60D45F95"/>
    <w:rsid w:val="61295756"/>
    <w:rsid w:val="61A94AF6"/>
    <w:rsid w:val="62334364"/>
    <w:rsid w:val="62475D15"/>
    <w:rsid w:val="62641BCB"/>
    <w:rsid w:val="629B41E9"/>
    <w:rsid w:val="63491714"/>
    <w:rsid w:val="63807B3D"/>
    <w:rsid w:val="63AA004F"/>
    <w:rsid w:val="63B63F59"/>
    <w:rsid w:val="63BE13EF"/>
    <w:rsid w:val="63C65543"/>
    <w:rsid w:val="646C5E1F"/>
    <w:rsid w:val="646C77B5"/>
    <w:rsid w:val="64CC5B14"/>
    <w:rsid w:val="6513023B"/>
    <w:rsid w:val="659B6E96"/>
    <w:rsid w:val="65FF7D9A"/>
    <w:rsid w:val="668E1A07"/>
    <w:rsid w:val="66AA273A"/>
    <w:rsid w:val="66B5206E"/>
    <w:rsid w:val="66EA142C"/>
    <w:rsid w:val="67591069"/>
    <w:rsid w:val="67AA2321"/>
    <w:rsid w:val="67E852CD"/>
    <w:rsid w:val="6820669D"/>
    <w:rsid w:val="6829061A"/>
    <w:rsid w:val="685A6BE0"/>
    <w:rsid w:val="68767F83"/>
    <w:rsid w:val="6879257D"/>
    <w:rsid w:val="68B860E6"/>
    <w:rsid w:val="68E56428"/>
    <w:rsid w:val="68EF2D67"/>
    <w:rsid w:val="68F927AE"/>
    <w:rsid w:val="68FE73CF"/>
    <w:rsid w:val="69200C09"/>
    <w:rsid w:val="692D4546"/>
    <w:rsid w:val="695E1C9B"/>
    <w:rsid w:val="69C574C2"/>
    <w:rsid w:val="6A417359"/>
    <w:rsid w:val="6A675268"/>
    <w:rsid w:val="6A750EFA"/>
    <w:rsid w:val="6B2D0CC8"/>
    <w:rsid w:val="6B377D68"/>
    <w:rsid w:val="6B920C8D"/>
    <w:rsid w:val="6BB360F8"/>
    <w:rsid w:val="6BB61694"/>
    <w:rsid w:val="6BEF0763"/>
    <w:rsid w:val="6C321D9C"/>
    <w:rsid w:val="6C6D2921"/>
    <w:rsid w:val="6C7F0F6A"/>
    <w:rsid w:val="6CA45340"/>
    <w:rsid w:val="6CBE7C2D"/>
    <w:rsid w:val="6D467F4B"/>
    <w:rsid w:val="6D7101EF"/>
    <w:rsid w:val="6DC56458"/>
    <w:rsid w:val="6DE21AAE"/>
    <w:rsid w:val="6E6F5EAC"/>
    <w:rsid w:val="6EC4333A"/>
    <w:rsid w:val="6F3D3AB7"/>
    <w:rsid w:val="6F453E29"/>
    <w:rsid w:val="6F5B6D37"/>
    <w:rsid w:val="6FA71F50"/>
    <w:rsid w:val="6FBA28B0"/>
    <w:rsid w:val="6FE3653D"/>
    <w:rsid w:val="6FEF368F"/>
    <w:rsid w:val="709B1841"/>
    <w:rsid w:val="70AB7959"/>
    <w:rsid w:val="70E5282C"/>
    <w:rsid w:val="70F037E6"/>
    <w:rsid w:val="716C67CB"/>
    <w:rsid w:val="71A207D6"/>
    <w:rsid w:val="71AD775D"/>
    <w:rsid w:val="71B77266"/>
    <w:rsid w:val="71EA25F3"/>
    <w:rsid w:val="726A2AAA"/>
    <w:rsid w:val="72A742F2"/>
    <w:rsid w:val="72B6460B"/>
    <w:rsid w:val="72FA3456"/>
    <w:rsid w:val="735E4A2E"/>
    <w:rsid w:val="73AA71DF"/>
    <w:rsid w:val="73BA645C"/>
    <w:rsid w:val="744B6DE7"/>
    <w:rsid w:val="746337E3"/>
    <w:rsid w:val="74C74B98"/>
    <w:rsid w:val="7536413E"/>
    <w:rsid w:val="75491A86"/>
    <w:rsid w:val="75671015"/>
    <w:rsid w:val="75776887"/>
    <w:rsid w:val="75C869D2"/>
    <w:rsid w:val="75DE71E0"/>
    <w:rsid w:val="76713991"/>
    <w:rsid w:val="77041B24"/>
    <w:rsid w:val="777621C9"/>
    <w:rsid w:val="778D11AD"/>
    <w:rsid w:val="783766EF"/>
    <w:rsid w:val="7859790A"/>
    <w:rsid w:val="7872306D"/>
    <w:rsid w:val="78754F57"/>
    <w:rsid w:val="789C2F54"/>
    <w:rsid w:val="78C61ADE"/>
    <w:rsid w:val="79142BE8"/>
    <w:rsid w:val="793E3EE5"/>
    <w:rsid w:val="79B7320B"/>
    <w:rsid w:val="79BF180D"/>
    <w:rsid w:val="79C42366"/>
    <w:rsid w:val="79D974FF"/>
    <w:rsid w:val="79E56DA4"/>
    <w:rsid w:val="7A770A62"/>
    <w:rsid w:val="7A8247F2"/>
    <w:rsid w:val="7A8C6771"/>
    <w:rsid w:val="7A9E3CE0"/>
    <w:rsid w:val="7AA5078F"/>
    <w:rsid w:val="7ACD53E6"/>
    <w:rsid w:val="7B3E16AA"/>
    <w:rsid w:val="7BE17FB3"/>
    <w:rsid w:val="7C0E45A1"/>
    <w:rsid w:val="7C296138"/>
    <w:rsid w:val="7C385F4F"/>
    <w:rsid w:val="7C790F3F"/>
    <w:rsid w:val="7D187856"/>
    <w:rsid w:val="7D4C0447"/>
    <w:rsid w:val="7D6514FE"/>
    <w:rsid w:val="7D6F1FA7"/>
    <w:rsid w:val="7DFE543A"/>
    <w:rsid w:val="7ED9201D"/>
    <w:rsid w:val="7F365AD4"/>
    <w:rsid w:val="7F547970"/>
    <w:rsid w:val="7F9F2870"/>
    <w:rsid w:val="7FCA6862"/>
    <w:rsid w:val="7FEE14C2"/>
    <w:rsid w:val="7FEF6182"/>
    <w:rsid w:val="7FF7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0"/>
    <w:pPr>
      <w:jc w:val="left"/>
    </w:pPr>
  </w:style>
  <w:style w:type="paragraph" w:styleId="14">
    <w:name w:val="Body Text"/>
    <w:basedOn w:val="1"/>
    <w:next w:val="15"/>
    <w:link w:val="89"/>
    <w:qFormat/>
    <w:uiPriority w:val="1"/>
    <w:pPr>
      <w:spacing w:after="120"/>
    </w:pPr>
  </w:style>
  <w:style w:type="paragraph" w:styleId="15">
    <w:name w:val="Title"/>
    <w:basedOn w:val="1"/>
    <w:link w:val="51"/>
    <w:qFormat/>
    <w:uiPriority w:val="0"/>
    <w:pPr>
      <w:spacing w:before="240" w:after="60"/>
      <w:jc w:val="center"/>
      <w:outlineLvl w:val="0"/>
    </w:pPr>
    <w:rPr>
      <w:rFonts w:ascii="Arial" w:hAnsi="Arial" w:cs="Arial"/>
      <w:b/>
      <w:bCs/>
      <w:sz w:val="32"/>
      <w:szCs w:val="32"/>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semiHidden/>
    <w:unhideWhenUsed/>
    <w:qFormat/>
    <w:uiPriority w:val="99"/>
    <w:rPr>
      <w:rFonts w:ascii="宋体" w:hAnsi="Courier New" w:cs="Courier New"/>
    </w:rPr>
  </w:style>
  <w:style w:type="paragraph" w:styleId="19">
    <w:name w:val="Date"/>
    <w:basedOn w:val="1"/>
    <w:next w:val="1"/>
    <w:link w:val="241"/>
    <w:semiHidden/>
    <w:unhideWhenUsed/>
    <w:qFormat/>
    <w:uiPriority w:val="99"/>
    <w:pPr>
      <w:ind w:left="100" w:leftChars="2500"/>
    </w:pPr>
  </w:style>
  <w:style w:type="paragraph" w:styleId="20">
    <w:name w:val="Balloon Text"/>
    <w:basedOn w:val="1"/>
    <w:link w:val="48"/>
    <w:semiHidden/>
    <w:unhideWhenUsed/>
    <w:qFormat/>
    <w:uiPriority w:val="99"/>
    <w:rPr>
      <w:sz w:val="18"/>
      <w:szCs w:val="18"/>
    </w:rPr>
  </w:style>
  <w:style w:type="paragraph" w:styleId="21">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6"/>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22"/>
    <w:qFormat/>
    <w:uiPriority w:val="99"/>
    <w:rPr>
      <w:kern w:val="2"/>
      <w:sz w:val="18"/>
      <w:szCs w:val="18"/>
    </w:rPr>
  </w:style>
  <w:style w:type="character" w:customStyle="1" w:styleId="47">
    <w:name w:val="页脚 Char"/>
    <w:link w:val="21"/>
    <w:qFormat/>
    <w:uiPriority w:val="99"/>
    <w:rPr>
      <w:rFonts w:ascii="宋体"/>
      <w:kern w:val="2"/>
      <w:sz w:val="18"/>
      <w:szCs w:val="18"/>
    </w:rPr>
  </w:style>
  <w:style w:type="character" w:customStyle="1" w:styleId="48">
    <w:name w:val="批注框文本 Char"/>
    <w:link w:val="20"/>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15"/>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5"/>
    <w:semiHidden/>
    <w:qFormat/>
    <w:uiPriority w:val="0"/>
    <w:rPr>
      <w:rFonts w:ascii="宋体"/>
      <w:kern w:val="2"/>
      <w:sz w:val="18"/>
      <w:szCs w:val="18"/>
    </w:rPr>
  </w:style>
  <w:style w:type="paragraph" w:customStyle="1" w:styleId="103">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1"/>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1"/>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qFormat/>
    <w:uiPriority w:val="0"/>
    <w:rPr>
      <w:rFonts w:ascii="黑体" w:eastAsia="黑体"/>
      <w:spacing w:val="85"/>
      <w:w w:val="100"/>
      <w:position w:val="3"/>
      <w:sz w:val="28"/>
      <w:szCs w:val="28"/>
    </w:rPr>
  </w:style>
  <w:style w:type="paragraph" w:customStyle="1" w:styleId="233">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34">
    <w:name w:val="一级条标题"/>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3"/>
    <w:qFormat/>
    <w:uiPriority w:val="0"/>
    <w:pPr>
      <w:numPr>
        <w:ilvl w:val="2"/>
      </w:numPr>
      <w:spacing w:before="50" w:after="50"/>
      <w:ind w:left="1417"/>
      <w:outlineLvl w:val="9"/>
    </w:pPr>
  </w:style>
  <w:style w:type="paragraph" w:customStyle="1" w:styleId="237">
    <w:name w:val="正文表标题"/>
    <w:next w:val="233"/>
    <w:qFormat/>
    <w:uiPriority w:val="0"/>
    <w:pPr>
      <w:numPr>
        <w:ilvl w:val="1"/>
        <w:numId w:val="33"/>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styleId="238">
    <w:name w:val="List Paragraph"/>
    <w:basedOn w:val="1"/>
    <w:qFormat/>
    <w:uiPriority w:val="1"/>
    <w:pPr>
      <w:ind w:firstLine="420" w:firstLineChars="200"/>
    </w:pPr>
  </w:style>
  <w:style w:type="paragraph" w:customStyle="1" w:styleId="239">
    <w:name w:val="三级条标题"/>
    <w:basedOn w:val="236"/>
    <w:next w:val="233"/>
    <w:qFormat/>
    <w:uiPriority w:val="0"/>
    <w:pPr>
      <w:numPr>
        <w:ilvl w:val="3"/>
      </w:numPr>
    </w:pPr>
    <w:rPr>
      <w:rFonts w:hAnsi="黑体"/>
    </w:rPr>
  </w:style>
  <w:style w:type="paragraph" w:customStyle="1" w:styleId="240">
    <w:name w:val="数字编号列项（二级）"/>
    <w:qFormat/>
    <w:uiPriority w:val="0"/>
    <w:pPr>
      <w:numPr>
        <w:ilvl w:val="1"/>
        <w:numId w:val="34"/>
      </w:numPr>
      <w:jc w:val="both"/>
    </w:pPr>
    <w:rPr>
      <w:rFonts w:ascii="宋体" w:hAnsi="Times New Roman" w:eastAsia="宋体" w:cs="Times New Roman"/>
      <w:sz w:val="21"/>
      <w:lang w:val="en-US" w:eastAsia="zh-CN" w:bidi="ar-SA"/>
    </w:rPr>
  </w:style>
  <w:style w:type="character" w:customStyle="1" w:styleId="241">
    <w:name w:val="日期 Char"/>
    <w:basedOn w:val="31"/>
    <w:link w:val="19"/>
    <w:semiHidden/>
    <w:qFormat/>
    <w:uiPriority w:val="99"/>
    <w:rPr>
      <w:rFonts w:ascii="Calibri" w:hAnsi="Calibri"/>
      <w:kern w:val="2"/>
      <w:sz w:val="21"/>
      <w:szCs w:val="21"/>
    </w:rPr>
  </w:style>
  <w:style w:type="paragraph" w:customStyle="1" w:styleId="242">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43">
    <w:name w:val="TABLE-cell"/>
    <w:basedOn w:val="1"/>
    <w:qFormat/>
    <w:uiPriority w:val="0"/>
    <w:pPr>
      <w:widowControl/>
      <w:adjustRightInd/>
      <w:spacing w:before="60" w:after="60" w:line="240" w:lineRule="auto"/>
      <w:jc w:val="left"/>
    </w:pPr>
    <w:rPr>
      <w:rFonts w:ascii="Arial" w:hAnsi="Arial"/>
      <w:spacing w:val="8"/>
      <w:kern w:val="0"/>
      <w:sz w:val="16"/>
      <w:szCs w:val="20"/>
      <w:lang w:val="en-GB" w:eastAsia="en-US"/>
    </w:rPr>
  </w:style>
  <w:style w:type="paragraph" w:customStyle="1" w:styleId="244">
    <w:name w:val="附录标识"/>
    <w:basedOn w:val="245"/>
    <w:next w:val="233"/>
    <w:qFormat/>
    <w:uiPriority w:val="0"/>
    <w:pPr>
      <w:keepNext/>
      <w:widowControl/>
      <w:numPr>
        <w:ilvl w:val="0"/>
        <w:numId w:val="3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45">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Heading 5"/>
    <w:basedOn w:val="1"/>
    <w:qFormat/>
    <w:uiPriority w:val="1"/>
    <w:pPr>
      <w:autoSpaceDE w:val="0"/>
      <w:autoSpaceDN w:val="0"/>
      <w:adjustRightInd/>
      <w:spacing w:line="240" w:lineRule="auto"/>
      <w:jc w:val="left"/>
      <w:outlineLvl w:val="5"/>
    </w:pPr>
    <w:rPr>
      <w:rFonts w:ascii="Times New Roman" w:hAnsi="Times New Roman" w:eastAsia="Times New Roman"/>
      <w:kern w:val="0"/>
      <w:sz w:val="23"/>
      <w:szCs w:val="23"/>
      <w:lang w:eastAsia="en-US"/>
    </w:rPr>
  </w:style>
  <w:style w:type="paragraph" w:customStyle="1" w:styleId="248">
    <w:name w:val="Table Paragraph"/>
    <w:basedOn w:val="1"/>
    <w:qFormat/>
    <w:uiPriority w:val="1"/>
    <w:pPr>
      <w:autoSpaceDE w:val="0"/>
      <w:autoSpaceDN w:val="0"/>
      <w:adjustRightInd/>
      <w:spacing w:line="240" w:lineRule="auto"/>
      <w:jc w:val="center"/>
    </w:pPr>
    <w:rPr>
      <w:rFonts w:ascii="Times New Roman" w:hAnsi="Times New Roman" w:eastAsia="Times New Roman"/>
      <w:kern w:val="0"/>
      <w:sz w:val="22"/>
      <w:szCs w:val="22"/>
      <w:lang w:eastAsia="en-US"/>
    </w:rPr>
  </w:style>
  <w:style w:type="paragraph" w:customStyle="1" w:styleId="249">
    <w:name w:val="目次、标准名称标题"/>
    <w:basedOn w:val="1"/>
    <w:next w:val="233"/>
    <w:qFormat/>
    <w:uiPriority w:val="0"/>
    <w:pPr>
      <w:keepNext/>
      <w:pageBreakBefore/>
      <w:shd w:val="clear" w:color="FFFFFF" w:fill="FFFFFF"/>
      <w:spacing w:before="640" w:after="560" w:line="460" w:lineRule="exact"/>
      <w:jc w:val="center"/>
      <w:outlineLvl w:val="0"/>
    </w:pPr>
    <w:rPr>
      <w:rFonts w:ascii="黑体" w:eastAsia="黑体"/>
      <w:sz w:val="32"/>
    </w:rPr>
  </w:style>
  <w:style w:type="paragraph" w:customStyle="1" w:styleId="250">
    <w:name w:val="字母编号列项（一级）"/>
    <w:qFormat/>
    <w:uiPriority w:val="0"/>
    <w:p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CBF461B8524E0C8E8FFD034A3EA620"/>
        <w:style w:val=""/>
        <w:category>
          <w:name w:val="常规"/>
          <w:gallery w:val="placeholder"/>
        </w:category>
        <w:types>
          <w:type w:val="bbPlcHdr"/>
        </w:types>
        <w:behaviors>
          <w:behavior w:val="content"/>
        </w:behaviors>
        <w:description w:val=""/>
        <w:guid w:val="{0739AB00-DDBA-49E7-9004-5F817661F4EA}"/>
      </w:docPartPr>
      <w:docPartBody>
        <w:p w14:paraId="2B609169">
          <w:pPr>
            <w:pStyle w:val="5"/>
          </w:pPr>
          <w:r>
            <w:rPr>
              <w:rStyle w:val="4"/>
              <w:rFonts w:hint="eastAsia"/>
            </w:rPr>
            <w:t>单击或点击此处输入文字。</w:t>
          </w:r>
        </w:p>
      </w:docPartBody>
    </w:docPart>
    <w:docPart>
      <w:docPartPr>
        <w:name w:val="1AE70135FD834ABC837D5BB1B249C901"/>
        <w:style w:val=""/>
        <w:category>
          <w:name w:val="常规"/>
          <w:gallery w:val="placeholder"/>
        </w:category>
        <w:types>
          <w:type w:val="bbPlcHdr"/>
        </w:types>
        <w:behaviors>
          <w:behavior w:val="content"/>
        </w:behaviors>
        <w:description w:val=""/>
        <w:guid w:val="{75E8B980-620D-423F-869F-0FC760E320FD}"/>
      </w:docPartPr>
      <w:docPartBody>
        <w:p w14:paraId="25D5950C">
          <w:pPr>
            <w:pStyle w:val="6"/>
          </w:pPr>
          <w:r>
            <w:rPr>
              <w:rStyle w:val="4"/>
              <w:rFonts w:hint="eastAsia"/>
            </w:rPr>
            <w:t>选择一项。</w:t>
          </w:r>
        </w:p>
      </w:docPartBody>
    </w:docPart>
    <w:docPart>
      <w:docPartPr>
        <w:name w:val="8371590E737F47AFA03D56031C5E8076"/>
        <w:style w:val=""/>
        <w:category>
          <w:name w:val="常规"/>
          <w:gallery w:val="placeholder"/>
        </w:category>
        <w:types>
          <w:type w:val="bbPlcHdr"/>
        </w:types>
        <w:behaviors>
          <w:behavior w:val="content"/>
        </w:behaviors>
        <w:description w:val=""/>
        <w:guid w:val="{FCC0C031-76A9-4AF0-9ACF-AC84954050D8}"/>
      </w:docPartPr>
      <w:docPartBody>
        <w:p w14:paraId="56CAED0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E617E"/>
    <w:rsid w:val="00057FDF"/>
    <w:rsid w:val="000F79F8"/>
    <w:rsid w:val="001F2623"/>
    <w:rsid w:val="00302ABF"/>
    <w:rsid w:val="00306EA5"/>
    <w:rsid w:val="0041767C"/>
    <w:rsid w:val="004856E2"/>
    <w:rsid w:val="005342E9"/>
    <w:rsid w:val="005957DD"/>
    <w:rsid w:val="005B0D9E"/>
    <w:rsid w:val="0062204C"/>
    <w:rsid w:val="00695F75"/>
    <w:rsid w:val="006B3CA4"/>
    <w:rsid w:val="007F3784"/>
    <w:rsid w:val="008770BB"/>
    <w:rsid w:val="008E617E"/>
    <w:rsid w:val="00974BFA"/>
    <w:rsid w:val="00984FFF"/>
    <w:rsid w:val="009927AD"/>
    <w:rsid w:val="009F6342"/>
    <w:rsid w:val="00A51D96"/>
    <w:rsid w:val="00A80D5B"/>
    <w:rsid w:val="00BD0CD4"/>
    <w:rsid w:val="00BE32ED"/>
    <w:rsid w:val="00C712A0"/>
    <w:rsid w:val="00CE1F17"/>
    <w:rsid w:val="00DB0CDF"/>
    <w:rsid w:val="00EF11C2"/>
    <w:rsid w:val="00F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CCBF461B8524E0C8E8FFD034A3EA6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AE70135FD834ABC837D5BB1B249C9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371590E737F47AFA03D56031C5E807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F0275-79B9-4EE0-A202-83715005319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3560</Words>
  <Characters>4436</Characters>
  <Lines>48</Lines>
  <Paragraphs>13</Paragraphs>
  <TotalTime>1</TotalTime>
  <ScaleCrop>false</ScaleCrop>
  <LinksUpToDate>false</LinksUpToDate>
  <CharactersWithSpaces>4652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2023-10-31T02:54:00Z</dcterms:created>
  <dc:creator>xiao'mi'wu</dc:creator>
  <dc:description>&lt;config cover="true" show_menu="true" version="1.0.0" doctype="SDKXY"&gt;_x000d_
&lt;/config&gt;</dc:description>
  <cp:lastModifiedBy>金鑫</cp:lastModifiedBy>
  <cp:lastPrinted>2023-10-31T08:57:00Z</cp:lastPrinted>
  <dcterms:modified xsi:type="dcterms:W3CDTF">2025-09-22T07:05:57Z</dcterms:modified>
  <dc:title>团体标准</dc:title>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326F4AE642FD41F4A9C323C2AF11B50A_13</vt:lpwstr>
  </property>
  <property fmtid="{D5CDD505-2E9C-101B-9397-08002B2CF9AE}" pid="16" name="DoublePage">
    <vt:lpwstr>true</vt:lpwstr>
  </property>
  <property fmtid="{D5CDD505-2E9C-101B-9397-08002B2CF9AE}" pid="17" name="KSOTemplateDocerSaveRecord">
    <vt:lpwstr>eyJoZGlkIjoiOTJkNzE3MzJmZGU1YTg4ZmE0NjBlZTViNWY5ZmUyZjQiLCJ1c2VySWQiOiIxNDQ1MTQ3Nzk3In0=</vt:lpwstr>
  </property>
</Properties>
</file>