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D8F22">
      <w:pPr>
        <w:pStyle w:val="2"/>
        <w:jc w:val="center"/>
        <w:rPr>
          <w:rFonts w:hint="eastAsia" w:ascii="Times New Roman" w:hAnsi="Times New Roman" w:eastAsia="黑体" w:cs="Times New Roman"/>
          <w:sz w:val="52"/>
          <w:szCs w:val="52"/>
        </w:rPr>
      </w:pPr>
      <w:r>
        <w:rPr>
          <w:rFonts w:hint="eastAsia" w:ascii="Times New Roman" w:hAnsi="Times New Roman" w:eastAsia="黑体" w:cs="Times New Roman"/>
          <w:sz w:val="52"/>
          <w:szCs w:val="52"/>
        </w:rPr>
        <w:t>中国仪器仪表行业协会团体标准</w:t>
      </w:r>
    </w:p>
    <w:p w14:paraId="34D5C08D">
      <w:pPr>
        <w:rPr>
          <w:rFonts w:ascii="Times New Roman" w:hAnsi="Times New Roman" w:eastAsia="黑体"/>
          <w:sz w:val="52"/>
          <w:szCs w:val="52"/>
        </w:rPr>
      </w:pPr>
    </w:p>
    <w:p w14:paraId="2A910E21">
      <w:pPr>
        <w:rPr>
          <w:rFonts w:ascii="Times New Roman" w:hAnsi="Times New Roman" w:eastAsia="黑体"/>
          <w:sz w:val="52"/>
          <w:szCs w:val="52"/>
        </w:rPr>
      </w:pPr>
    </w:p>
    <w:p w14:paraId="753BA98A">
      <w:pPr>
        <w:jc w:val="center"/>
        <w:rPr>
          <w:rFonts w:hint="eastAsia" w:ascii="Times New Roman" w:hAnsi="Times New Roman" w:eastAsia="宋体" w:cs="Times New Roman"/>
          <w:b/>
          <w:bCs/>
          <w:kern w:val="44"/>
          <w:sz w:val="48"/>
          <w:szCs w:val="48"/>
          <w:lang w:val="en-US" w:eastAsia="zh-CN" w:bidi="ar-SA"/>
        </w:rPr>
      </w:pPr>
      <w:r>
        <w:rPr>
          <w:rFonts w:hint="eastAsia" w:ascii="Times New Roman" w:hAnsi="Times New Roman" w:eastAsia="宋体" w:cs="Times New Roman"/>
          <w:b/>
          <w:bCs/>
          <w:kern w:val="44"/>
          <w:sz w:val="48"/>
          <w:szCs w:val="48"/>
          <w:lang w:val="en-US" w:eastAsia="zh-CN" w:bidi="ar-SA"/>
        </w:rPr>
        <w:t xml:space="preserve">《基于电力流的碳排放计量 </w:t>
      </w:r>
      <w:bookmarkStart w:id="3" w:name="_GoBack"/>
      <w:bookmarkEnd w:id="3"/>
      <w:r>
        <w:rPr>
          <w:rFonts w:hint="eastAsia" w:ascii="Times New Roman" w:hAnsi="Times New Roman" w:eastAsia="宋体" w:cs="Times New Roman"/>
          <w:b/>
          <w:bCs/>
          <w:kern w:val="44"/>
          <w:sz w:val="48"/>
          <w:szCs w:val="48"/>
          <w:lang w:val="en-US" w:eastAsia="zh-CN" w:bidi="ar-SA"/>
        </w:rPr>
        <w:t>第</w:t>
      </w:r>
      <w:r>
        <w:rPr>
          <w:rFonts w:hint="eastAsia" w:ascii="Times New Roman" w:hAnsi="Times New Roman" w:cs="Times New Roman"/>
          <w:b/>
          <w:bCs/>
          <w:kern w:val="44"/>
          <w:sz w:val="48"/>
          <w:szCs w:val="48"/>
          <w:lang w:val="en-US" w:eastAsia="zh-CN" w:bidi="ar-SA"/>
        </w:rPr>
        <w:t>5</w:t>
      </w:r>
      <w:r>
        <w:rPr>
          <w:rFonts w:hint="eastAsia" w:ascii="Times New Roman" w:hAnsi="Times New Roman" w:eastAsia="宋体" w:cs="Times New Roman"/>
          <w:b/>
          <w:bCs/>
          <w:kern w:val="44"/>
          <w:sz w:val="48"/>
          <w:szCs w:val="48"/>
          <w:lang w:val="en-US" w:eastAsia="zh-CN" w:bidi="ar-SA"/>
        </w:rPr>
        <w:t>部分：</w:t>
      </w:r>
    </w:p>
    <w:p w14:paraId="54C93D7E">
      <w:pPr>
        <w:jc w:val="center"/>
        <w:rPr>
          <w:rFonts w:hint="eastAsia" w:ascii="Times New Roman" w:hAnsi="Times New Roman" w:eastAsia="宋体" w:cs="Times New Roman"/>
          <w:b/>
          <w:bCs/>
          <w:kern w:val="44"/>
          <w:sz w:val="48"/>
          <w:szCs w:val="48"/>
          <w:lang w:val="en-US" w:eastAsia="zh-CN" w:bidi="ar-SA"/>
        </w:rPr>
      </w:pPr>
      <w:r>
        <w:rPr>
          <w:rFonts w:hint="eastAsia" w:ascii="Times New Roman" w:hAnsi="Times New Roman" w:eastAsia="宋体" w:cs="Times New Roman"/>
          <w:b/>
          <w:bCs/>
          <w:kern w:val="44"/>
          <w:sz w:val="48"/>
          <w:szCs w:val="48"/>
          <w:lang w:val="en-US" w:eastAsia="zh-CN" w:bidi="ar-SA"/>
        </w:rPr>
        <w:t>计量</w:t>
      </w:r>
      <w:r>
        <w:rPr>
          <w:rFonts w:hint="eastAsia" w:ascii="Times New Roman" w:hAnsi="Times New Roman" w:cs="Times New Roman"/>
          <w:b/>
          <w:bCs/>
          <w:kern w:val="44"/>
          <w:sz w:val="48"/>
          <w:szCs w:val="48"/>
          <w:lang w:val="en-US" w:eastAsia="zh-CN" w:bidi="ar-SA"/>
        </w:rPr>
        <w:t>系统建设指南</w:t>
      </w:r>
      <w:r>
        <w:rPr>
          <w:rFonts w:hint="eastAsia" w:ascii="Times New Roman" w:hAnsi="Times New Roman" w:eastAsia="宋体" w:cs="Times New Roman"/>
          <w:b/>
          <w:bCs/>
          <w:kern w:val="44"/>
          <w:sz w:val="48"/>
          <w:szCs w:val="48"/>
          <w:lang w:val="en-US" w:eastAsia="zh-CN" w:bidi="ar-SA"/>
        </w:rPr>
        <w:t>》</w:t>
      </w:r>
    </w:p>
    <w:p w14:paraId="62F2CF8E">
      <w:pPr>
        <w:rPr>
          <w:rFonts w:ascii="Times New Roman" w:hAnsi="Times New Roman"/>
          <w:sz w:val="32"/>
          <w:szCs w:val="32"/>
        </w:rPr>
      </w:pPr>
    </w:p>
    <w:p w14:paraId="65811281">
      <w:pPr>
        <w:rPr>
          <w:rFonts w:ascii="Times New Roman" w:hAnsi="Times New Roman"/>
          <w:sz w:val="32"/>
          <w:szCs w:val="32"/>
        </w:rPr>
      </w:pPr>
    </w:p>
    <w:p w14:paraId="18354128">
      <w:pPr>
        <w:rPr>
          <w:rFonts w:ascii="Times New Roman" w:hAnsi="Times New Roman"/>
          <w:sz w:val="32"/>
          <w:szCs w:val="32"/>
        </w:rPr>
      </w:pPr>
    </w:p>
    <w:p w14:paraId="73CEDD9E">
      <w:pPr>
        <w:pStyle w:val="2"/>
        <w:jc w:val="center"/>
        <w:rPr>
          <w:rFonts w:hint="eastAsia" w:ascii="黑体" w:hAnsi="黑体" w:eastAsia="黑体"/>
          <w:b w:val="0"/>
        </w:rPr>
      </w:pPr>
      <w:r>
        <w:rPr>
          <w:rFonts w:ascii="黑体" w:hAnsi="黑体" w:eastAsia="黑体"/>
          <w:b w:val="0"/>
        </w:rPr>
        <w:t>编制说明</w:t>
      </w:r>
    </w:p>
    <w:p w14:paraId="3AA83ECD">
      <w:pPr>
        <w:jc w:val="center"/>
        <w:rPr>
          <w:b/>
          <w:sz w:val="32"/>
          <w:szCs w:val="32"/>
          <w:lang w:val="zh-CN"/>
        </w:rPr>
      </w:pPr>
    </w:p>
    <w:p w14:paraId="4E83CDA2">
      <w:pPr>
        <w:jc w:val="center"/>
        <w:rPr>
          <w:b/>
          <w:sz w:val="32"/>
          <w:szCs w:val="32"/>
          <w:lang w:val="zh-CN"/>
        </w:rPr>
      </w:pPr>
    </w:p>
    <w:p w14:paraId="54BB18B8">
      <w:pPr>
        <w:jc w:val="center"/>
        <w:rPr>
          <w:b/>
          <w:sz w:val="32"/>
          <w:szCs w:val="32"/>
          <w:lang w:val="zh-CN"/>
        </w:rPr>
      </w:pPr>
    </w:p>
    <w:p w14:paraId="7870B8D5">
      <w:pPr>
        <w:jc w:val="center"/>
        <w:rPr>
          <w:b/>
          <w:sz w:val="32"/>
          <w:szCs w:val="32"/>
          <w:lang w:val="zh-CN"/>
        </w:rPr>
      </w:pPr>
      <w:r>
        <w:rPr>
          <w:b/>
          <w:sz w:val="32"/>
          <w:szCs w:val="32"/>
          <w:lang w:val="zh-CN"/>
        </w:rPr>
        <w:t>（</w:t>
      </w:r>
      <w:r>
        <w:rPr>
          <w:rFonts w:hint="eastAsia"/>
          <w:b/>
          <w:sz w:val="32"/>
          <w:szCs w:val="32"/>
          <w:lang w:val="zh-CN"/>
        </w:rPr>
        <w:t>征求意见</w:t>
      </w:r>
      <w:r>
        <w:rPr>
          <w:b/>
          <w:sz w:val="32"/>
          <w:szCs w:val="32"/>
          <w:lang w:val="zh-CN"/>
        </w:rPr>
        <w:t>稿）</w:t>
      </w:r>
    </w:p>
    <w:p w14:paraId="0E06472D">
      <w:pPr>
        <w:jc w:val="center"/>
        <w:rPr>
          <w:rFonts w:hint="default" w:eastAsia="宋体"/>
          <w:b/>
          <w:sz w:val="32"/>
          <w:szCs w:val="32"/>
          <w:lang w:val="en-US" w:eastAsia="zh-CN"/>
        </w:rPr>
      </w:pPr>
      <w:r>
        <w:rPr>
          <w:rFonts w:hint="eastAsia"/>
          <w:b/>
          <w:sz w:val="32"/>
          <w:szCs w:val="32"/>
        </w:rPr>
        <w:t>202</w:t>
      </w:r>
      <w:r>
        <w:rPr>
          <w:rFonts w:hint="eastAsia"/>
          <w:b/>
          <w:sz w:val="32"/>
          <w:szCs w:val="32"/>
          <w:lang w:val="en-US" w:eastAsia="zh-CN"/>
        </w:rPr>
        <w:t>50922</w:t>
      </w:r>
    </w:p>
    <w:p w14:paraId="3D7118A0">
      <w:pPr>
        <w:pStyle w:val="22"/>
        <w:ind w:firstLine="0" w:firstLineChars="0"/>
        <w:jc w:val="center"/>
        <w:rPr>
          <w:rFonts w:hint="eastAsia" w:ascii="黑体" w:hAnsi="黑体" w:eastAsia="黑体" w:cs="黑体"/>
          <w:sz w:val="28"/>
          <w:szCs w:val="28"/>
        </w:rPr>
      </w:pPr>
    </w:p>
    <w:p w14:paraId="6398C8D8">
      <w:pPr>
        <w:pStyle w:val="22"/>
        <w:ind w:firstLine="1400" w:firstLineChars="500"/>
        <w:jc w:val="left"/>
        <w:rPr>
          <w:rFonts w:hint="eastAsia" w:ascii="黑体" w:hAnsi="黑体" w:eastAsia="黑体" w:cs="黑体"/>
          <w:sz w:val="28"/>
          <w:szCs w:val="28"/>
        </w:rPr>
      </w:pPr>
    </w:p>
    <w:p w14:paraId="591318EB">
      <w:pPr>
        <w:pStyle w:val="24"/>
        <w:spacing w:before="360" w:after="360"/>
        <w:rPr>
          <w:rFonts w:hint="eastAsia" w:hAnsi="黑体" w:cs="黑体"/>
          <w:shd w:val="clear" w:color="auto" w:fill="FFFFFF"/>
        </w:rPr>
        <w:sectPr>
          <w:pgSz w:w="11906" w:h="16838"/>
          <w:pgMar w:top="1440" w:right="1800" w:bottom="1440" w:left="1800" w:header="851" w:footer="992" w:gutter="0"/>
          <w:cols w:space="720" w:num="1"/>
          <w:docGrid w:type="lines" w:linePitch="312" w:charSpace="0"/>
        </w:sectPr>
      </w:pPr>
    </w:p>
    <w:p w14:paraId="7789EF35">
      <w:pPr>
        <w:pStyle w:val="3"/>
        <w:spacing w:line="40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一、</w:t>
      </w:r>
      <w:r>
        <w:rPr>
          <w:rFonts w:cs="黑体" w:asciiTheme="majorEastAsia" w:hAnsiTheme="majorEastAsia" w:eastAsiaTheme="majorEastAsia"/>
          <w:sz w:val="28"/>
          <w:szCs w:val="28"/>
        </w:rPr>
        <w:t xml:space="preserve"> </w:t>
      </w:r>
      <w:r>
        <w:rPr>
          <w:rFonts w:hint="eastAsia" w:cs="黑体" w:asciiTheme="majorEastAsia" w:hAnsiTheme="majorEastAsia" w:eastAsiaTheme="majorEastAsia"/>
          <w:sz w:val="28"/>
          <w:szCs w:val="28"/>
        </w:rPr>
        <w:t>工作简况</w:t>
      </w:r>
    </w:p>
    <w:p w14:paraId="5EA8B225">
      <w:pPr>
        <w:pStyle w:val="3"/>
        <w:spacing w:line="400" w:lineRule="exact"/>
        <w:rPr>
          <w:rFonts w:hint="eastAsia" w:asciiTheme="majorEastAsia" w:hAnsiTheme="majorEastAsia" w:eastAsiaTheme="majorEastAsia" w:cstheme="majorEastAsia"/>
          <w:b w:val="0"/>
          <w:bCs w:val="0"/>
          <w:color w:val="auto"/>
          <w:kern w:val="2"/>
          <w:sz w:val="24"/>
          <w:szCs w:val="24"/>
          <w:lang w:val="en-US" w:eastAsia="zh-CN" w:bidi="ar-SA"/>
        </w:rPr>
      </w:pPr>
      <w:r>
        <w:rPr>
          <w:rFonts w:ascii="宋体" w:hAnsi="宋体" w:cs="宋体"/>
          <w:sz w:val="28"/>
          <w:szCs w:val="28"/>
        </w:rPr>
        <w:t>1</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任务来源</w:t>
      </w:r>
    </w:p>
    <w:p w14:paraId="367B6E89">
      <w:pPr>
        <w:pStyle w:val="52"/>
        <w:spacing w:line="360" w:lineRule="auto"/>
        <w:ind w:firstLine="480"/>
        <w:rPr>
          <w:rFonts w:hint="eastAsia" w:ascii="Times New Roman" w:hAnsi="Times New Roman"/>
          <w:sz w:val="24"/>
          <w:szCs w:val="24"/>
        </w:rPr>
      </w:pPr>
      <w:r>
        <w:rPr>
          <w:rFonts w:hint="eastAsia" w:asciiTheme="majorEastAsia" w:hAnsiTheme="majorEastAsia" w:eastAsiaTheme="majorEastAsia" w:cstheme="majorEastAsia"/>
          <w:color w:val="auto"/>
          <w:sz w:val="24"/>
          <w:szCs w:val="24"/>
          <w:lang w:val="en-US" w:eastAsia="zh-CN"/>
        </w:rPr>
        <w:t>本团体标准根据中国仪器仪表行业协会《关于&lt;反窃电智能诊断模型评价导则&gt;等10项团体标准立项的批复》（中仪协﹝2025﹞2号）文件立项，</w:t>
      </w:r>
      <w:r>
        <w:rPr>
          <w:rFonts w:hint="eastAsia" w:ascii="Times New Roman" w:hAnsi="Times New Roman" w:eastAsiaTheme="majorEastAsia"/>
          <w:sz w:val="24"/>
          <w:szCs w:val="24"/>
          <w:highlight w:val="none"/>
          <w:lang w:val="en-US" w:eastAsia="zh-CN"/>
        </w:rPr>
        <w:t>项目</w:t>
      </w:r>
      <w:r>
        <w:rPr>
          <w:rFonts w:hint="eastAsia" w:ascii="Times New Roman" w:hAnsi="Times New Roman"/>
          <w:sz w:val="24"/>
          <w:szCs w:val="24"/>
          <w:highlight w:val="none"/>
        </w:rPr>
        <w:t>名称为《基于电力流的碳排放计量 第5部分：计量监测系统建设指南》，</w:t>
      </w:r>
      <w:r>
        <w:rPr>
          <w:rFonts w:hint="eastAsia" w:ascii="Times New Roman" w:hAnsi="Times New Roman"/>
          <w:sz w:val="24"/>
          <w:szCs w:val="24"/>
          <w:lang w:val="en-US" w:eastAsia="zh-CN"/>
        </w:rPr>
        <w:t>项目</w:t>
      </w:r>
      <w:r>
        <w:rPr>
          <w:rFonts w:hint="eastAsia" w:ascii="Times New Roman" w:hAnsi="Times New Roman"/>
          <w:sz w:val="24"/>
          <w:szCs w:val="24"/>
        </w:rPr>
        <w:t xml:space="preserve">编号为T/CIMA </w:t>
      </w:r>
      <w:r>
        <w:rPr>
          <w:rFonts w:hint="eastAsia" w:ascii="Times New Roman" w:hAnsi="Times New Roman"/>
          <w:sz w:val="24"/>
          <w:szCs w:val="24"/>
          <w:lang w:val="en-US" w:eastAsia="zh-CN"/>
        </w:rPr>
        <w:t>0185</w:t>
      </w:r>
      <w:r>
        <w:rPr>
          <w:rFonts w:hint="eastAsia" w:ascii="Times New Roman" w:hAnsi="Times New Roman"/>
          <w:sz w:val="24"/>
          <w:szCs w:val="24"/>
        </w:rPr>
        <w:t>。本文件由中国仪器仪表行业协会电工仪器仪表分会提出，由中国仪器仪表行业协会归口。计划编制完成年限为202</w:t>
      </w:r>
      <w:r>
        <w:rPr>
          <w:rFonts w:hint="eastAsia" w:ascii="Times New Roman" w:hAnsi="Times New Roman"/>
          <w:sz w:val="24"/>
          <w:szCs w:val="24"/>
          <w:lang w:val="en-US" w:eastAsia="zh-CN"/>
        </w:rPr>
        <w:t>6</w:t>
      </w:r>
      <w:r>
        <w:rPr>
          <w:rFonts w:hint="eastAsia" w:ascii="Times New Roman" w:hAnsi="Times New Roman"/>
          <w:sz w:val="24"/>
          <w:szCs w:val="24"/>
        </w:rPr>
        <w:t>年。</w:t>
      </w:r>
    </w:p>
    <w:p w14:paraId="53DAE49A">
      <w:pPr>
        <w:pStyle w:val="3"/>
        <w:spacing w:line="400" w:lineRule="exact"/>
        <w:rPr>
          <w:rFonts w:hint="eastAsia" w:ascii="宋体" w:hAnsi="宋体" w:cs="宋体"/>
          <w:sz w:val="28"/>
          <w:szCs w:val="28"/>
        </w:rPr>
      </w:pPr>
      <w:r>
        <w:rPr>
          <w:rFonts w:hint="eastAsia" w:ascii="宋体" w:hAnsi="宋体" w:cs="宋体"/>
          <w:sz w:val="28"/>
          <w:szCs w:val="28"/>
        </w:rPr>
        <w:t>2  主要工作过程</w:t>
      </w:r>
    </w:p>
    <w:p w14:paraId="6F5114E2">
      <w:pPr>
        <w:spacing w:line="360" w:lineRule="auto"/>
        <w:ind w:firstLine="482" w:firstLineChars="200"/>
        <w:rPr>
          <w:rFonts w:hint="eastAsia" w:ascii="宋体" w:hAnsi="宋体" w:eastAsia="宋体" w:cs="宋体"/>
          <w:b/>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4</w:t>
      </w:r>
      <w:r>
        <w:rPr>
          <w:rFonts w:hint="eastAsia" w:asciiTheme="majorEastAsia" w:hAnsiTheme="majorEastAsia" w:eastAsiaTheme="majorEastAsia" w:cstheme="majorEastAsia"/>
          <w:b/>
          <w:color w:val="auto"/>
          <w:sz w:val="24"/>
          <w:szCs w:val="24"/>
        </w:rPr>
        <w:t>年</w:t>
      </w:r>
      <w:r>
        <w:rPr>
          <w:rFonts w:asciiTheme="majorEastAsia" w:hAnsiTheme="majorEastAsia" w:eastAsiaTheme="majorEastAsia" w:cstheme="majorEastAsia"/>
          <w:b/>
          <w:color w:val="auto"/>
          <w:sz w:val="24"/>
          <w:szCs w:val="24"/>
        </w:rPr>
        <w:t>1</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申请立项并上报标准的</w:t>
      </w:r>
      <w:r>
        <w:rPr>
          <w:rFonts w:hint="eastAsia" w:ascii="宋体" w:hAnsi="宋体" w:eastAsia="宋体" w:cs="宋体"/>
          <w:b/>
          <w:sz w:val="24"/>
          <w:szCs w:val="24"/>
        </w:rPr>
        <w:t>草案稿和项目建议书</w:t>
      </w:r>
      <w:r>
        <w:rPr>
          <w:rFonts w:hint="eastAsia" w:ascii="宋体" w:hAnsi="宋体" w:eastAsia="宋体" w:cs="宋体"/>
          <w:bCs/>
          <w:sz w:val="24"/>
          <w:szCs w:val="24"/>
        </w:rPr>
        <w:t>。</w:t>
      </w:r>
    </w:p>
    <w:p w14:paraId="6D2A5028">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1</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中国仪器仪表行业协会组织召开立项评审会，会后下达了会后下达了立项批复</w:t>
      </w:r>
      <w:r>
        <w:rPr>
          <w:rFonts w:hint="eastAsia" w:ascii="宋体" w:hAnsi="宋体" w:eastAsia="宋体" w:cs="宋体"/>
          <w:sz w:val="24"/>
          <w:szCs w:val="24"/>
          <w:highlight w:val="none"/>
        </w:rPr>
        <w:t>文件。</w:t>
      </w:r>
      <w:r>
        <w:rPr>
          <w:rFonts w:hint="eastAsia" w:asciiTheme="majorEastAsia" w:hAnsiTheme="majorEastAsia" w:eastAsiaTheme="majorEastAsia" w:cstheme="majorEastAsia"/>
          <w:color w:val="auto"/>
          <w:sz w:val="24"/>
          <w:szCs w:val="24"/>
        </w:rPr>
        <w:t>由</w:t>
      </w:r>
      <w:r>
        <w:rPr>
          <w:rFonts w:hint="eastAsia" w:asciiTheme="majorEastAsia" w:hAnsiTheme="majorEastAsia" w:eastAsiaTheme="majorEastAsia" w:cstheme="majorEastAsia"/>
          <w:color w:val="auto"/>
          <w:sz w:val="24"/>
          <w:szCs w:val="24"/>
          <w:lang w:val="en-US" w:eastAsia="zh-CN"/>
        </w:rPr>
        <w:t>国网安徽省电力有限公司营销服务中心</w:t>
      </w:r>
      <w:r>
        <w:rPr>
          <w:rFonts w:hint="eastAsia" w:asciiTheme="majorEastAsia" w:hAnsiTheme="majorEastAsia" w:eastAsiaTheme="majorEastAsia" w:cstheme="majorEastAsia"/>
          <w:color w:val="auto"/>
          <w:sz w:val="24"/>
          <w:szCs w:val="24"/>
        </w:rPr>
        <w:t>牵头，组织</w:t>
      </w:r>
      <w:r>
        <w:rPr>
          <w:rFonts w:hint="eastAsia" w:asciiTheme="majorEastAsia" w:hAnsiTheme="majorEastAsia" w:eastAsiaTheme="majorEastAsia" w:cstheme="majorEastAsia"/>
          <w:b/>
          <w:color w:val="auto"/>
          <w:sz w:val="24"/>
          <w:szCs w:val="24"/>
        </w:rPr>
        <w:t>成立标准起草工作组</w:t>
      </w:r>
      <w:r>
        <w:rPr>
          <w:rFonts w:hint="eastAsia" w:asciiTheme="majorEastAsia" w:hAnsiTheme="majorEastAsia" w:eastAsiaTheme="majorEastAsia" w:cstheme="majorEastAsia"/>
          <w:color w:val="auto"/>
          <w:sz w:val="24"/>
          <w:szCs w:val="24"/>
        </w:rPr>
        <w:t>。</w:t>
      </w:r>
    </w:p>
    <w:p w14:paraId="5DF48177">
      <w:pPr>
        <w:spacing w:line="360" w:lineRule="auto"/>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2</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启动团体标准制定工作。起草组严格按照GB/T 1.1-2020《标准化工作导则 第1部分：标准化文件的结构和起草规则》等文件的要求进行标准制定并形成了</w:t>
      </w:r>
      <w:r>
        <w:rPr>
          <w:rFonts w:hint="eastAsia" w:ascii="宋体" w:hAnsi="宋体" w:eastAsia="宋体" w:cs="宋体"/>
          <w:b/>
          <w:bCs/>
          <w:sz w:val="24"/>
          <w:szCs w:val="24"/>
        </w:rPr>
        <w:t>工作组讨论稿</w:t>
      </w:r>
      <w:r>
        <w:rPr>
          <w:rFonts w:hint="eastAsia" w:ascii="宋体" w:hAnsi="宋体" w:eastAsia="宋体" w:cs="宋体"/>
          <w:sz w:val="24"/>
          <w:szCs w:val="24"/>
        </w:rPr>
        <w:t>。</w:t>
      </w:r>
    </w:p>
    <w:p w14:paraId="19FC043A">
      <w:pPr>
        <w:spacing w:line="400" w:lineRule="exact"/>
        <w:ind w:firstLine="472" w:firstLineChars="196"/>
        <w:rPr>
          <w:rFonts w:hint="eastAsia" w:asciiTheme="majorEastAsia" w:hAnsiTheme="majorEastAsia" w:eastAsiaTheme="majorEastAsia" w:cstheme="majorEastAsia"/>
          <w:color w:val="auto"/>
          <w:sz w:val="24"/>
          <w:szCs w:val="24"/>
        </w:rPr>
      </w:pPr>
      <w:bookmarkStart w:id="0" w:name="_Hlk17657671"/>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年4月</w:t>
      </w:r>
      <w:bookmarkEnd w:id="0"/>
      <w:r>
        <w:rPr>
          <w:rFonts w:hint="eastAsia" w:asciiTheme="majorEastAsia" w:hAnsiTheme="majorEastAsia" w:eastAsiaTheme="majorEastAsia" w:cstheme="majorEastAsia"/>
          <w:color w:val="auto"/>
          <w:sz w:val="24"/>
          <w:szCs w:val="24"/>
        </w:rPr>
        <w:t>：工作组讨论稿在标准编制工作组内部第一次征求意见，共回收意见</w:t>
      </w:r>
      <w:r>
        <w:rPr>
          <w:rFonts w:hint="eastAsia" w:asciiTheme="majorEastAsia" w:hAnsiTheme="majorEastAsia" w:eastAsiaTheme="majorEastAsia" w:cstheme="majorEastAsia"/>
          <w:color w:val="auto"/>
          <w:sz w:val="24"/>
          <w:szCs w:val="24"/>
          <w:lang w:val="en-US" w:eastAsia="zh-CN"/>
        </w:rPr>
        <w:t>47</w:t>
      </w:r>
      <w:r>
        <w:rPr>
          <w:rFonts w:hint="eastAsia" w:asciiTheme="majorEastAsia" w:hAnsiTheme="majorEastAsia" w:eastAsiaTheme="majorEastAsia" w:cstheme="majorEastAsia"/>
          <w:color w:val="auto"/>
          <w:sz w:val="24"/>
          <w:szCs w:val="24"/>
        </w:rPr>
        <w:t>条，主笔单位按照回收意见对工作组讨论稿进行了修改完善。</w:t>
      </w:r>
    </w:p>
    <w:p w14:paraId="6A0AEF21">
      <w:pPr>
        <w:spacing w:line="400" w:lineRule="exact"/>
        <w:ind w:firstLine="472" w:firstLineChars="196"/>
        <w:rPr>
          <w:rFonts w:hint="eastAsia" w:ascii="宋体" w:hAnsi="宋体" w:eastAsia="宋体" w:cs="宋体"/>
          <w:sz w:val="24"/>
          <w:szCs w:val="24"/>
        </w:rPr>
      </w:pPr>
      <w:r>
        <w:rPr>
          <w:rFonts w:hint="eastAsia" w:asciiTheme="majorEastAsia" w:hAnsiTheme="majorEastAsia" w:eastAsiaTheme="majorEastAsia" w:cstheme="majorEastAsia"/>
          <w:b/>
          <w:color w:val="auto"/>
          <w:sz w:val="24"/>
          <w:szCs w:val="24"/>
        </w:rPr>
        <w:t>202</w:t>
      </w:r>
      <w:r>
        <w:rPr>
          <w:rFonts w:hint="eastAsia" w:asciiTheme="majorEastAsia" w:hAnsiTheme="majorEastAsia" w:eastAsiaTheme="majorEastAsia" w:cstheme="majorEastAsia"/>
          <w:b/>
          <w:color w:val="auto"/>
          <w:sz w:val="24"/>
          <w:szCs w:val="24"/>
          <w:lang w:val="en-US" w:eastAsia="zh-CN"/>
        </w:rPr>
        <w:t>5</w:t>
      </w:r>
      <w:r>
        <w:rPr>
          <w:rFonts w:hint="eastAsia" w:asciiTheme="majorEastAsia" w:hAnsiTheme="majorEastAsia" w:eastAsiaTheme="majorEastAsia" w:cstheme="majorEastAsia"/>
          <w:b/>
          <w:color w:val="auto"/>
          <w:sz w:val="24"/>
          <w:szCs w:val="24"/>
        </w:rPr>
        <w:t>年</w:t>
      </w:r>
      <w:r>
        <w:rPr>
          <w:rFonts w:hint="eastAsia" w:asciiTheme="majorEastAsia" w:hAnsiTheme="majorEastAsia" w:eastAsiaTheme="majorEastAsia" w:cstheme="majorEastAsia"/>
          <w:b/>
          <w:color w:val="auto"/>
          <w:sz w:val="24"/>
          <w:szCs w:val="24"/>
          <w:lang w:val="en-US" w:eastAsia="zh-CN"/>
        </w:rPr>
        <w:t>6</w:t>
      </w:r>
      <w:r>
        <w:rPr>
          <w:rFonts w:hint="eastAsia" w:asciiTheme="majorEastAsia" w:hAnsiTheme="majorEastAsia" w:eastAsiaTheme="majorEastAsia" w:cstheme="majorEastAsia"/>
          <w:b/>
          <w:color w:val="auto"/>
          <w:sz w:val="24"/>
          <w:szCs w:val="24"/>
        </w:rPr>
        <w:t>月：</w:t>
      </w:r>
      <w:r>
        <w:rPr>
          <w:rFonts w:hint="eastAsia" w:ascii="宋体" w:hAnsi="宋体" w:eastAsia="宋体" w:cs="宋体"/>
          <w:sz w:val="24"/>
          <w:szCs w:val="24"/>
        </w:rPr>
        <w:t>起草工作组</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安徽省池州市</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起草第一次工作组会议</w:t>
      </w:r>
      <w:r>
        <w:rPr>
          <w:rFonts w:hint="eastAsia" w:asciiTheme="majorEastAsia" w:hAnsiTheme="majorEastAsia" w:eastAsiaTheme="majorEastAsia" w:cstheme="majorEastAsia"/>
          <w:color w:val="auto"/>
          <w:sz w:val="24"/>
          <w:szCs w:val="24"/>
        </w:rPr>
        <w:t>，</w:t>
      </w:r>
      <w:r>
        <w:rPr>
          <w:rFonts w:hint="eastAsia" w:ascii="宋体" w:hAnsi="宋体" w:eastAsia="宋体" w:cs="宋体"/>
          <w:sz w:val="24"/>
          <w:szCs w:val="24"/>
        </w:rPr>
        <w:t>对</w:t>
      </w:r>
      <w:r>
        <w:rPr>
          <w:rFonts w:hint="eastAsia" w:ascii="宋体" w:hAnsi="宋体" w:eastAsia="宋体" w:cs="宋体"/>
          <w:bCs/>
          <w:sz w:val="24"/>
          <w:szCs w:val="24"/>
        </w:rPr>
        <w:t>工作组讨论</w:t>
      </w:r>
      <w:r>
        <w:rPr>
          <w:rFonts w:hint="eastAsia" w:ascii="宋体" w:hAnsi="宋体" w:eastAsia="宋体" w:cs="宋体"/>
          <w:sz w:val="24"/>
          <w:szCs w:val="24"/>
        </w:rPr>
        <w:t>稿的标准化对象、结构进行了认真、细致的逐条讨论，并对主要技术内容达成了一致意见，形成会议纪要。</w:t>
      </w:r>
    </w:p>
    <w:p w14:paraId="00054FE5">
      <w:pPr>
        <w:pStyle w:val="52"/>
        <w:spacing w:line="360" w:lineRule="auto"/>
        <w:ind w:firstLine="482"/>
        <w:rPr>
          <w:rFonts w:hint="eastAsia" w:ascii="宋体" w:hAnsi="宋体" w:eastAsia="宋体" w:cs="宋体"/>
          <w:sz w:val="24"/>
          <w:szCs w:val="24"/>
        </w:rPr>
      </w:pPr>
      <w:r>
        <w:rPr>
          <w:rFonts w:hint="eastAsia" w:asciiTheme="majorEastAsia" w:hAnsiTheme="majorEastAsia" w:eastAsiaTheme="majorEastAsia" w:cstheme="majorEastAsia"/>
          <w:b/>
          <w:bCs/>
          <w:color w:val="auto"/>
          <w:sz w:val="24"/>
          <w:szCs w:val="24"/>
        </w:rPr>
        <w:t>202</w:t>
      </w:r>
      <w:r>
        <w:rPr>
          <w:rFonts w:hint="eastAsia" w:asciiTheme="majorEastAsia" w:hAnsiTheme="majorEastAsia" w:eastAsiaTheme="majorEastAsia" w:cstheme="majorEastAsia"/>
          <w:b/>
          <w:bCs/>
          <w:color w:val="auto"/>
          <w:sz w:val="24"/>
          <w:szCs w:val="24"/>
          <w:lang w:val="en-US" w:eastAsia="zh-CN"/>
        </w:rPr>
        <w:t>5</w:t>
      </w:r>
      <w:r>
        <w:rPr>
          <w:rFonts w:hint="eastAsia" w:asciiTheme="majorEastAsia" w:hAnsiTheme="majorEastAsia" w:eastAsiaTheme="majorEastAsia" w:cstheme="majorEastAsia"/>
          <w:b/>
          <w:bCs/>
          <w:color w:val="auto"/>
          <w:sz w:val="24"/>
          <w:szCs w:val="24"/>
        </w:rPr>
        <w:t>年</w:t>
      </w:r>
      <w:r>
        <w:rPr>
          <w:rFonts w:hint="eastAsia" w:asciiTheme="majorEastAsia" w:hAnsiTheme="majorEastAsia" w:eastAsiaTheme="majorEastAsia" w:cstheme="majorEastAsia"/>
          <w:b/>
          <w:bCs/>
          <w:color w:val="auto"/>
          <w:sz w:val="24"/>
          <w:szCs w:val="24"/>
          <w:lang w:val="en-US" w:eastAsia="zh-CN"/>
        </w:rPr>
        <w:t>7</w:t>
      </w: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8</w:t>
      </w:r>
      <w:r>
        <w:rPr>
          <w:rFonts w:hint="eastAsia" w:asciiTheme="majorEastAsia" w:hAnsiTheme="majorEastAsia" w:eastAsiaTheme="majorEastAsia" w:cstheme="majorEastAsia"/>
          <w:b/>
          <w:bCs/>
          <w:color w:val="auto"/>
          <w:sz w:val="24"/>
          <w:szCs w:val="24"/>
        </w:rPr>
        <w:t>月：</w:t>
      </w:r>
      <w:r>
        <w:rPr>
          <w:rFonts w:hint="eastAsia" w:ascii="宋体" w:hAnsi="宋体" w:eastAsia="宋体" w:cs="宋体"/>
          <w:sz w:val="24"/>
          <w:szCs w:val="24"/>
        </w:rPr>
        <w:t>形成工作组讨论稿，开展第二次征求意见，共回收意见</w:t>
      </w:r>
      <w:r>
        <w:rPr>
          <w:rFonts w:hint="eastAsia" w:ascii="宋体" w:hAnsi="宋体" w:cs="宋体"/>
          <w:sz w:val="24"/>
          <w:szCs w:val="24"/>
          <w:lang w:val="en-US" w:eastAsia="zh-CN"/>
        </w:rPr>
        <w:t>13</w:t>
      </w:r>
      <w:r>
        <w:rPr>
          <w:rFonts w:hint="eastAsia" w:ascii="宋体" w:hAnsi="宋体" w:eastAsia="宋体" w:cs="宋体"/>
          <w:sz w:val="24"/>
          <w:szCs w:val="24"/>
        </w:rPr>
        <w:t>条，主笔单位按照回收意见对工作组讨论稿进行了修改完善。</w:t>
      </w:r>
    </w:p>
    <w:p w14:paraId="7DA084FC">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lang w:val="en-US" w:eastAsia="zh-CN"/>
        </w:rPr>
        <w:t>起草工作组</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安徽省合肥市</w:t>
      </w:r>
      <w:r>
        <w:rPr>
          <w:rFonts w:hint="eastAsia" w:asciiTheme="majorEastAsia" w:hAnsiTheme="majorEastAsia" w:eastAsiaTheme="majorEastAsia" w:cstheme="majorEastAsia"/>
          <w:color w:val="auto"/>
          <w:sz w:val="24"/>
          <w:szCs w:val="24"/>
        </w:rPr>
        <w:t>召开</w:t>
      </w:r>
      <w:r>
        <w:rPr>
          <w:rFonts w:hint="eastAsia" w:asciiTheme="majorEastAsia" w:hAnsiTheme="majorEastAsia" w:eastAsiaTheme="majorEastAsia" w:cstheme="majorEastAsia"/>
          <w:b/>
          <w:bCs/>
          <w:color w:val="auto"/>
          <w:sz w:val="24"/>
          <w:szCs w:val="24"/>
        </w:rPr>
        <w:t>起草工作组第二次会议</w:t>
      </w:r>
      <w:r>
        <w:rPr>
          <w:rFonts w:hint="eastAsia" w:asciiTheme="majorEastAsia" w:hAnsiTheme="majorEastAsia" w:eastAsiaTheme="majorEastAsia" w:cstheme="majorEastAsia"/>
          <w:color w:val="auto"/>
          <w:sz w:val="24"/>
          <w:szCs w:val="24"/>
        </w:rPr>
        <w:t>，对标准工作组讨论稿以及所征求的意见内容进行了仔细讨论，形成会议纪要。</w:t>
      </w:r>
    </w:p>
    <w:p w14:paraId="4C72BC75">
      <w:pPr>
        <w:spacing w:line="400" w:lineRule="exact"/>
        <w:ind w:firstLine="472" w:firstLineChars="1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w:t>
      </w:r>
      <w:r>
        <w:rPr>
          <w:rFonts w:hint="eastAsia" w:asciiTheme="majorEastAsia" w:hAnsiTheme="majorEastAsia" w:eastAsiaTheme="majorEastAsia" w:cstheme="majorEastAsia"/>
          <w:b/>
          <w:bCs/>
          <w:color w:val="auto"/>
          <w:sz w:val="24"/>
          <w:szCs w:val="24"/>
          <w:lang w:val="en-US" w:eastAsia="zh-CN"/>
        </w:rPr>
        <w:t>9</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rPr>
        <w:t>，形成征求意见稿。</w:t>
      </w:r>
    </w:p>
    <w:p w14:paraId="63A189BC">
      <w:pPr>
        <w:pStyle w:val="3"/>
        <w:spacing w:line="400" w:lineRule="exact"/>
        <w:rPr>
          <w:rFonts w:hint="eastAsia" w:ascii="宋体" w:hAnsi="宋体" w:cs="宋体"/>
          <w:sz w:val="28"/>
          <w:szCs w:val="28"/>
        </w:rPr>
      </w:pPr>
      <w:r>
        <w:rPr>
          <w:rFonts w:hint="eastAsia" w:ascii="宋体" w:hAnsi="宋体" w:cs="宋体"/>
          <w:sz w:val="28"/>
          <w:szCs w:val="28"/>
        </w:rPr>
        <w:t>3  主要参加单位和工作组成员及其所做的工作</w:t>
      </w:r>
    </w:p>
    <w:p w14:paraId="15605E95">
      <w:pPr>
        <w:spacing w:line="400" w:lineRule="exact"/>
        <w:ind w:firstLine="480" w:firstLineChars="200"/>
        <w:rPr>
          <w:rFonts w:hint="eastAsia" w:asciiTheme="majorEastAsia" w:hAnsiTheme="majorEastAsia" w:eastAsiaTheme="majorEastAsia" w:cstheme="majorEastAsia"/>
          <w:sz w:val="24"/>
          <w:szCs w:val="24"/>
          <w:lang w:val="en-US" w:eastAsia="zh-CN"/>
        </w:rPr>
      </w:pPr>
      <w:r>
        <w:rPr>
          <w:rFonts w:ascii="Times New Roman" w:hAnsi="Times New Roman"/>
          <w:sz w:val="24"/>
          <w:szCs w:val="24"/>
        </w:rPr>
        <w:t>牵头起草单</w:t>
      </w:r>
      <w:r>
        <w:rPr>
          <w:rFonts w:hint="eastAsia" w:asciiTheme="majorEastAsia" w:hAnsiTheme="majorEastAsia" w:eastAsiaTheme="majorEastAsia" w:cstheme="majorEastAsia"/>
          <w:sz w:val="24"/>
          <w:szCs w:val="24"/>
          <w:lang w:val="en-US" w:eastAsia="zh-CN"/>
        </w:rPr>
        <w:t>位是国网安徽省电力有限公司营销服务中心，主要起草单位有哈尔滨电工仪表研究所有限公司、国网安徽省电力有限公司、中国能源建设集团安徽省电力设计院有限公司、合肥工业大学、国网安徽综合能源服务有限公司、国网省电力有限公司经济技术研究院、国网宁夏电力有限公司中卫供电公司、安徽南瑞中天电力电子有限公司、威胜集团有限公司等。</w:t>
      </w:r>
    </w:p>
    <w:p w14:paraId="6DAA8DB2">
      <w:pPr>
        <w:spacing w:line="400" w:lineRule="exact"/>
        <w:ind w:firstLine="480" w:firstLineChars="200"/>
        <w:rPr>
          <w:rFonts w:ascii="Times New Roman"/>
          <w:sz w:val="24"/>
          <w:szCs w:val="24"/>
        </w:rPr>
      </w:pPr>
      <w:r>
        <w:rPr>
          <w:rFonts w:hint="eastAsia" w:asciiTheme="majorEastAsia" w:hAnsiTheme="majorEastAsia" w:eastAsiaTheme="majorEastAsia" w:cstheme="majorEastAsia"/>
          <w:sz w:val="24"/>
          <w:szCs w:val="24"/>
          <w:lang w:val="en-US" w:eastAsia="zh-CN"/>
        </w:rPr>
        <w:t>国网安徽省电力有限公司营销服务中心</w:t>
      </w:r>
      <w:r>
        <w:rPr>
          <w:rFonts w:ascii="Times New Roman"/>
          <w:sz w:val="24"/>
          <w:szCs w:val="24"/>
        </w:rPr>
        <w:t>作为执笔单位负责了本标准的工作组讨论稿和征求意见稿的起草、修改工作。</w:t>
      </w:r>
    </w:p>
    <w:p w14:paraId="2D5BCBBC">
      <w:pPr>
        <w:pStyle w:val="22"/>
        <w:spacing w:line="400" w:lineRule="exact"/>
        <w:ind w:firstLine="480"/>
        <w:rPr>
          <w:rFonts w:ascii="Times New Roman"/>
          <w:sz w:val="24"/>
          <w:szCs w:val="24"/>
        </w:rPr>
      </w:pPr>
      <w:r>
        <w:rPr>
          <w:rFonts w:ascii="Times New Roman"/>
          <w:sz w:val="24"/>
          <w:szCs w:val="24"/>
        </w:rPr>
        <w:t>本标准主要起草人：</w:t>
      </w:r>
      <w:r>
        <w:rPr>
          <w:rFonts w:hint="eastAsia" w:ascii="Calibri" w:hAnsi="宋体" w:cs="宋体"/>
          <w:kern w:val="2"/>
          <w:sz w:val="24"/>
          <w:szCs w:val="24"/>
          <w:lang w:val="en-US" w:eastAsia="zh-CN"/>
        </w:rPr>
        <w:t>蔺菲、刘辉舟、刘献成、于雷、金鑫、何海洋、张倩、单永梅、金义、张光亚、嵇爱琼、郭立勇等。</w:t>
      </w:r>
    </w:p>
    <w:p w14:paraId="51D85AEA">
      <w:pPr>
        <w:spacing w:line="360" w:lineRule="auto"/>
        <w:ind w:firstLine="480" w:firstLineChars="200"/>
        <w:rPr>
          <w:rFonts w:hint="eastAsia" w:ascii="Times New Roman" w:hAnsi="Times New Roman"/>
          <w:kern w:val="0"/>
          <w:sz w:val="24"/>
          <w:szCs w:val="24"/>
        </w:rPr>
      </w:pPr>
      <w:r>
        <w:rPr>
          <w:rFonts w:hint="eastAsia" w:hAnsi="宋体" w:cs="宋体"/>
          <w:sz w:val="24"/>
          <w:szCs w:val="24"/>
          <w:lang w:val="en-US" w:eastAsia="zh-CN"/>
        </w:rPr>
        <w:t>蔺菲</w:t>
      </w:r>
      <w:r>
        <w:rPr>
          <w:rFonts w:hint="eastAsia" w:ascii="宋体" w:hAnsi="宋体" w:eastAsia="宋体" w:cs="宋体"/>
          <w:sz w:val="24"/>
          <w:szCs w:val="24"/>
          <w:highlight w:val="none"/>
          <w:lang w:val="en-US" w:eastAsia="zh-CN"/>
        </w:rPr>
        <w:t>为本文件的主笔人，负责标准的编写；</w:t>
      </w:r>
      <w:r>
        <w:rPr>
          <w:rFonts w:hint="eastAsia" w:ascii="Times New Roman" w:hAnsi="Times New Roman"/>
          <w:kern w:val="0"/>
          <w:sz w:val="24"/>
          <w:szCs w:val="24"/>
          <w:lang w:val="en-US" w:eastAsia="zh-CN"/>
        </w:rPr>
        <w:t>刘辉舟</w:t>
      </w:r>
      <w:r>
        <w:rPr>
          <w:rFonts w:hint="eastAsia" w:ascii="宋体" w:hAnsi="宋体" w:eastAsia="宋体" w:cs="宋体"/>
          <w:sz w:val="24"/>
          <w:szCs w:val="24"/>
          <w:highlight w:val="none"/>
          <w:lang w:val="en-US" w:eastAsia="zh-CN"/>
        </w:rPr>
        <w:t>为本文件的技术负责人，为标准的总体内容进行全面指导；刘献成为本文件起草工作组的组长，金鑫为本文件起草工作组的组员，负责标准的编写进程和组织协调工作。何海洋、张倩、单永梅、金义、张光亚、嵇爱琼、郭立勇</w:t>
      </w:r>
      <w:r>
        <w:rPr>
          <w:rFonts w:hint="eastAsia" w:ascii="宋体" w:hAnsi="宋体" w:eastAsia="宋体" w:cs="宋体"/>
          <w:sz w:val="24"/>
          <w:szCs w:val="24"/>
          <w:highlight w:val="none"/>
          <w:lang w:val="en-US" w:eastAsia="zh-CN"/>
        </w:rPr>
        <w:t>等工作组成员为本标准的编写和修改工作给与大量帮助。</w:t>
      </w:r>
    </w:p>
    <w:p w14:paraId="2024CA79">
      <w:pPr>
        <w:pStyle w:val="3"/>
        <w:spacing w:line="400" w:lineRule="exac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二、  标准编制原则和主要技术内容确定的依据</w:t>
      </w:r>
    </w:p>
    <w:p w14:paraId="7F6D4888">
      <w:pPr>
        <w:pStyle w:val="4"/>
        <w:spacing w:line="400" w:lineRule="exact"/>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1  主要阐述标准制定或修订过程遵循的基本原则</w:t>
      </w:r>
    </w:p>
    <w:p w14:paraId="5719DA95">
      <w:pPr>
        <w:spacing w:line="400" w:lineRule="exact"/>
        <w:ind w:firstLine="600" w:firstLineChars="250"/>
        <w:rPr>
          <w:rFonts w:hint="eastAsia" w:ascii="宋体" w:hAnsi="宋体" w:cs="宋体"/>
          <w:sz w:val="24"/>
          <w:szCs w:val="24"/>
        </w:rPr>
      </w:pPr>
      <w:r>
        <w:rPr>
          <w:rFonts w:hint="eastAsia" w:ascii="宋体" w:hAnsi="宋体" w:cs="宋体"/>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第1部分：标准化文件的结构和起草规则》的规定进行编写和表述。</w:t>
      </w:r>
    </w:p>
    <w:p w14:paraId="2F47C09F">
      <w:pPr>
        <w:pStyle w:val="4"/>
        <w:spacing w:line="400" w:lineRule="exact"/>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2  标准主要内容中范围、技术要求、试验方法、检验规则依据</w:t>
      </w:r>
    </w:p>
    <w:p w14:paraId="185E1F89">
      <w:pPr>
        <w:pStyle w:val="22"/>
        <w:spacing w:line="360" w:lineRule="auto"/>
        <w:ind w:firstLine="480"/>
        <w:rPr>
          <w:rFonts w:hint="eastAsia" w:hAnsi="宋体" w:eastAsia="宋体" w:cs="宋体"/>
          <w:b w:val="0"/>
          <w:bCs w:val="0"/>
          <w:sz w:val="24"/>
          <w:szCs w:val="24"/>
          <w:lang w:eastAsia="zh-CN"/>
        </w:rPr>
      </w:pPr>
      <w:r>
        <w:rPr>
          <w:rFonts w:hint="eastAsia"/>
          <w:sz w:val="24"/>
          <w:szCs w:val="24"/>
          <w:lang w:val="en-US" w:eastAsia="zh-CN"/>
        </w:rPr>
        <w:t>本文件确立了</w:t>
      </w:r>
      <w:r>
        <w:rPr>
          <w:rFonts w:hint="eastAsia"/>
          <w:sz w:val="24"/>
          <w:szCs w:val="24"/>
        </w:rPr>
        <w:t>基于电力流的</w:t>
      </w:r>
      <w:bookmarkStart w:id="1" w:name="OLE_LINK2"/>
      <w:bookmarkStart w:id="2" w:name="OLE_LINK1"/>
      <w:r>
        <w:rPr>
          <w:rFonts w:hint="eastAsia"/>
          <w:sz w:val="24"/>
          <w:szCs w:val="24"/>
        </w:rPr>
        <w:t>碳排放计量</w:t>
      </w:r>
      <w:bookmarkEnd w:id="1"/>
      <w:bookmarkEnd w:id="2"/>
      <w:r>
        <w:rPr>
          <w:rFonts w:hint="eastAsia"/>
          <w:sz w:val="24"/>
          <w:szCs w:val="24"/>
          <w:lang w:val="en-US" w:eastAsia="zh-CN"/>
        </w:rPr>
        <w:t>系统组成，</w:t>
      </w:r>
      <w:r>
        <w:rPr>
          <w:rFonts w:hint="eastAsia" w:ascii="宋体" w:eastAsia="宋体"/>
          <w:sz w:val="24"/>
          <w:szCs w:val="24"/>
        </w:rPr>
        <w:t>规定了基于电力流的碳排放</w:t>
      </w:r>
      <w:r>
        <w:rPr>
          <w:rFonts w:hint="eastAsia" w:ascii="宋体" w:eastAsia="宋体"/>
          <w:sz w:val="24"/>
          <w:szCs w:val="24"/>
          <w:lang w:eastAsia="zh-CN"/>
        </w:rPr>
        <w:t>计量系统</w:t>
      </w:r>
      <w:r>
        <w:rPr>
          <w:rFonts w:hint="eastAsia" w:ascii="宋体" w:eastAsia="宋体"/>
          <w:sz w:val="24"/>
          <w:szCs w:val="24"/>
        </w:rPr>
        <w:t>建设的总体原则、</w:t>
      </w:r>
      <w:r>
        <w:rPr>
          <w:rFonts w:hint="eastAsia" w:ascii="宋体" w:eastAsia="宋体"/>
          <w:sz w:val="24"/>
          <w:szCs w:val="24"/>
          <w:lang w:val="en-US" w:eastAsia="zh-CN"/>
        </w:rPr>
        <w:t>需考虑的因素</w:t>
      </w:r>
      <w:r>
        <w:rPr>
          <w:rFonts w:hint="eastAsia" w:ascii="宋体" w:eastAsia="宋体"/>
          <w:sz w:val="24"/>
          <w:szCs w:val="24"/>
        </w:rPr>
        <w:t>。</w:t>
      </w:r>
      <w:r>
        <w:rPr>
          <w:rFonts w:hint="eastAsia" w:hAnsi="宋体" w:cs="宋体"/>
          <w:sz w:val="24"/>
          <w:szCs w:val="24"/>
        </w:rPr>
        <w:t>相关</w:t>
      </w:r>
      <w:r>
        <w:rPr>
          <w:rFonts w:hint="eastAsia" w:hAnsi="宋体" w:cs="宋体"/>
          <w:sz w:val="24"/>
          <w:szCs w:val="24"/>
          <w:lang w:val="en-US" w:eastAsia="zh-CN"/>
        </w:rPr>
        <w:t>系统建设</w:t>
      </w:r>
      <w:r>
        <w:rPr>
          <w:rFonts w:hint="eastAsia" w:hAnsi="宋体" w:cs="宋体"/>
          <w:sz w:val="24"/>
          <w:szCs w:val="24"/>
        </w:rPr>
        <w:t>的</w:t>
      </w:r>
      <w:r>
        <w:rPr>
          <w:rFonts w:hint="eastAsia" w:hAnsi="宋体" w:cs="宋体"/>
          <w:sz w:val="24"/>
          <w:szCs w:val="24"/>
          <w:lang w:val="en-US" w:eastAsia="zh-CN"/>
        </w:rPr>
        <w:t>方法</w:t>
      </w:r>
      <w:r>
        <w:rPr>
          <w:rFonts w:hint="eastAsia" w:hAnsi="宋体" w:cs="宋体"/>
          <w:sz w:val="24"/>
          <w:szCs w:val="24"/>
        </w:rPr>
        <w:t>是依据了</w:t>
      </w:r>
      <w:r>
        <w:rPr>
          <w:rFonts w:hint="eastAsia"/>
          <w:sz w:val="24"/>
          <w:szCs w:val="24"/>
        </w:rPr>
        <w:t>基于电力流的碳排放计量</w:t>
      </w:r>
      <w:r>
        <w:rPr>
          <w:rFonts w:hint="eastAsia"/>
          <w:sz w:val="24"/>
          <w:szCs w:val="24"/>
          <w:lang w:val="en-US" w:eastAsia="zh-CN"/>
        </w:rPr>
        <w:t>技术的特点和基于电力</w:t>
      </w:r>
      <w:r>
        <w:rPr>
          <w:rFonts w:hint="eastAsia"/>
          <w:b w:val="0"/>
          <w:bCs w:val="0"/>
          <w:sz w:val="24"/>
          <w:szCs w:val="24"/>
          <w:lang w:val="en-US" w:eastAsia="zh-CN"/>
        </w:rPr>
        <w:t>流的碳排放计量系列团体标准</w:t>
      </w:r>
      <w:r>
        <w:rPr>
          <w:rFonts w:hint="eastAsia" w:hAnsi="宋体" w:cs="宋体"/>
          <w:b w:val="0"/>
          <w:bCs w:val="0"/>
          <w:sz w:val="24"/>
          <w:szCs w:val="24"/>
        </w:rPr>
        <w:t>制定的，其中</w:t>
      </w:r>
      <w:r>
        <w:rPr>
          <w:rFonts w:hint="eastAsia" w:hAnsi="宋体" w:cs="宋体"/>
          <w:b w:val="0"/>
          <w:bCs w:val="0"/>
          <w:sz w:val="24"/>
          <w:szCs w:val="24"/>
          <w:lang w:val="en-US" w:eastAsia="zh-CN"/>
        </w:rPr>
        <w:t>术语和定义引用了</w:t>
      </w:r>
      <w:r>
        <w:rPr>
          <w:rFonts w:hint="eastAsia" w:hAnsi="宋体" w:cs="宋体"/>
          <w:b w:val="0"/>
          <w:bCs w:val="0"/>
          <w:sz w:val="24"/>
          <w:szCs w:val="24"/>
        </w:rPr>
        <w:t>T/CIMA 0079.1—2023 基于电力流的碳排放计量 第1部分：计量模型</w:t>
      </w:r>
      <w:r>
        <w:rPr>
          <w:rFonts w:hint="eastAsia" w:hAnsi="宋体" w:cs="宋体"/>
          <w:b w:val="0"/>
          <w:bCs w:val="0"/>
          <w:sz w:val="24"/>
          <w:szCs w:val="24"/>
          <w:lang w:val="en-US" w:eastAsia="zh-CN"/>
        </w:rPr>
        <w:t>中的相关要求。</w:t>
      </w:r>
    </w:p>
    <w:p w14:paraId="3B85B2D9">
      <w:pPr>
        <w:pStyle w:val="3"/>
        <w:spacing w:line="400" w:lineRule="exact"/>
        <w:rPr>
          <w:rFonts w:hint="eastAsia" w:cs="黑体" w:asciiTheme="majorEastAsia" w:hAnsiTheme="majorEastAsia" w:eastAsiaTheme="majorEastAsia"/>
          <w:sz w:val="28"/>
          <w:szCs w:val="28"/>
          <w:highlight w:val="yellow"/>
        </w:rPr>
      </w:pPr>
      <w:r>
        <w:rPr>
          <w:rFonts w:hint="eastAsia" w:cs="黑体" w:asciiTheme="majorEastAsia" w:hAnsiTheme="majorEastAsia" w:eastAsiaTheme="majorEastAsia"/>
          <w:sz w:val="28"/>
          <w:szCs w:val="28"/>
        </w:rPr>
        <w:t>三、主要试验（或验收）情况</w:t>
      </w:r>
    </w:p>
    <w:p w14:paraId="4247F908">
      <w:pPr>
        <w:pStyle w:val="4"/>
        <w:spacing w:line="400" w:lineRule="exact"/>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1 试验概述</w:t>
      </w:r>
    </w:p>
    <w:p w14:paraId="2E3256E3">
      <w:pPr>
        <w:pStyle w:val="15"/>
        <w:spacing w:before="120" w:beforeAutospacing="0" w:after="120" w:afterAutospacing="0" w:line="400" w:lineRule="exact"/>
        <w:ind w:firstLine="480" w:firstLineChars="200"/>
        <w:rPr>
          <w:rFonts w:hint="eastAsia"/>
          <w:kern w:val="2"/>
        </w:rPr>
      </w:pPr>
      <w:r>
        <w:rPr>
          <w:rFonts w:hint="eastAsia"/>
          <w:kern w:val="2"/>
        </w:rPr>
        <w:t>在《基于电力流的碳排放计量 第</w:t>
      </w:r>
      <w:r>
        <w:rPr>
          <w:rFonts w:hint="eastAsia"/>
          <w:kern w:val="2"/>
          <w:lang w:val="en-US" w:eastAsia="zh-CN"/>
        </w:rPr>
        <w:t>5</w:t>
      </w:r>
      <w:r>
        <w:rPr>
          <w:rFonts w:hint="eastAsia"/>
          <w:kern w:val="2"/>
        </w:rPr>
        <w:t>部分：计量</w:t>
      </w:r>
      <w:r>
        <w:rPr>
          <w:rFonts w:hint="eastAsia"/>
          <w:kern w:val="2"/>
          <w:lang w:val="en-US" w:eastAsia="zh-CN"/>
        </w:rPr>
        <w:t>系统建设指南</w:t>
      </w:r>
      <w:r>
        <w:rPr>
          <w:rFonts w:hint="eastAsia"/>
          <w:kern w:val="2"/>
        </w:rPr>
        <w:t>》起草过程中，我们对标准中规定的主要</w:t>
      </w:r>
      <w:r>
        <w:rPr>
          <w:rFonts w:hint="eastAsia"/>
          <w:kern w:val="2"/>
          <w:lang w:val="en-US" w:eastAsia="zh-CN"/>
        </w:rPr>
        <w:t>系统组成和需考虑的因素</w:t>
      </w:r>
      <w:r>
        <w:rPr>
          <w:rFonts w:hint="eastAsia"/>
          <w:kern w:val="2"/>
        </w:rPr>
        <w:t>进行了全面的验证试验，以确保标准的准确性和可行性。试验覆盖了</w:t>
      </w:r>
      <w:r>
        <w:rPr>
          <w:rFonts w:hint="eastAsia"/>
          <w:kern w:val="2"/>
          <w:lang w:val="en-US" w:eastAsia="zh-CN"/>
        </w:rPr>
        <w:t>基于电力流的碳排放计量系统</w:t>
      </w:r>
      <w:r>
        <w:rPr>
          <w:rFonts w:hint="eastAsia"/>
          <w:kern w:val="2"/>
        </w:rPr>
        <w:t>的</w:t>
      </w:r>
      <w:r>
        <w:rPr>
          <w:rFonts w:hint="eastAsia"/>
          <w:kern w:val="2"/>
          <w:lang w:val="en-US" w:eastAsia="zh-CN"/>
        </w:rPr>
        <w:t>总体要求和需考虑的因素</w:t>
      </w:r>
      <w:r>
        <w:rPr>
          <w:rFonts w:hint="eastAsia"/>
          <w:kern w:val="2"/>
        </w:rPr>
        <w:t>，包括但不限于</w:t>
      </w:r>
      <w:r>
        <w:rPr>
          <w:rFonts w:hint="eastAsia"/>
          <w:kern w:val="2"/>
          <w:lang w:val="en-US" w:eastAsia="zh-CN"/>
        </w:rPr>
        <w:t>监测</w:t>
      </w:r>
      <w:r>
        <w:rPr>
          <w:rFonts w:hint="eastAsia"/>
          <w:kern w:val="2"/>
        </w:rPr>
        <w:t>试验、</w:t>
      </w:r>
      <w:r>
        <w:rPr>
          <w:rFonts w:hint="eastAsia"/>
          <w:kern w:val="2"/>
          <w:lang w:val="en-US" w:eastAsia="zh-CN"/>
        </w:rPr>
        <w:t>数据交互试验</w:t>
      </w:r>
      <w:r>
        <w:rPr>
          <w:rFonts w:hint="eastAsia"/>
          <w:kern w:val="2"/>
        </w:rPr>
        <w:t>、</w:t>
      </w:r>
      <w:r>
        <w:rPr>
          <w:rFonts w:hint="eastAsia"/>
          <w:kern w:val="2"/>
          <w:lang w:val="en-US" w:eastAsia="zh-CN"/>
        </w:rPr>
        <w:t>数据采集试验、数据传输</w:t>
      </w:r>
      <w:r>
        <w:rPr>
          <w:rFonts w:hint="eastAsia"/>
          <w:kern w:val="2"/>
        </w:rPr>
        <w:t>试验、</w:t>
      </w:r>
      <w:r>
        <w:rPr>
          <w:rFonts w:hint="eastAsia"/>
          <w:kern w:val="2"/>
          <w:lang w:val="en-US" w:eastAsia="zh-CN"/>
        </w:rPr>
        <w:t>数据处理试验</w:t>
      </w:r>
      <w:r>
        <w:rPr>
          <w:rFonts w:hint="eastAsia"/>
          <w:kern w:val="2"/>
        </w:rPr>
        <w:t>等。</w:t>
      </w:r>
    </w:p>
    <w:p w14:paraId="2E1B59F4">
      <w:pPr>
        <w:pStyle w:val="4"/>
        <w:spacing w:line="400" w:lineRule="exact"/>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2 试验机构与合作企业</w:t>
      </w:r>
    </w:p>
    <w:p w14:paraId="7CB1D15D">
      <w:pPr>
        <w:pStyle w:val="15"/>
        <w:spacing w:before="120" w:beforeAutospacing="0" w:after="120" w:afterAutospacing="0" w:line="400" w:lineRule="exact"/>
        <w:ind w:firstLine="480" w:firstLineChars="200"/>
        <w:rPr>
          <w:rFonts w:hint="eastAsia"/>
          <w:color w:val="2C2C36"/>
        </w:rPr>
      </w:pPr>
      <w:r>
        <w:rPr>
          <w:rFonts w:hint="eastAsia"/>
          <w:color w:val="2C2C36"/>
        </w:rPr>
        <w:t>试验工作由</w:t>
      </w:r>
      <w:r>
        <w:rPr>
          <w:rFonts w:hint="eastAsia" w:ascii="宋体" w:hAnsi="宋体" w:eastAsia="宋体" w:cs="宋体"/>
          <w:kern w:val="2"/>
          <w:lang w:val="en-US" w:eastAsia="zh-CN"/>
        </w:rPr>
        <w:t>宁夏隆</w:t>
      </w:r>
      <w:r>
        <w:rPr>
          <w:rFonts w:hint="eastAsia" w:ascii="宋体" w:hAnsi="宋体" w:eastAsia="宋体" w:cs="宋体"/>
          <w:color w:val="2C2C36"/>
          <w:lang w:val="en-US" w:eastAsia="zh-CN"/>
        </w:rPr>
        <w:t>基宁光仪表股份有限公司</w:t>
      </w:r>
      <w:r>
        <w:rPr>
          <w:rFonts w:hint="eastAsia" w:ascii="宋体" w:hAnsi="宋体" w:eastAsia="宋体" w:cs="宋体"/>
          <w:color w:val="2C2C36"/>
        </w:rPr>
        <w:t>、</w:t>
      </w:r>
      <w:r>
        <w:rPr>
          <w:rFonts w:hint="eastAsia" w:ascii="宋体" w:hAnsi="宋体" w:eastAsia="宋体" w:cs="宋体"/>
          <w:color w:val="2C2C36"/>
          <w:lang w:val="en-US" w:eastAsia="zh-CN"/>
        </w:rPr>
        <w:t>科大智能科技股份有限公司</w:t>
      </w:r>
      <w:r>
        <w:rPr>
          <w:rFonts w:hint="eastAsia" w:ascii="宋体" w:hAnsi="宋体" w:eastAsia="宋体" w:cs="宋体"/>
          <w:color w:val="2C2C36"/>
        </w:rPr>
        <w:t>等企业共同配合开展，这些企业</w:t>
      </w:r>
      <w:r>
        <w:rPr>
          <w:rFonts w:hint="eastAsia"/>
          <w:color w:val="2C2C36"/>
        </w:rPr>
        <w:t>具备先进的测试设备和丰富的试验经验，能够提供权威的试验数据支持。</w:t>
      </w:r>
    </w:p>
    <w:p w14:paraId="6F751A30">
      <w:pPr>
        <w:pStyle w:val="4"/>
        <w:spacing w:line="400" w:lineRule="exact"/>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3 具体试验项目</w:t>
      </w:r>
    </w:p>
    <w:p w14:paraId="17A6EEC3">
      <w:pPr>
        <w:widowControl/>
        <w:spacing w:before="100" w:beforeAutospacing="1" w:after="100" w:afterAutospacing="1" w:line="400" w:lineRule="exact"/>
        <w:jc w:val="left"/>
        <w:rPr>
          <w:rFonts w:hint="eastAsia" w:ascii="宋体" w:hAnsi="宋体" w:eastAsia="宋体" w:cs="宋体"/>
          <w:sz w:val="24"/>
          <w:szCs w:val="24"/>
          <w:lang w:val="en-US" w:eastAsia="zh-CN"/>
        </w:rPr>
      </w:pPr>
      <w:r>
        <w:rPr>
          <w:rStyle w:val="18"/>
          <w:rFonts w:hint="eastAsia" w:ascii="宋体" w:hAnsi="宋体" w:cs="宋体"/>
          <w:color w:val="2C2C36"/>
          <w:sz w:val="24"/>
          <w:szCs w:val="24"/>
        </w:rPr>
        <w:t>3.1</w:t>
      </w:r>
      <w:r>
        <w:rPr>
          <w:rStyle w:val="18"/>
          <w:rFonts w:hint="eastAsia" w:ascii="宋体" w:hAnsi="宋体" w:cs="宋体"/>
          <w:color w:val="2C2C36"/>
          <w:sz w:val="24"/>
          <w:szCs w:val="24"/>
          <w:lang w:val="en-US" w:eastAsia="zh-CN"/>
        </w:rPr>
        <w:t>监测</w:t>
      </w:r>
      <w:r>
        <w:rPr>
          <w:rStyle w:val="18"/>
          <w:rFonts w:hint="eastAsia" w:ascii="宋体" w:hAnsi="宋体" w:cs="宋体"/>
          <w:color w:val="2C2C36"/>
          <w:sz w:val="24"/>
          <w:szCs w:val="24"/>
        </w:rPr>
        <w:t>试验</w:t>
      </w:r>
      <w:r>
        <w:rPr>
          <w:rFonts w:hint="eastAsia" w:ascii="宋体" w:hAnsi="宋体" w:cs="宋体"/>
          <w:color w:val="2C2C36"/>
          <w:sz w:val="24"/>
          <w:szCs w:val="24"/>
        </w:rPr>
        <w:t>：</w:t>
      </w:r>
      <w:r>
        <w:rPr>
          <w:rFonts w:hint="eastAsia" w:ascii="宋体" w:hAnsi="宋体" w:cs="宋体"/>
          <w:color w:val="2C2C36"/>
          <w:sz w:val="24"/>
          <w:szCs w:val="24"/>
          <w:lang w:val="en-US" w:eastAsia="zh-CN"/>
        </w:rPr>
        <w:t>按照</w:t>
      </w:r>
      <w:r>
        <w:rPr>
          <w:rFonts w:hint="eastAsia" w:ascii="宋体" w:hAnsi="宋体" w:cs="宋体"/>
          <w:sz w:val="24"/>
          <w:szCs w:val="24"/>
          <w:lang w:val="en-US" w:eastAsia="zh-CN"/>
        </w:rPr>
        <w:t>基于电力流的碳排放计量系统总体要求</w:t>
      </w:r>
      <w:r>
        <w:rPr>
          <w:rFonts w:hint="eastAsia" w:ascii="宋体" w:hAnsi="宋体" w:cs="宋体"/>
          <w:sz w:val="24"/>
          <w:szCs w:val="24"/>
        </w:rPr>
        <w:t>，</w:t>
      </w:r>
      <w:r>
        <w:rPr>
          <w:rFonts w:hint="eastAsia" w:ascii="宋体" w:hAnsi="宋体" w:cs="宋体"/>
          <w:sz w:val="24"/>
          <w:szCs w:val="24"/>
          <w:lang w:val="en-US" w:eastAsia="zh-CN"/>
        </w:rPr>
        <w:t>模拟环境条件，测试</w:t>
      </w:r>
      <w:r>
        <w:rPr>
          <w:rFonts w:hint="eastAsia" w:ascii="宋体" w:hAnsi="宋体" w:eastAsia="宋体" w:cs="宋体"/>
          <w:sz w:val="24"/>
          <w:szCs w:val="24"/>
          <w:lang w:val="en-US" w:eastAsia="zh-CN"/>
        </w:rPr>
        <w:t>电力流全流域覆盖，对发电侧、电网侧和消费侧的各区段分别进行电碳排放计量的监测能力。</w:t>
      </w:r>
    </w:p>
    <w:p w14:paraId="072DC941">
      <w:pPr>
        <w:widowControl/>
        <w:spacing w:before="100" w:beforeAutospacing="1" w:after="100" w:afterAutospacing="1" w:line="400" w:lineRule="exact"/>
        <w:jc w:val="left"/>
        <w:rPr>
          <w:rFonts w:hint="eastAsia"/>
        </w:rPr>
      </w:pPr>
      <w:r>
        <w:rPr>
          <w:rStyle w:val="18"/>
          <w:rFonts w:hint="eastAsia" w:ascii="宋体" w:hAnsi="宋体" w:cs="宋体"/>
          <w:color w:val="2C2C36"/>
          <w:sz w:val="24"/>
          <w:szCs w:val="24"/>
        </w:rPr>
        <w:t>3.2</w:t>
      </w:r>
      <w:r>
        <w:rPr>
          <w:rStyle w:val="18"/>
          <w:rFonts w:hint="eastAsia" w:ascii="宋体" w:hAnsi="宋体" w:cs="宋体"/>
          <w:color w:val="2C2C36"/>
          <w:sz w:val="24"/>
          <w:szCs w:val="24"/>
          <w:lang w:val="en-US" w:eastAsia="zh-CN"/>
        </w:rPr>
        <w:t>数据交互试验</w:t>
      </w:r>
      <w:r>
        <w:rPr>
          <w:rFonts w:hint="eastAsia" w:ascii="宋体" w:hAnsi="宋体" w:cs="宋体"/>
          <w:color w:val="2C2C36"/>
          <w:sz w:val="24"/>
          <w:szCs w:val="24"/>
        </w:rPr>
        <w:t>：</w:t>
      </w:r>
      <w:r>
        <w:rPr>
          <w:rFonts w:hint="eastAsia" w:ascii="宋体" w:hAnsi="宋体" w:cs="宋体"/>
          <w:sz w:val="24"/>
          <w:szCs w:val="24"/>
        </w:rPr>
        <w:t>验证</w:t>
      </w:r>
      <w:r>
        <w:rPr>
          <w:rFonts w:hint="eastAsia" w:ascii="宋体" w:hAnsi="宋体" w:eastAsia="宋体" w:cs="宋体"/>
          <w:sz w:val="24"/>
          <w:szCs w:val="24"/>
          <w:lang w:val="en-US" w:eastAsia="zh-CN"/>
        </w:rPr>
        <w:t>基于电力流的碳排放计量系统建设中，是否能进行监测系统的各层级联并进行数据交互，同时相互验证监测结果。</w:t>
      </w:r>
    </w:p>
    <w:p w14:paraId="1E8F6D00">
      <w:pPr>
        <w:widowControl/>
        <w:spacing w:before="100" w:beforeAutospacing="1" w:after="100" w:afterAutospacing="1" w:line="400" w:lineRule="exact"/>
        <w:jc w:val="left"/>
        <w:rPr>
          <w:rFonts w:hint="eastAsia" w:ascii="宋体" w:hAnsi="宋体" w:eastAsia="宋体" w:cs="宋体"/>
          <w:sz w:val="24"/>
          <w:szCs w:val="24"/>
          <w:lang w:val="en-US" w:eastAsia="zh-CN"/>
        </w:rPr>
      </w:pPr>
      <w:r>
        <w:rPr>
          <w:rStyle w:val="18"/>
          <w:rFonts w:ascii="宋体" w:hAnsi="宋体" w:cs="宋体"/>
          <w:color w:val="2C2C36"/>
          <w:sz w:val="24"/>
          <w:szCs w:val="24"/>
        </w:rPr>
        <w:t>3.</w:t>
      </w:r>
      <w:r>
        <w:rPr>
          <w:rStyle w:val="18"/>
          <w:rFonts w:hint="eastAsia" w:ascii="宋体" w:hAnsi="宋体" w:cs="宋体"/>
          <w:color w:val="2C2C36"/>
          <w:sz w:val="24"/>
          <w:szCs w:val="24"/>
        </w:rPr>
        <w:t>3</w:t>
      </w:r>
      <w:r>
        <w:rPr>
          <w:rStyle w:val="18"/>
          <w:rFonts w:hint="eastAsia" w:ascii="宋体" w:hAnsi="宋体" w:cs="宋体"/>
          <w:color w:val="2C2C36"/>
          <w:sz w:val="24"/>
          <w:szCs w:val="24"/>
          <w:lang w:val="en-US" w:eastAsia="zh-CN"/>
        </w:rPr>
        <w:t>数据采集</w:t>
      </w:r>
      <w:r>
        <w:rPr>
          <w:rStyle w:val="18"/>
          <w:rFonts w:hint="eastAsia" w:ascii="宋体" w:hAnsi="宋体" w:cs="宋体"/>
          <w:color w:val="2C2C36"/>
          <w:sz w:val="24"/>
          <w:szCs w:val="24"/>
        </w:rPr>
        <w:t>试验</w:t>
      </w:r>
      <w:r>
        <w:rPr>
          <w:rFonts w:hint="eastAsia" w:ascii="宋体" w:hAnsi="宋体" w:cs="宋体"/>
          <w:color w:val="2C2C36"/>
          <w:sz w:val="24"/>
          <w:szCs w:val="24"/>
        </w:rPr>
        <w:t>：</w:t>
      </w:r>
      <w:r>
        <w:rPr>
          <w:rFonts w:hint="eastAsia" w:ascii="宋体" w:hAnsi="宋体" w:cs="宋体"/>
          <w:sz w:val="24"/>
          <w:szCs w:val="24"/>
        </w:rPr>
        <w:t>验证</w:t>
      </w:r>
      <w:r>
        <w:rPr>
          <w:rFonts w:hint="eastAsia" w:ascii="宋体" w:hAnsi="宋体" w:eastAsia="宋体" w:cs="宋体"/>
          <w:sz w:val="24"/>
          <w:szCs w:val="24"/>
          <w:lang w:val="en-US" w:eastAsia="zh-CN"/>
        </w:rPr>
        <w:t>基于电力流的碳排放计量系统建设中，是否能对发电侧各发电机组电碳计量设备记录的碳排放数据和上网电量数据进行采集，对发电侧电碳计量系统输出的电力碳排放因子数据进行采集，同时，是否能对发电侧各发电机组的电碳计量设备安装现场情况进行实时监测和图像存储、回放。</w:t>
      </w:r>
    </w:p>
    <w:p w14:paraId="52D67903">
      <w:pPr>
        <w:widowControl/>
        <w:spacing w:before="100" w:beforeAutospacing="1" w:after="100" w:afterAutospacing="1" w:line="400" w:lineRule="exact"/>
        <w:jc w:val="left"/>
        <w:rPr>
          <w:rFonts w:hint="eastAsia"/>
        </w:rPr>
      </w:pPr>
      <w:r>
        <w:rPr>
          <w:rStyle w:val="18"/>
          <w:rFonts w:hint="eastAsia" w:ascii="宋体" w:hAnsi="宋体" w:cs="宋体"/>
          <w:color w:val="2C2C36"/>
          <w:sz w:val="24"/>
          <w:szCs w:val="24"/>
        </w:rPr>
        <w:t>3.4</w:t>
      </w:r>
      <w:r>
        <w:rPr>
          <w:rStyle w:val="18"/>
          <w:rFonts w:hint="eastAsia" w:ascii="宋体" w:hAnsi="宋体" w:cs="宋体"/>
          <w:color w:val="2C2C36"/>
          <w:sz w:val="24"/>
          <w:szCs w:val="24"/>
          <w:lang w:val="en-US" w:eastAsia="zh-CN"/>
        </w:rPr>
        <w:t>数据传输</w:t>
      </w:r>
      <w:r>
        <w:rPr>
          <w:rStyle w:val="18"/>
          <w:rFonts w:hint="eastAsia" w:ascii="宋体" w:hAnsi="宋体" w:cs="宋体"/>
          <w:color w:val="2C2C36"/>
          <w:sz w:val="24"/>
          <w:szCs w:val="24"/>
        </w:rPr>
        <w:t>试验</w:t>
      </w:r>
      <w:r>
        <w:rPr>
          <w:rFonts w:hint="eastAsia" w:ascii="宋体" w:hAnsi="宋体" w:cs="宋体"/>
          <w:color w:val="2C2C36"/>
          <w:sz w:val="24"/>
          <w:szCs w:val="24"/>
        </w:rPr>
        <w:t>：验证</w:t>
      </w:r>
      <w:r>
        <w:rPr>
          <w:rFonts w:hint="eastAsia" w:ascii="宋体" w:hAnsi="宋体" w:cs="宋体"/>
          <w:sz w:val="24"/>
          <w:szCs w:val="24"/>
          <w:lang w:val="en-US" w:eastAsia="zh-CN"/>
        </w:rPr>
        <w:t>基于电力流的碳排放计量系统</w:t>
      </w:r>
      <w:r>
        <w:rPr>
          <w:rFonts w:hint="eastAsia" w:ascii="宋体" w:hAnsi="宋体" w:cs="宋体"/>
          <w:color w:val="2C2C36"/>
          <w:sz w:val="24"/>
          <w:szCs w:val="24"/>
        </w:rPr>
        <w:t>是否</w:t>
      </w:r>
      <w:r>
        <w:rPr>
          <w:rFonts w:hint="eastAsia" w:ascii="宋体" w:hAnsi="宋体" w:cs="宋体"/>
          <w:color w:val="2C2C36"/>
          <w:sz w:val="24"/>
          <w:szCs w:val="24"/>
          <w:lang w:val="en-US" w:eastAsia="zh-CN"/>
        </w:rPr>
        <w:t>能</w:t>
      </w:r>
      <w:r>
        <w:rPr>
          <w:rFonts w:hint="eastAsia" w:ascii="宋体" w:hAnsi="宋体" w:eastAsia="宋体" w:cs="宋体"/>
          <w:sz w:val="24"/>
          <w:szCs w:val="24"/>
          <w:lang w:val="en-US" w:eastAsia="zh-CN"/>
        </w:rPr>
        <w:t>将采集到发电侧各发电机组的碳排放数据、上网电量数据和电力碳排放因子数据实时传输给监测管理中心。</w:t>
      </w:r>
    </w:p>
    <w:p w14:paraId="4ECD3C3B">
      <w:pPr>
        <w:widowControl/>
        <w:spacing w:before="100" w:beforeAutospacing="1" w:after="100" w:afterAutospacing="1" w:line="400" w:lineRule="exact"/>
        <w:jc w:val="left"/>
        <w:rPr>
          <w:rFonts w:hint="eastAsia" w:ascii="宋体" w:hAnsi="宋体" w:eastAsia="宋体" w:cs="宋体"/>
          <w:color w:val="2C2C36"/>
          <w:sz w:val="24"/>
          <w:szCs w:val="24"/>
        </w:rPr>
      </w:pPr>
      <w:r>
        <w:rPr>
          <w:rStyle w:val="18"/>
          <w:rFonts w:hint="eastAsia" w:ascii="宋体" w:hAnsi="宋体" w:cs="宋体"/>
          <w:color w:val="2C2C36"/>
          <w:sz w:val="24"/>
          <w:szCs w:val="24"/>
        </w:rPr>
        <w:t>3.5</w:t>
      </w:r>
      <w:r>
        <w:rPr>
          <w:rStyle w:val="18"/>
          <w:rFonts w:hint="eastAsia" w:ascii="宋体" w:hAnsi="宋体" w:cs="宋体"/>
          <w:color w:val="2C2C36"/>
          <w:sz w:val="24"/>
          <w:szCs w:val="24"/>
          <w:lang w:val="en-US" w:eastAsia="zh-CN"/>
        </w:rPr>
        <w:t>数据处理</w:t>
      </w:r>
      <w:r>
        <w:rPr>
          <w:rStyle w:val="18"/>
          <w:rFonts w:hint="eastAsia" w:ascii="宋体" w:hAnsi="宋体" w:cs="宋体"/>
          <w:color w:val="2C2C36"/>
          <w:sz w:val="24"/>
          <w:szCs w:val="24"/>
        </w:rPr>
        <w:t>试验</w:t>
      </w:r>
      <w:r>
        <w:rPr>
          <w:rFonts w:hint="eastAsia" w:ascii="宋体" w:hAnsi="宋体" w:cs="宋体"/>
          <w:color w:val="2C2C36"/>
          <w:sz w:val="24"/>
          <w:szCs w:val="24"/>
        </w:rPr>
        <w:t>：</w:t>
      </w:r>
      <w:r>
        <w:rPr>
          <w:rFonts w:hint="eastAsia" w:ascii="宋体" w:hAnsi="宋体" w:eastAsia="宋体" w:cs="宋体"/>
          <w:color w:val="2C2C36"/>
          <w:sz w:val="24"/>
          <w:szCs w:val="24"/>
          <w:lang w:val="en-US" w:eastAsia="zh-CN"/>
        </w:rPr>
        <w:t>监测管理中心的数据处理宜</w:t>
      </w:r>
      <w:r>
        <w:rPr>
          <w:rFonts w:hint="eastAsia" w:ascii="宋体" w:hAnsi="宋体" w:eastAsia="宋体" w:cs="宋体"/>
          <w:color w:val="2C2C36"/>
          <w:sz w:val="24"/>
          <w:szCs w:val="24"/>
        </w:rPr>
        <w:t>配备计算机软硬件和专用网络，对采集的发电侧实时数据和历史数据进行统计、分析、存储等，对数据采集和数据传输设备进行远程维护，与</w:t>
      </w:r>
      <w:r>
        <w:rPr>
          <w:rFonts w:hint="eastAsia" w:ascii="宋体" w:hAnsi="宋体" w:eastAsia="宋体" w:cs="宋体"/>
          <w:color w:val="2C2C36"/>
          <w:sz w:val="24"/>
          <w:szCs w:val="24"/>
          <w:lang w:val="en-US" w:eastAsia="zh-CN"/>
        </w:rPr>
        <w:t>各层</w:t>
      </w:r>
      <w:r>
        <w:rPr>
          <w:rFonts w:hint="eastAsia" w:ascii="宋体" w:hAnsi="宋体" w:eastAsia="宋体" w:cs="宋体"/>
          <w:color w:val="2C2C36"/>
          <w:sz w:val="24"/>
          <w:szCs w:val="24"/>
          <w:lang w:eastAsia="zh-CN"/>
        </w:rPr>
        <w:t>电网</w:t>
      </w:r>
      <w:r>
        <w:rPr>
          <w:rFonts w:hint="eastAsia" w:ascii="宋体" w:hAnsi="宋体" w:eastAsia="宋体" w:cs="宋体"/>
          <w:color w:val="2C2C36"/>
          <w:sz w:val="24"/>
          <w:szCs w:val="24"/>
          <w:lang w:val="en-US" w:eastAsia="zh-CN"/>
        </w:rPr>
        <w:t>侧</w:t>
      </w:r>
      <w:r>
        <w:rPr>
          <w:rFonts w:hint="eastAsia" w:ascii="宋体" w:hAnsi="宋体" w:eastAsia="宋体" w:cs="宋体"/>
          <w:color w:val="2C2C36"/>
          <w:sz w:val="24"/>
          <w:szCs w:val="24"/>
        </w:rPr>
        <w:t>的监测数据进行交互和比对，对异常情况进行警示提醒。</w:t>
      </w:r>
    </w:p>
    <w:p w14:paraId="351EED1E">
      <w:pPr>
        <w:pStyle w:val="4"/>
        <w:spacing w:line="400" w:lineRule="exact"/>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4 试验结果与分析</w:t>
      </w:r>
    </w:p>
    <w:tbl>
      <w:tblPr>
        <w:tblStyle w:val="16"/>
        <w:tblW w:w="85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52"/>
        <w:gridCol w:w="3645"/>
      </w:tblGrid>
      <w:tr w14:paraId="7896C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597" w:type="dxa"/>
            <w:gridSpan w:val="2"/>
            <w:vAlign w:val="center"/>
          </w:tcPr>
          <w:p w14:paraId="2EAB3180">
            <w:pPr>
              <w:jc w:val="center"/>
              <w:rPr>
                <w:rFonts w:hint="default" w:eastAsia="宋体"/>
                <w:bCs/>
                <w:sz w:val="18"/>
                <w:szCs w:val="18"/>
                <w:highlight w:val="none"/>
                <w:lang w:val="en-US" w:eastAsia="zh-CN"/>
              </w:rPr>
            </w:pPr>
            <w:r>
              <w:rPr>
                <w:rFonts w:hint="eastAsia"/>
                <w:b/>
                <w:bCs w:val="0"/>
                <w:sz w:val="18"/>
                <w:szCs w:val="18"/>
                <w:highlight w:val="none"/>
              </w:rPr>
              <w:t>基于电力流的碳排放计量  第</w:t>
            </w:r>
            <w:r>
              <w:rPr>
                <w:rFonts w:hint="eastAsia"/>
                <w:b/>
                <w:bCs w:val="0"/>
                <w:sz w:val="18"/>
                <w:szCs w:val="18"/>
                <w:highlight w:val="none"/>
                <w:lang w:val="en-US" w:eastAsia="zh-CN"/>
              </w:rPr>
              <w:t>5</w:t>
            </w:r>
            <w:r>
              <w:rPr>
                <w:rFonts w:hint="eastAsia"/>
                <w:b/>
                <w:bCs w:val="0"/>
                <w:sz w:val="18"/>
                <w:szCs w:val="18"/>
                <w:highlight w:val="none"/>
              </w:rPr>
              <w:t>部分：计量</w:t>
            </w:r>
            <w:r>
              <w:rPr>
                <w:rFonts w:hint="eastAsia"/>
                <w:b/>
                <w:bCs w:val="0"/>
                <w:sz w:val="18"/>
                <w:szCs w:val="18"/>
                <w:highlight w:val="none"/>
                <w:lang w:val="en-US" w:eastAsia="zh-CN"/>
              </w:rPr>
              <w:t>系统建设指南</w:t>
            </w:r>
          </w:p>
        </w:tc>
      </w:tr>
      <w:tr w14:paraId="40986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952" w:type="dxa"/>
            <w:vAlign w:val="center"/>
          </w:tcPr>
          <w:p w14:paraId="4ABA5C5A">
            <w:pPr>
              <w:jc w:val="center"/>
              <w:rPr>
                <w:rFonts w:hint="eastAsia" w:ascii="宋体" w:hAnsi="宋体"/>
                <w:b/>
                <w:bCs w:val="0"/>
                <w:sz w:val="18"/>
                <w:szCs w:val="18"/>
                <w:highlight w:val="none"/>
              </w:rPr>
            </w:pPr>
            <w:r>
              <w:rPr>
                <w:rFonts w:ascii="宋体" w:hAnsi="宋体"/>
                <w:b/>
                <w:bCs w:val="0"/>
                <w:sz w:val="18"/>
                <w:szCs w:val="18"/>
                <w:highlight w:val="none"/>
              </w:rPr>
              <w:t>被测</w:t>
            </w:r>
            <w:r>
              <w:rPr>
                <w:rFonts w:hint="eastAsia" w:ascii="宋体" w:hAnsi="宋体"/>
                <w:b/>
                <w:bCs w:val="0"/>
                <w:sz w:val="18"/>
                <w:szCs w:val="18"/>
                <w:highlight w:val="none"/>
                <w:lang w:val="en-US" w:eastAsia="zh-CN"/>
              </w:rPr>
              <w:t>系统</w:t>
            </w:r>
            <w:r>
              <w:rPr>
                <w:rFonts w:hint="eastAsia" w:ascii="宋体" w:hAnsi="宋体"/>
                <w:b/>
                <w:bCs w:val="0"/>
                <w:sz w:val="18"/>
                <w:szCs w:val="18"/>
                <w:highlight w:val="none"/>
              </w:rPr>
              <w:t>型号</w:t>
            </w:r>
          </w:p>
        </w:tc>
        <w:tc>
          <w:tcPr>
            <w:tcW w:w="3645" w:type="dxa"/>
            <w:vAlign w:val="center"/>
          </w:tcPr>
          <w:p w14:paraId="6A75B472">
            <w:pPr>
              <w:jc w:val="left"/>
              <w:rPr>
                <w:bCs/>
                <w:sz w:val="18"/>
                <w:szCs w:val="18"/>
                <w:highlight w:val="none"/>
              </w:rPr>
            </w:pPr>
            <w:r>
              <w:rPr>
                <w:rFonts w:hint="eastAsia"/>
                <w:bCs/>
                <w:sz w:val="18"/>
                <w:szCs w:val="18"/>
                <w:highlight w:val="none"/>
              </w:rPr>
              <w:t>WE6180</w:t>
            </w:r>
          </w:p>
        </w:tc>
      </w:tr>
      <w:tr w14:paraId="7B3F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952" w:type="dxa"/>
            <w:vAlign w:val="center"/>
          </w:tcPr>
          <w:p w14:paraId="326AABFF">
            <w:pPr>
              <w:jc w:val="center"/>
              <w:rPr>
                <w:rFonts w:hint="eastAsia" w:ascii="宋体" w:hAnsi="宋体"/>
                <w:b/>
                <w:bCs w:val="0"/>
                <w:sz w:val="18"/>
                <w:szCs w:val="18"/>
                <w:highlight w:val="none"/>
              </w:rPr>
            </w:pPr>
            <w:r>
              <w:rPr>
                <w:rFonts w:ascii="宋体" w:hAnsi="宋体"/>
                <w:b/>
                <w:bCs w:val="0"/>
                <w:sz w:val="18"/>
                <w:szCs w:val="18"/>
                <w:highlight w:val="none"/>
              </w:rPr>
              <w:t>测试条件</w:t>
            </w:r>
          </w:p>
        </w:tc>
        <w:tc>
          <w:tcPr>
            <w:tcW w:w="3645" w:type="dxa"/>
            <w:vAlign w:val="center"/>
          </w:tcPr>
          <w:p w14:paraId="41552A28">
            <w:pPr>
              <w:ind w:right="-136" w:rightChars="-65"/>
              <w:jc w:val="left"/>
              <w:rPr>
                <w:bCs/>
                <w:sz w:val="18"/>
                <w:szCs w:val="18"/>
                <w:highlight w:val="none"/>
              </w:rPr>
            </w:pPr>
            <w:r>
              <w:rPr>
                <w:rFonts w:hint="eastAsia"/>
                <w:bCs/>
                <w:sz w:val="18"/>
                <w:szCs w:val="18"/>
                <w:highlight w:val="none"/>
                <w:lang w:val="en-US" w:eastAsia="zh-CN"/>
              </w:rPr>
              <w:t>系统后台启动完成、初始化完成，数据库及各类中间件启动正常，页面能正常访问。</w:t>
            </w:r>
          </w:p>
        </w:tc>
      </w:tr>
      <w:tr w14:paraId="1AFE4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952" w:type="dxa"/>
            <w:vAlign w:val="center"/>
          </w:tcPr>
          <w:p w14:paraId="58F7D80C">
            <w:pPr>
              <w:jc w:val="center"/>
              <w:rPr>
                <w:rFonts w:ascii="宋体" w:hAnsi="宋体"/>
                <w:b/>
                <w:bCs w:val="0"/>
                <w:sz w:val="18"/>
                <w:szCs w:val="18"/>
                <w:highlight w:val="none"/>
              </w:rPr>
            </w:pPr>
            <w:r>
              <w:rPr>
                <w:rFonts w:hint="eastAsia" w:ascii="宋体" w:hAnsi="宋体"/>
                <w:b/>
                <w:bCs w:val="0"/>
                <w:sz w:val="18"/>
                <w:szCs w:val="18"/>
                <w:highlight w:val="none"/>
              </w:rPr>
              <w:t>测试项</w:t>
            </w:r>
          </w:p>
        </w:tc>
        <w:tc>
          <w:tcPr>
            <w:tcW w:w="3645" w:type="dxa"/>
            <w:vAlign w:val="center"/>
          </w:tcPr>
          <w:p w14:paraId="37282ACA">
            <w:pPr>
              <w:ind w:left="-105" w:leftChars="-50" w:right="-136" w:rightChars="-65" w:firstLine="221"/>
              <w:jc w:val="center"/>
              <w:rPr>
                <w:rFonts w:hint="eastAsia"/>
                <w:bCs/>
                <w:sz w:val="18"/>
                <w:szCs w:val="18"/>
                <w:highlight w:val="none"/>
              </w:rPr>
            </w:pPr>
            <w:r>
              <w:rPr>
                <w:rFonts w:hint="eastAsia"/>
                <w:b/>
                <w:bCs w:val="0"/>
                <w:sz w:val="18"/>
                <w:szCs w:val="18"/>
                <w:highlight w:val="none"/>
              </w:rPr>
              <w:t>测试结果</w:t>
            </w:r>
          </w:p>
        </w:tc>
      </w:tr>
      <w:tr w14:paraId="027C8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3E42876D">
            <w:pPr>
              <w:ind w:right="-145" w:rightChars="-69"/>
              <w:jc w:val="left"/>
              <w:rPr>
                <w:rFonts w:hint="eastAsia"/>
                <w:bCs/>
                <w:sz w:val="18"/>
                <w:szCs w:val="18"/>
                <w:highlight w:val="yellow"/>
              </w:rPr>
            </w:pPr>
            <w:r>
              <w:rPr>
                <w:rFonts w:hint="eastAsia"/>
                <w:bCs/>
                <w:sz w:val="18"/>
                <w:szCs w:val="18"/>
                <w:highlight w:val="none"/>
                <w:lang w:val="en-US" w:eastAsia="zh-CN"/>
              </w:rPr>
              <w:t>对不少于100节点的电力拓扑进行计算环境模拟，其中至少要包含发电厂、变电站、电力负荷，系统能够对各节点监测结果都能正确的收集、统计与分类展示</w:t>
            </w:r>
          </w:p>
        </w:tc>
        <w:tc>
          <w:tcPr>
            <w:tcW w:w="3645" w:type="dxa"/>
            <w:vAlign w:val="center"/>
          </w:tcPr>
          <w:p w14:paraId="09F1209B">
            <w:pPr>
              <w:jc w:val="left"/>
              <w:rPr>
                <w:bCs/>
                <w:sz w:val="18"/>
                <w:szCs w:val="18"/>
                <w:highlight w:val="yellow"/>
              </w:rPr>
            </w:pPr>
            <w:r>
              <w:rPr>
                <w:rFonts w:hint="eastAsia"/>
                <w:bCs/>
                <w:sz w:val="18"/>
                <w:szCs w:val="18"/>
                <w:highlight w:val="none"/>
                <w:lang w:val="en-US" w:eastAsia="zh-CN"/>
              </w:rPr>
              <w:t>通过模拟104节点，包括10电厂、80变电站站节点和14个电力用户，能够清晰展示各环节电碳因子和电力碳排放量。</w:t>
            </w:r>
          </w:p>
        </w:tc>
      </w:tr>
      <w:tr w14:paraId="7242D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2008E5B4">
            <w:pPr>
              <w:ind w:right="-145" w:rightChars="-69"/>
              <w:jc w:val="left"/>
              <w:rPr>
                <w:rFonts w:hint="eastAsia"/>
                <w:bCs/>
                <w:sz w:val="18"/>
                <w:szCs w:val="18"/>
                <w:highlight w:val="none"/>
                <w:lang w:val="en-US" w:eastAsia="zh-CN"/>
              </w:rPr>
            </w:pPr>
            <w:r>
              <w:rPr>
                <w:rFonts w:hint="eastAsia"/>
                <w:bCs/>
                <w:sz w:val="18"/>
                <w:szCs w:val="18"/>
                <w:highlight w:val="none"/>
                <w:lang w:val="en-US" w:eastAsia="zh-CN"/>
              </w:rPr>
              <w:t>整套系统能够正确从跨多层级进行交互与协同，能够与现场计量设备基于标准通信协议进行交互，并能够正确的解析与数据展示。</w:t>
            </w:r>
          </w:p>
        </w:tc>
        <w:tc>
          <w:tcPr>
            <w:tcW w:w="3645" w:type="dxa"/>
            <w:shd w:val="clear" w:color="auto" w:fill="auto"/>
            <w:vAlign w:val="center"/>
          </w:tcPr>
          <w:p w14:paraId="1060F27A">
            <w:pPr>
              <w:ind w:right="-145" w:rightChars="-69"/>
              <w:jc w:val="left"/>
              <w:rPr>
                <w:rFonts w:hint="eastAsia"/>
                <w:bCs/>
                <w:sz w:val="18"/>
                <w:szCs w:val="18"/>
                <w:highlight w:val="none"/>
                <w:lang w:val="en-US" w:eastAsia="zh-CN"/>
              </w:rPr>
            </w:pPr>
            <w:r>
              <w:rPr>
                <w:rFonts w:hint="eastAsia"/>
                <w:bCs/>
                <w:sz w:val="18"/>
                <w:szCs w:val="18"/>
                <w:highlight w:val="none"/>
                <w:lang w:val="en-US" w:eastAsia="zh-CN"/>
              </w:rPr>
              <w:t>通过系统运行，能够从系统查询到实时监测数据，且电碳计量数据与表计上的展示结果一致。</w:t>
            </w:r>
          </w:p>
        </w:tc>
      </w:tr>
      <w:tr w14:paraId="7A4B1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5A48541E">
            <w:pPr>
              <w:ind w:right="-145" w:rightChars="-69"/>
              <w:jc w:val="left"/>
              <w:rPr>
                <w:rFonts w:hint="eastAsia"/>
                <w:bCs/>
                <w:sz w:val="18"/>
                <w:szCs w:val="18"/>
                <w:highlight w:val="none"/>
                <w:lang w:val="en-US" w:eastAsia="zh-CN"/>
              </w:rPr>
            </w:pPr>
            <w:r>
              <w:rPr>
                <w:rFonts w:hint="eastAsia"/>
                <w:bCs/>
                <w:sz w:val="18"/>
                <w:szCs w:val="18"/>
                <w:highlight w:val="none"/>
                <w:lang w:val="en-US" w:eastAsia="zh-CN"/>
              </w:rPr>
              <w:t>系统支持对发电侧数据进行采集汇总，能够查询与展示发电侧电碳排放量与电碳排放因子。</w:t>
            </w:r>
          </w:p>
        </w:tc>
        <w:tc>
          <w:tcPr>
            <w:tcW w:w="3645" w:type="dxa"/>
            <w:vAlign w:val="center"/>
          </w:tcPr>
          <w:p w14:paraId="23CFE9DA">
            <w:pPr>
              <w:ind w:right="-145" w:rightChars="-69"/>
              <w:jc w:val="left"/>
              <w:rPr>
                <w:rFonts w:hint="eastAsia"/>
                <w:bCs/>
                <w:sz w:val="18"/>
                <w:szCs w:val="18"/>
                <w:highlight w:val="none"/>
                <w:lang w:val="en-US" w:eastAsia="zh-CN"/>
              </w:rPr>
            </w:pPr>
            <w:r>
              <w:rPr>
                <w:rFonts w:hint="eastAsia"/>
                <w:bCs/>
                <w:sz w:val="18"/>
                <w:szCs w:val="18"/>
                <w:highlight w:val="none"/>
                <w:lang w:val="en-US" w:eastAsia="zh-CN"/>
              </w:rPr>
              <w:t>通过系统运行，能够正确展示发电侧电碳排放量与电碳排放因子。</w:t>
            </w:r>
          </w:p>
        </w:tc>
      </w:tr>
      <w:tr w14:paraId="6FA1B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3DF0C0C7">
            <w:pPr>
              <w:ind w:right="-145" w:rightChars="-69"/>
              <w:jc w:val="left"/>
              <w:rPr>
                <w:rFonts w:hint="eastAsia"/>
                <w:bCs/>
                <w:sz w:val="18"/>
                <w:szCs w:val="18"/>
                <w:highlight w:val="none"/>
                <w:lang w:val="en-US" w:eastAsia="zh-CN"/>
              </w:rPr>
            </w:pPr>
            <w:r>
              <w:rPr>
                <w:rFonts w:hint="eastAsia"/>
                <w:bCs/>
                <w:sz w:val="18"/>
                <w:szCs w:val="18"/>
                <w:highlight w:val="none"/>
                <w:lang w:val="en-US" w:eastAsia="zh-CN"/>
              </w:rPr>
              <w:t>系统支持对发电侧机组碳排放数据、上网电量数据和电力碳排放因子数据实时采集，并将数据同步给监测管理中心</w:t>
            </w:r>
          </w:p>
        </w:tc>
        <w:tc>
          <w:tcPr>
            <w:tcW w:w="3645" w:type="dxa"/>
            <w:vAlign w:val="center"/>
          </w:tcPr>
          <w:p w14:paraId="58207127">
            <w:pPr>
              <w:ind w:right="-145" w:rightChars="-69"/>
              <w:jc w:val="left"/>
              <w:rPr>
                <w:rFonts w:hint="eastAsia"/>
                <w:bCs/>
                <w:sz w:val="18"/>
                <w:szCs w:val="18"/>
                <w:highlight w:val="none"/>
                <w:lang w:val="en-US" w:eastAsia="zh-CN"/>
              </w:rPr>
            </w:pPr>
            <w:r>
              <w:rPr>
                <w:rFonts w:hint="eastAsia"/>
                <w:bCs/>
                <w:sz w:val="18"/>
                <w:szCs w:val="18"/>
                <w:highlight w:val="none"/>
                <w:lang w:val="en-US" w:eastAsia="zh-CN"/>
              </w:rPr>
              <w:t>系统运行，可在监测管理中心中查询到实时发电侧机组碳排放数据、上网电量和电力碳排放因子数据。</w:t>
            </w:r>
          </w:p>
        </w:tc>
      </w:tr>
      <w:tr w14:paraId="43A1C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52" w:type="dxa"/>
            <w:vAlign w:val="center"/>
          </w:tcPr>
          <w:p w14:paraId="40E7CFF0">
            <w:pPr>
              <w:ind w:right="-145" w:rightChars="-69"/>
              <w:jc w:val="left"/>
              <w:rPr>
                <w:rFonts w:hint="eastAsia"/>
                <w:bCs/>
                <w:sz w:val="18"/>
                <w:szCs w:val="18"/>
                <w:highlight w:val="none"/>
                <w:lang w:val="en-US" w:eastAsia="zh-CN"/>
              </w:rPr>
            </w:pPr>
            <w:r>
              <w:rPr>
                <w:rFonts w:hint="default"/>
                <w:bCs/>
                <w:sz w:val="18"/>
                <w:szCs w:val="18"/>
                <w:highlight w:val="none"/>
                <w:lang w:val="en-US" w:eastAsia="zh-CN"/>
              </w:rPr>
              <w:t>监测管理中心</w:t>
            </w:r>
            <w:r>
              <w:rPr>
                <w:rFonts w:hint="eastAsia"/>
                <w:bCs/>
                <w:sz w:val="18"/>
                <w:szCs w:val="18"/>
                <w:highlight w:val="none"/>
                <w:lang w:val="en-US" w:eastAsia="zh-CN"/>
              </w:rPr>
              <w:t>所采集数据应保证在5min内进行不少于1年的数据存盘，并且支持多维度数据存储。</w:t>
            </w:r>
          </w:p>
        </w:tc>
        <w:tc>
          <w:tcPr>
            <w:tcW w:w="3645" w:type="dxa"/>
            <w:vAlign w:val="center"/>
          </w:tcPr>
          <w:p w14:paraId="1820F69E">
            <w:pPr>
              <w:ind w:right="-145" w:rightChars="-69"/>
              <w:jc w:val="left"/>
              <w:rPr>
                <w:rFonts w:hint="eastAsia"/>
                <w:bCs/>
                <w:sz w:val="18"/>
                <w:szCs w:val="18"/>
                <w:highlight w:val="none"/>
                <w:lang w:val="en-US" w:eastAsia="zh-CN"/>
              </w:rPr>
            </w:pPr>
            <w:r>
              <w:rPr>
                <w:rFonts w:hint="eastAsia"/>
                <w:bCs/>
                <w:sz w:val="18"/>
                <w:szCs w:val="18"/>
                <w:highlight w:val="none"/>
                <w:lang w:val="en-US" w:eastAsia="zh-CN"/>
              </w:rPr>
              <w:t>数据采集后1min内入库完成，支持发电侧分析、潮流分析、用户分析等多维度数据分析指标、界面、报表汇总与生成。</w:t>
            </w:r>
          </w:p>
        </w:tc>
      </w:tr>
    </w:tbl>
    <w:p w14:paraId="160DAF45">
      <w:pPr>
        <w:pStyle w:val="15"/>
        <w:spacing w:before="120" w:beforeAutospacing="0" w:after="120" w:afterAutospacing="0" w:line="400" w:lineRule="exact"/>
        <w:ind w:firstLine="480" w:firstLineChars="200"/>
        <w:rPr>
          <w:rFonts w:hint="eastAsia"/>
          <w:color w:val="2C2C36"/>
        </w:rPr>
      </w:pPr>
      <w:r>
        <w:rPr>
          <w:rFonts w:hint="eastAsia"/>
          <w:color w:val="2C2C36"/>
        </w:rPr>
        <w:t>所有参与试验的企业均提供了详细的试验报告，证实了</w:t>
      </w:r>
      <w:r>
        <w:rPr>
          <w:rFonts w:hint="eastAsia" w:ascii="宋体" w:hAnsi="宋体" w:cs="宋体"/>
          <w:sz w:val="24"/>
          <w:szCs w:val="24"/>
          <w:lang w:val="en-US" w:eastAsia="zh-CN"/>
        </w:rPr>
        <w:t>基于电力流的碳排放计量设备</w:t>
      </w:r>
      <w:r>
        <w:rPr>
          <w:rFonts w:hint="eastAsia"/>
          <w:color w:val="2C2C36"/>
        </w:rPr>
        <w:t>的各项技术指标符合或超过预期目标。试验结果表明，</w:t>
      </w:r>
      <w:r>
        <w:rPr>
          <w:rFonts w:hint="eastAsia" w:ascii="宋体" w:hAnsi="宋体" w:cs="宋体"/>
          <w:sz w:val="24"/>
          <w:szCs w:val="24"/>
          <w:lang w:val="en-US" w:eastAsia="zh-CN"/>
        </w:rPr>
        <w:t>基于电力流的碳排放计量设备</w:t>
      </w:r>
      <w:r>
        <w:rPr>
          <w:rFonts w:hint="eastAsia"/>
          <w:color w:val="2C2C36"/>
        </w:rPr>
        <w:t>能够在复杂多变的环境中稳定运行，具备良好的环境适应性、机械耐用性、电气安全性和</w:t>
      </w:r>
      <w:r>
        <w:rPr>
          <w:rFonts w:hint="eastAsia"/>
          <w:color w:val="2C2C36"/>
          <w:lang w:val="en-US" w:eastAsia="zh-CN"/>
        </w:rPr>
        <w:t>计量准确性</w:t>
      </w:r>
      <w:r>
        <w:rPr>
          <w:rFonts w:hint="eastAsia"/>
          <w:color w:val="2C2C36"/>
        </w:rPr>
        <w:t>，同时确保了操作人员的安全。</w:t>
      </w:r>
    </w:p>
    <w:p w14:paraId="0D3E9BD5">
      <w:pPr>
        <w:pStyle w:val="3"/>
        <w:spacing w:line="400" w:lineRule="exact"/>
        <w:rPr>
          <w:rFonts w:hint="eastAsia" w:cs="黑体" w:asciiTheme="majorEastAsia" w:hAnsiTheme="majorEastAsia" w:eastAsiaTheme="majorEastAsia"/>
          <w:b w:val="0"/>
          <w:bCs w:val="0"/>
          <w:color w:val="FF0000"/>
          <w:sz w:val="28"/>
          <w:szCs w:val="28"/>
        </w:rPr>
      </w:pPr>
      <w:r>
        <w:rPr>
          <w:rFonts w:hint="eastAsia" w:cs="黑体" w:asciiTheme="majorEastAsia" w:hAnsiTheme="majorEastAsia" w:eastAsiaTheme="majorEastAsia"/>
          <w:sz w:val="28"/>
          <w:szCs w:val="28"/>
        </w:rPr>
        <w:t>四、 标准涉及专利情况</w:t>
      </w:r>
    </w:p>
    <w:p w14:paraId="3A8C2543">
      <w:pPr>
        <w:spacing w:line="400" w:lineRule="exact"/>
        <w:ind w:firstLine="480" w:firstLineChars="200"/>
        <w:rPr>
          <w:sz w:val="24"/>
          <w:szCs w:val="24"/>
        </w:rPr>
      </w:pPr>
      <w:r>
        <w:rPr>
          <w:rFonts w:hint="eastAsia"/>
          <w:sz w:val="24"/>
          <w:szCs w:val="24"/>
        </w:rPr>
        <w:t>本文件不涉及任何专利问题</w:t>
      </w:r>
      <w:r>
        <w:rPr>
          <w:sz w:val="24"/>
          <w:szCs w:val="24"/>
        </w:rPr>
        <w:t>。</w:t>
      </w:r>
    </w:p>
    <w:p w14:paraId="49CF008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五、 预期达到的社会效益、对产业发展的作用</w:t>
      </w:r>
    </w:p>
    <w:p w14:paraId="0AD624B9">
      <w:pPr>
        <w:spacing w:line="360" w:lineRule="auto"/>
        <w:ind w:firstLine="480" w:firstLineChars="200"/>
        <w:rPr>
          <w:b/>
          <w:bCs/>
        </w:rPr>
      </w:pPr>
      <w:r>
        <w:rPr>
          <w:rFonts w:hint="eastAsia" w:eastAsia="宋体" w:cs="Times New Roman"/>
          <w:sz w:val="24"/>
          <w:szCs w:val="24"/>
          <w:lang w:val="en-US" w:eastAsia="zh-CN"/>
        </w:rPr>
        <w:t>本标准明确基于电力流的碳排放计量系统组成，规定建设总体原则及需考虑的因素，适用于系统设计与建设，将从 “双碳” 落地、民生保障、治理优化三方面释放社会效益：</w:t>
      </w:r>
      <w:r>
        <w:rPr>
          <w:rFonts w:hint="eastAsia" w:eastAsia="宋体" w:cs="Times New Roman"/>
          <w:b/>
          <w:bCs/>
          <w:sz w:val="24"/>
          <w:szCs w:val="24"/>
          <w:lang w:val="en-US" w:eastAsia="zh-CN"/>
        </w:rPr>
        <w:t>夯实 “双碳” 数据底座，助力政策精准落地。</w:t>
      </w:r>
      <w:r>
        <w:rPr>
          <w:rFonts w:hint="eastAsia" w:eastAsia="宋体" w:cs="Times New Roman"/>
          <w:sz w:val="24"/>
          <w:szCs w:val="24"/>
          <w:lang w:val="en-US" w:eastAsia="zh-CN"/>
        </w:rPr>
        <w:t>当前电力碳计量存在“系统分散、数据碎片化”问题，部分地区因缺乏统一建设规范，导致碳数据无法跨区域互通。本标准通过明确系统组成与系统性建设原则，推动形成 “全域覆盖、数据互联”的计量体系，确保电力流与碳流数据实时联动、精准核算</w:t>
      </w:r>
      <w:r>
        <w:rPr>
          <w:rFonts w:hint="eastAsia" w:cs="Times New Roman"/>
          <w:sz w:val="24"/>
          <w:szCs w:val="24"/>
          <w:lang w:val="en-US" w:eastAsia="zh-CN"/>
        </w:rPr>
        <w:t>，</w:t>
      </w:r>
      <w:r>
        <w:rPr>
          <w:rFonts w:hint="eastAsia" w:eastAsia="宋体" w:cs="Times New Roman"/>
          <w:sz w:val="24"/>
          <w:szCs w:val="24"/>
          <w:lang w:val="en-US" w:eastAsia="zh-CN"/>
        </w:rPr>
        <w:t>为政府制定新能源碳减排激励政策、优化电力碳配额分配提供可靠数据支撑，推动 “双碳” 目标从宏观规划向具象落地转化。</w:t>
      </w:r>
      <w:r>
        <w:rPr>
          <w:rFonts w:hint="eastAsia" w:eastAsia="宋体" w:cs="Times New Roman"/>
          <w:b/>
          <w:bCs/>
          <w:sz w:val="24"/>
          <w:szCs w:val="24"/>
          <w:lang w:val="en-US" w:eastAsia="zh-CN"/>
        </w:rPr>
        <w:t>保障公众用能知情权，引导低碳生活方式。</w:t>
      </w:r>
      <w:r>
        <w:rPr>
          <w:rFonts w:hint="eastAsia" w:eastAsia="宋体" w:cs="Times New Roman"/>
          <w:sz w:val="24"/>
          <w:szCs w:val="24"/>
          <w:lang w:val="en-US" w:eastAsia="zh-CN"/>
        </w:rPr>
        <w:t>标准在建设需考虑因素中强调“数据公开性”，要求系统设置可监测功能，清晰呈现区域、行业及重点用户的用电碳排放情况。这一要求可打破碳数据“专业壁垒”，公众可更直观了解自身用电的碳足迹，避免因信息不透明导致的低碳参与意愿不足问题；同时，基于统一系统的碳数据披露，能推动企业公开用能碳排放信息，倒逼高耗能企业节能降碳，间接降低民生用能成本，引导全社会形成“知碳、减碳”的绿色生活方式。</w:t>
      </w:r>
      <w:r>
        <w:rPr>
          <w:rFonts w:ascii="宋体" w:hAnsi="宋体" w:eastAsia="宋体" w:cs="宋体"/>
          <w:b/>
          <w:bCs/>
          <w:kern w:val="0"/>
          <w:sz w:val="24"/>
          <w:szCs w:val="24"/>
          <w:lang w:val="en-US" w:eastAsia="zh-CN" w:bidi="ar"/>
        </w:rPr>
        <w:t>提升治理效率，降低社会运行成本</w:t>
      </w:r>
      <w:r>
        <w:rPr>
          <w:rFonts w:hint="eastAsia" w:ascii="宋体" w:hAnsi="宋体" w:eastAsia="宋体" w:cs="宋体"/>
          <w:b/>
          <w:bCs/>
          <w:kern w:val="0"/>
          <w:sz w:val="24"/>
          <w:szCs w:val="24"/>
          <w:lang w:val="en-US" w:eastAsia="zh-CN" w:bidi="ar"/>
        </w:rPr>
        <w:t>。</w:t>
      </w:r>
    </w:p>
    <w:p w14:paraId="0E07C934">
      <w:pPr>
        <w:spacing w:line="360" w:lineRule="auto"/>
        <w:rPr>
          <w:rFonts w:hint="eastAsia" w:eastAsia="宋体" w:cs="Times New Roman"/>
          <w:sz w:val="24"/>
          <w:szCs w:val="24"/>
          <w:lang w:val="en-US" w:eastAsia="zh-CN"/>
        </w:rPr>
      </w:pPr>
      <w:r>
        <w:rPr>
          <w:rFonts w:hint="eastAsia" w:eastAsia="宋体" w:cs="Times New Roman"/>
          <w:sz w:val="24"/>
          <w:szCs w:val="24"/>
          <w:lang w:val="en-US" w:eastAsia="zh-CN"/>
        </w:rPr>
        <w:t>标准规定建设需考虑 “数据保护与信息安全”，要求系统保障数据传输与存储安全，可有效解决传统分散系统 “重复建设、数据孤岛、安全风险高” 的痛点。一方面，统一建设规范减少地方政府与企业的重复投入，预计可降低系统建设成本25%以上；另一方面，标准化的系统架构让监管部门无需跨平台调取数据，大幅提升碳监管效率，同时规避数据泄露风险，为社会治理提供 “高效、安全” 的技术支撑。</w:t>
      </w:r>
    </w:p>
    <w:p w14:paraId="008995C6">
      <w:pPr>
        <w:spacing w:line="360" w:lineRule="auto"/>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本标准以电力流碳计量系统设计与建设为核心，通过明确系统组成、原则及建设要素，将从技术升级、市场规范、产业协同三方面赋能产业发展：</w:t>
      </w:r>
      <w:r>
        <w:rPr>
          <w:rFonts w:hint="eastAsia" w:eastAsia="宋体" w:cs="Times New Roman"/>
          <w:b/>
          <w:bCs/>
          <w:sz w:val="24"/>
          <w:szCs w:val="24"/>
          <w:lang w:val="en-US" w:eastAsia="zh-CN"/>
        </w:rPr>
        <w:t>倒逼技术创新升级，引领系统建设技术突破。</w:t>
      </w:r>
      <w:r>
        <w:rPr>
          <w:rFonts w:hint="eastAsia" w:eastAsia="宋体" w:cs="Times New Roman"/>
          <w:sz w:val="24"/>
          <w:szCs w:val="24"/>
          <w:lang w:val="en-US" w:eastAsia="zh-CN"/>
        </w:rPr>
        <w:t>标准在系统组成中纳入智能化核算模块，要求建设时考虑“实时监测设备、状态监测设备”，将倒逼企业突破传统计量系统 “功能单一、适配性差” 的技术瓶颈。同时，标准为科研机构提供明确研发方向，推动“电力系统+碳计量+数字化技术”跨界融合，加速新型传感器、智能核算软件等技术产业化，助力我国碳计量系统产业从“传统建设”向“智慧化、高适配”转型。</w:t>
      </w:r>
      <w:r>
        <w:rPr>
          <w:rFonts w:hint="eastAsia" w:eastAsia="宋体" w:cs="Times New Roman"/>
          <w:b/>
          <w:bCs/>
          <w:sz w:val="24"/>
          <w:szCs w:val="24"/>
          <w:lang w:val="en-US" w:eastAsia="zh-CN"/>
        </w:rPr>
        <w:t>规范市场竞争秩序，激活系统建设市场活力。</w:t>
      </w:r>
      <w:r>
        <w:rPr>
          <w:rFonts w:hint="eastAsia" w:eastAsia="宋体" w:cs="Times New Roman"/>
          <w:sz w:val="24"/>
          <w:szCs w:val="24"/>
          <w:lang w:val="en-US" w:eastAsia="zh-CN"/>
        </w:rPr>
        <w:t>当前碳计量系统建设市场存在“方案不明确、质量标准不统一”问题，部分企业以低价提供简易系统，却无法满足长期稳定运行需求。本标准通过明确系统组成、建设原则及核心要素，建立统一的市场准入与建设标准，淘汰不符合要求的方案。同时，标准的公开性降低市场信息不对称，帮助电力企业、园区等需求方精准选择合规建设方案，推动市场资源向技术领先企业集中。</w:t>
      </w:r>
      <w:r>
        <w:rPr>
          <w:rFonts w:hint="eastAsia" w:ascii="Calibri" w:hAnsi="Calibri" w:eastAsia="宋体" w:cs="Times New Roman"/>
          <w:b/>
          <w:bCs/>
          <w:kern w:val="2"/>
          <w:sz w:val="24"/>
          <w:szCs w:val="24"/>
          <w:lang w:val="en-US" w:eastAsia="zh-CN" w:bidi="ar-SA"/>
        </w:rPr>
        <w:t>推动产业协同联动，构建“电-碳-数字”全链条生态</w:t>
      </w:r>
      <w:r>
        <w:rPr>
          <w:rFonts w:hint="eastAsia" w:eastAsia="宋体" w:cs="Times New Roman"/>
          <w:b/>
          <w:bCs/>
          <w:kern w:val="2"/>
          <w:sz w:val="24"/>
          <w:szCs w:val="24"/>
          <w:lang w:val="en-US" w:eastAsia="zh-CN" w:bidi="ar-SA"/>
        </w:rPr>
        <w:t>。</w:t>
      </w:r>
      <w:r>
        <w:rPr>
          <w:rFonts w:hint="eastAsia" w:eastAsia="宋体" w:cs="Times New Roman"/>
          <w:sz w:val="24"/>
          <w:szCs w:val="24"/>
          <w:lang w:val="en-US" w:eastAsia="zh-CN"/>
        </w:rPr>
        <w:t>标准的适用范围覆盖系统设计与建设，且要求建设时考虑多模块协同、多场景适配，将拉动上下游产业联动：在上游，系统数据采集、核算模块需求将带动高精度传感器、工业软件产业增长；在中游，标准化建设推动系统集成、工程服务企业专业化发展；在下游，系统输出的精准碳数据将赋能碳咨询、碳交易服务产业，帮助电力企业优化碳履约策略。此外，标准要求系统兼容跨区域数据互通，可推动电力行业与钢铁、化工等行业的碳计量系统协同建设，形成“数据互通、产业联动”的碳管理生态，为我国“双碳”背景下的产业结构优化提供关键支撑。</w:t>
      </w:r>
    </w:p>
    <w:p w14:paraId="333D5113">
      <w:pPr>
        <w:pStyle w:val="2"/>
        <w:rPr>
          <w:rFonts w:hint="eastAsia"/>
          <w:sz w:val="28"/>
          <w:szCs w:val="28"/>
        </w:rPr>
      </w:pPr>
      <w:r>
        <w:rPr>
          <w:rFonts w:hint="eastAsia" w:cs="黑体" w:asciiTheme="majorEastAsia" w:hAnsiTheme="majorEastAsia" w:eastAsiaTheme="majorEastAsia"/>
          <w:sz w:val="28"/>
          <w:szCs w:val="28"/>
        </w:rPr>
        <w:t>六、</w:t>
      </w:r>
      <w:r>
        <w:rPr>
          <w:rFonts w:hint="eastAsia"/>
          <w:sz w:val="28"/>
          <w:szCs w:val="28"/>
        </w:rPr>
        <w:t>标准与现有标准、制定中标准的协调配套情况</w:t>
      </w:r>
    </w:p>
    <w:p w14:paraId="30397D37">
      <w:pPr>
        <w:spacing w:line="360" w:lineRule="auto"/>
        <w:ind w:firstLine="480" w:firstLineChars="200"/>
        <w:rPr>
          <w:rFonts w:hint="eastAsia" w:eastAsia="宋体" w:cs="Times New Roman"/>
          <w:sz w:val="24"/>
          <w:szCs w:val="24"/>
          <w:lang w:val="en-US" w:eastAsia="zh-CN"/>
        </w:rPr>
      </w:pPr>
      <w:r>
        <w:rPr>
          <w:sz w:val="24"/>
          <w:szCs w:val="24"/>
        </w:rPr>
        <w:t>与现有标准、制定中的标准没有矛盾。</w:t>
      </w:r>
    </w:p>
    <w:p w14:paraId="5AB8C268">
      <w:pPr>
        <w:pStyle w:val="2"/>
        <w:rPr>
          <w:rFonts w:hint="eastAsia"/>
          <w:sz w:val="28"/>
          <w:szCs w:val="28"/>
          <w:lang w:val="zh-CN"/>
        </w:rPr>
      </w:pPr>
      <w:r>
        <w:rPr>
          <w:rFonts w:hint="eastAsia"/>
          <w:sz w:val="28"/>
          <w:szCs w:val="28"/>
          <w:lang w:val="zh-CN"/>
        </w:rPr>
        <w:t>七、采用国际标准和国外先进标准情况</w:t>
      </w:r>
    </w:p>
    <w:p w14:paraId="21FCA08E">
      <w:pPr>
        <w:spacing w:line="400" w:lineRule="exact"/>
        <w:ind w:firstLine="480" w:firstLineChars="200"/>
        <w:rPr>
          <w:rFonts w:hint="eastAsia" w:eastAsia="宋体" w:cs="Times New Roman"/>
          <w:sz w:val="24"/>
          <w:szCs w:val="24"/>
          <w:lang w:val="en-US" w:eastAsia="zh-CN"/>
        </w:rPr>
      </w:pPr>
      <w:r>
        <w:rPr>
          <w:rFonts w:hint="eastAsia" w:eastAsia="宋体" w:cs="Times New Roman"/>
          <w:sz w:val="24"/>
          <w:szCs w:val="24"/>
          <w:lang w:val="en-US" w:eastAsia="zh-CN"/>
        </w:rPr>
        <w:t>国际层面，ISO 14064、IEC 61970暂未发布针对“基于电力流的碳排放计量系统建设”的专项标准，相关要求分散于碳核算、电力系统标准中，缺乏系统组成、建设原则的全流程规范。</w:t>
      </w:r>
    </w:p>
    <w:p w14:paraId="39ED78C0">
      <w:pPr>
        <w:spacing w:line="400" w:lineRule="exact"/>
        <w:ind w:firstLine="480" w:firstLineChars="200"/>
        <w:rPr>
          <w:rFonts w:hint="eastAsia" w:eastAsia="宋体"/>
          <w:sz w:val="24"/>
          <w:szCs w:val="24"/>
        </w:rPr>
      </w:pPr>
      <w:r>
        <w:rPr>
          <w:rFonts w:hint="eastAsia"/>
          <w:sz w:val="24"/>
          <w:szCs w:val="24"/>
        </w:rPr>
        <w:t>目前国内外没有《基于电力流的碳排放计量  第</w:t>
      </w:r>
      <w:r>
        <w:rPr>
          <w:rFonts w:hint="eastAsia"/>
          <w:sz w:val="24"/>
          <w:szCs w:val="24"/>
          <w:lang w:val="en-US" w:eastAsia="zh-CN"/>
        </w:rPr>
        <w:t>5</w:t>
      </w:r>
      <w:r>
        <w:rPr>
          <w:rFonts w:hint="eastAsia"/>
          <w:sz w:val="24"/>
          <w:szCs w:val="24"/>
        </w:rPr>
        <w:t>部分：</w:t>
      </w:r>
      <w:r>
        <w:rPr>
          <w:rFonts w:hint="eastAsia"/>
          <w:sz w:val="24"/>
          <w:szCs w:val="24"/>
          <w:lang w:eastAsia="zh-CN"/>
        </w:rPr>
        <w:t>计量系统建设指南</w:t>
      </w:r>
      <w:r>
        <w:rPr>
          <w:rFonts w:hint="eastAsia"/>
          <w:sz w:val="24"/>
          <w:szCs w:val="24"/>
        </w:rPr>
        <w:t>》相关行业标准。</w:t>
      </w:r>
      <w:r>
        <w:rPr>
          <w:rFonts w:hint="eastAsia"/>
          <w:sz w:val="24"/>
          <w:szCs w:val="24"/>
          <w:lang w:val="en-US" w:eastAsia="zh-CN"/>
        </w:rPr>
        <w:t>本标准</w:t>
      </w:r>
      <w:r>
        <w:rPr>
          <w:rFonts w:hint="eastAsia" w:eastAsia="宋体"/>
          <w:sz w:val="24"/>
          <w:szCs w:val="24"/>
        </w:rPr>
        <w:t>填补</w:t>
      </w:r>
      <w:r>
        <w:rPr>
          <w:rFonts w:hint="eastAsia" w:eastAsia="宋体"/>
          <w:sz w:val="24"/>
          <w:szCs w:val="24"/>
          <w:lang w:val="en-US" w:eastAsia="zh-CN"/>
        </w:rPr>
        <w:t>了</w:t>
      </w:r>
      <w:r>
        <w:rPr>
          <w:rFonts w:hint="eastAsia" w:eastAsia="宋体"/>
          <w:sz w:val="24"/>
          <w:szCs w:val="24"/>
        </w:rPr>
        <w:t>国际专项规范空白</w:t>
      </w:r>
      <w:r>
        <w:rPr>
          <w:rFonts w:hint="eastAsia" w:eastAsia="宋体"/>
          <w:sz w:val="24"/>
          <w:szCs w:val="24"/>
          <w:lang w:eastAsia="zh-CN"/>
        </w:rPr>
        <w:t>。</w:t>
      </w:r>
      <w:r>
        <w:rPr>
          <w:rFonts w:hint="eastAsia"/>
          <w:sz w:val="24"/>
          <w:szCs w:val="24"/>
        </w:rPr>
        <w:t>通过制定《基于电力流的碳排放计量  第</w:t>
      </w:r>
      <w:r>
        <w:rPr>
          <w:rFonts w:hint="eastAsia"/>
          <w:sz w:val="24"/>
          <w:szCs w:val="24"/>
          <w:lang w:val="en-US" w:eastAsia="zh-CN"/>
        </w:rPr>
        <w:t>5</w:t>
      </w:r>
      <w:r>
        <w:rPr>
          <w:rFonts w:hint="eastAsia"/>
          <w:sz w:val="24"/>
          <w:szCs w:val="24"/>
        </w:rPr>
        <w:t>部分：</w:t>
      </w:r>
      <w:r>
        <w:rPr>
          <w:rFonts w:hint="eastAsia"/>
          <w:sz w:val="24"/>
          <w:szCs w:val="24"/>
          <w:lang w:eastAsia="zh-CN"/>
        </w:rPr>
        <w:t>计量系统建设指南</w:t>
      </w:r>
      <w:r>
        <w:rPr>
          <w:rFonts w:hint="eastAsia"/>
          <w:sz w:val="24"/>
          <w:szCs w:val="24"/>
        </w:rPr>
        <w:t>》，能够统一</w:t>
      </w:r>
      <w:r>
        <w:rPr>
          <w:rFonts w:hint="eastAsia"/>
          <w:sz w:val="24"/>
          <w:szCs w:val="24"/>
          <w:lang w:val="en-US" w:eastAsia="zh-CN"/>
        </w:rPr>
        <w:t>基于电力流的碳排放计量系统建设的总体原则和需考虑的因素，</w:t>
      </w:r>
      <w:r>
        <w:rPr>
          <w:rFonts w:hint="eastAsia" w:eastAsia="宋体"/>
          <w:sz w:val="24"/>
          <w:szCs w:val="24"/>
        </w:rPr>
        <w:t>建设原则强调跨</w:t>
      </w:r>
      <w:r>
        <w:rPr>
          <w:rFonts w:hint="eastAsia" w:eastAsia="宋体"/>
          <w:sz w:val="24"/>
          <w:szCs w:val="24"/>
          <w:lang w:val="en-US" w:eastAsia="zh-CN"/>
        </w:rPr>
        <w:t>信息安全性</w:t>
      </w:r>
      <w:r>
        <w:rPr>
          <w:rFonts w:hint="eastAsia" w:eastAsia="宋体"/>
          <w:sz w:val="24"/>
          <w:szCs w:val="24"/>
        </w:rPr>
        <w:t>，关键指标与国际先进要求同步，既保障国际兼容，又凸显本土化应用优势。​</w:t>
      </w:r>
    </w:p>
    <w:p w14:paraId="27D5D549">
      <w:pPr>
        <w:pStyle w:val="7"/>
      </w:pPr>
    </w:p>
    <w:p w14:paraId="223D2E80">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八、标准性质的重大分歧意见的处理经过和依据</w:t>
      </w:r>
    </w:p>
    <w:p w14:paraId="7E631C4A">
      <w:pPr>
        <w:spacing w:line="400" w:lineRule="exact"/>
        <w:ind w:firstLine="480" w:firstLineChars="200"/>
        <w:rPr>
          <w:rFonts w:ascii="Times New Roman" w:hAnsi="Times New Roman"/>
          <w:sz w:val="24"/>
          <w:szCs w:val="24"/>
          <w:lang w:val="zh-CN"/>
        </w:rPr>
      </w:pPr>
      <w:r>
        <w:rPr>
          <w:rFonts w:ascii="Times New Roman" w:hAnsi="Times New Roman"/>
          <w:sz w:val="24"/>
          <w:szCs w:val="24"/>
          <w:lang w:val="zh-CN"/>
        </w:rPr>
        <w:t>无。</w:t>
      </w:r>
    </w:p>
    <w:p w14:paraId="1686E82E">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九、标准性质的建议说明</w:t>
      </w:r>
    </w:p>
    <w:p w14:paraId="354328BA">
      <w:pPr>
        <w:pStyle w:val="3"/>
        <w:ind w:firstLine="480" w:firstLineChars="200"/>
        <w:rPr>
          <w:rFonts w:ascii="Times New Roman" w:hAnsi="Times New Roman"/>
          <w:b w:val="0"/>
          <w:bCs w:val="0"/>
          <w:kern w:val="2"/>
          <w:sz w:val="24"/>
          <w:szCs w:val="24"/>
        </w:rPr>
      </w:pPr>
      <w:r>
        <w:rPr>
          <w:rFonts w:ascii="Times New Roman" w:hAnsi="Times New Roman"/>
          <w:b w:val="0"/>
          <w:bCs w:val="0"/>
          <w:kern w:val="2"/>
          <w:sz w:val="24"/>
          <w:szCs w:val="24"/>
        </w:rPr>
        <w:t>本</w:t>
      </w:r>
      <w:r>
        <w:rPr>
          <w:rFonts w:hint="eastAsia" w:ascii="Times New Roman" w:hAnsi="Times New Roman"/>
          <w:b w:val="0"/>
          <w:bCs w:val="0"/>
          <w:kern w:val="2"/>
          <w:sz w:val="24"/>
          <w:szCs w:val="24"/>
        </w:rPr>
        <w:t>文件为首次制定，</w:t>
      </w:r>
      <w:r>
        <w:rPr>
          <w:rFonts w:ascii="Times New Roman" w:hAnsi="Times New Roman"/>
          <w:b w:val="0"/>
          <w:bCs w:val="0"/>
          <w:kern w:val="2"/>
          <w:sz w:val="24"/>
          <w:szCs w:val="24"/>
        </w:rPr>
        <w:t>为推荐性</w:t>
      </w:r>
      <w:r>
        <w:rPr>
          <w:rFonts w:hint="eastAsia" w:ascii="Times New Roman" w:hAnsi="Times New Roman"/>
          <w:b w:val="0"/>
          <w:bCs w:val="0"/>
          <w:kern w:val="2"/>
          <w:sz w:val="24"/>
          <w:szCs w:val="24"/>
        </w:rPr>
        <w:t>团体</w:t>
      </w:r>
      <w:r>
        <w:rPr>
          <w:rFonts w:ascii="Times New Roman" w:hAnsi="Times New Roman"/>
          <w:b w:val="0"/>
          <w:bCs w:val="0"/>
          <w:kern w:val="2"/>
          <w:sz w:val="24"/>
          <w:szCs w:val="24"/>
        </w:rPr>
        <w:t>标准。</w:t>
      </w:r>
    </w:p>
    <w:p w14:paraId="339DC1FB">
      <w:pPr>
        <w:pStyle w:val="3"/>
        <w:rPr>
          <w:rFonts w:ascii="Times New Roman" w:hAnsi="Times New Roman"/>
          <w:sz w:val="28"/>
          <w:szCs w:val="28"/>
        </w:rPr>
      </w:pPr>
      <w:r>
        <w:rPr>
          <w:rFonts w:hint="eastAsia" w:ascii="Times New Roman" w:hAnsi="Times New Roman"/>
          <w:sz w:val="28"/>
          <w:szCs w:val="28"/>
        </w:rPr>
        <w:t>十</w:t>
      </w:r>
      <w:r>
        <w:rPr>
          <w:rFonts w:ascii="Times New Roman" w:hAnsi="Times New Roman"/>
          <w:sz w:val="28"/>
          <w:szCs w:val="28"/>
        </w:rPr>
        <w:t>、</w:t>
      </w:r>
      <w:r>
        <w:rPr>
          <w:rFonts w:hint="eastAsia" w:ascii="Times New Roman" w:hAnsi="Times New Roman"/>
          <w:sz w:val="28"/>
          <w:szCs w:val="28"/>
        </w:rPr>
        <w:t>贯彻标准的要求和措施建议</w:t>
      </w:r>
    </w:p>
    <w:p w14:paraId="0C8FEB74">
      <w:pPr>
        <w:spacing w:line="400" w:lineRule="exac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无。</w:t>
      </w:r>
    </w:p>
    <w:p w14:paraId="0797CBCC">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十一、废止现行相关标准的建议</w:t>
      </w:r>
    </w:p>
    <w:p w14:paraId="50440448">
      <w:pPr>
        <w:spacing w:line="400" w:lineRule="exact"/>
        <w:rPr>
          <w:rFonts w:hint="eastAsia" w:ascii="黑体" w:hAnsi="黑体" w:eastAsia="黑体" w:cs="黑体"/>
          <w:b/>
          <w:bCs/>
          <w:sz w:val="24"/>
          <w:szCs w:val="24"/>
        </w:rPr>
      </w:pPr>
      <w:r>
        <w:rPr>
          <w:rFonts w:hint="eastAsia" w:ascii="宋体" w:hAnsi="宋体" w:cs="宋体"/>
          <w:szCs w:val="21"/>
        </w:rPr>
        <w:t xml:space="preserve">  </w:t>
      </w:r>
      <w:r>
        <w:rPr>
          <w:rFonts w:hint="eastAsia" w:ascii="宋体" w:hAnsi="宋体" w:cs="宋体"/>
          <w:sz w:val="24"/>
          <w:szCs w:val="24"/>
        </w:rPr>
        <w:t xml:space="preserve">  无。</w:t>
      </w:r>
    </w:p>
    <w:p w14:paraId="746E6445">
      <w:pPr>
        <w:pStyle w:val="3"/>
        <w:spacing w:line="400" w:lineRule="exact"/>
        <w:rPr>
          <w:rFonts w:hint="eastAsia" w:cs="黑体" w:asciiTheme="majorEastAsia" w:hAnsiTheme="majorEastAsia" w:eastAsiaTheme="majorEastAsia"/>
          <w:sz w:val="28"/>
          <w:szCs w:val="28"/>
        </w:rPr>
      </w:pPr>
      <w:r>
        <w:rPr>
          <w:rFonts w:hint="eastAsia" w:cs="黑体" w:asciiTheme="majorEastAsia" w:hAnsiTheme="majorEastAsia" w:eastAsiaTheme="majorEastAsia"/>
          <w:sz w:val="28"/>
          <w:szCs w:val="28"/>
        </w:rPr>
        <w:t>十二、其他予以说明的事项</w:t>
      </w:r>
    </w:p>
    <w:p w14:paraId="3ACF3809">
      <w:pPr>
        <w:spacing w:line="360" w:lineRule="auto"/>
        <w:ind w:firstLine="480" w:firstLineChars="200"/>
        <w:rPr>
          <w:rFonts w:hint="eastAsia" w:ascii="宋体" w:hAnsi="宋体" w:cs="宋体"/>
          <w:sz w:val="24"/>
          <w:szCs w:val="24"/>
        </w:rPr>
      </w:pP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11-12</w:t>
      </w:r>
      <w:r>
        <w:rPr>
          <w:rFonts w:hint="eastAsia"/>
          <w:sz w:val="24"/>
          <w:szCs w:val="24"/>
        </w:rPr>
        <w:t>日，在</w:t>
      </w:r>
      <w:r>
        <w:rPr>
          <w:rFonts w:hint="eastAsia"/>
          <w:sz w:val="24"/>
          <w:szCs w:val="24"/>
          <w:lang w:val="en-US" w:eastAsia="zh-CN"/>
        </w:rPr>
        <w:t>池州</w:t>
      </w:r>
      <w:r>
        <w:rPr>
          <w:rFonts w:hint="eastAsia"/>
          <w:sz w:val="24"/>
          <w:szCs w:val="24"/>
        </w:rPr>
        <w:t>市组织召开第一次工作组会议，对工作组讨论稿的标准化对象、结构进行了认真、细致的逐条讨论，达成标准名字共识，经工作组成员共同讨论</w:t>
      </w:r>
      <w:r>
        <w:rPr>
          <w:rFonts w:hint="eastAsia" w:ascii="宋体" w:hAnsi="宋体" w:cs="宋体"/>
          <w:sz w:val="24"/>
          <w:szCs w:val="24"/>
        </w:rPr>
        <w:t>将原立项名称《基于电力流的碳排放计量 第5部分：计量监测系统建设指南》改为《基于电力流的碳排放计量 第5部分：计量系统建设指南》。</w:t>
      </w:r>
    </w:p>
    <w:p w14:paraId="4B463548">
      <w:pPr>
        <w:spacing w:line="400" w:lineRule="exact"/>
        <w:rPr>
          <w:rFonts w:hint="eastAsia" w:ascii="宋体" w:hAnsi="宋体" w:cs="宋体"/>
          <w:sz w:val="24"/>
          <w:szCs w:val="24"/>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C07F">
    <w:pPr>
      <w:pStyle w:val="11"/>
      <w:jc w:val="center"/>
    </w:pPr>
    <w:r>
      <w:fldChar w:fldCharType="begin"/>
    </w:r>
    <w:r>
      <w:instrText xml:space="preserve">PAGE   \* MERGEFORMAT</w:instrText>
    </w:r>
    <w:r>
      <w:fldChar w:fldCharType="separate"/>
    </w:r>
    <w:r>
      <w:t>5</w:t>
    </w:r>
    <w:r>
      <w:fldChar w:fldCharType="end"/>
    </w:r>
  </w:p>
  <w:p w14:paraId="7F7501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A74A">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pStyle w:val="30"/>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21860"/>
    <w:rsid w:val="00021AD1"/>
    <w:rsid w:val="00023888"/>
    <w:rsid w:val="00024C13"/>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14B97"/>
    <w:rsid w:val="0012193A"/>
    <w:rsid w:val="001237E0"/>
    <w:rsid w:val="00131C05"/>
    <w:rsid w:val="001327F4"/>
    <w:rsid w:val="0013476B"/>
    <w:rsid w:val="00140FB8"/>
    <w:rsid w:val="00141B98"/>
    <w:rsid w:val="001446ED"/>
    <w:rsid w:val="00146EDD"/>
    <w:rsid w:val="00160328"/>
    <w:rsid w:val="00161356"/>
    <w:rsid w:val="00165275"/>
    <w:rsid w:val="00176D1E"/>
    <w:rsid w:val="00183189"/>
    <w:rsid w:val="00183CAA"/>
    <w:rsid w:val="00184D4C"/>
    <w:rsid w:val="00192421"/>
    <w:rsid w:val="00192C8B"/>
    <w:rsid w:val="00194207"/>
    <w:rsid w:val="001A424B"/>
    <w:rsid w:val="001A507A"/>
    <w:rsid w:val="001A72FB"/>
    <w:rsid w:val="001B4E14"/>
    <w:rsid w:val="001C06AA"/>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5331"/>
    <w:rsid w:val="00226544"/>
    <w:rsid w:val="00233031"/>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031"/>
    <w:rsid w:val="002C06C2"/>
    <w:rsid w:val="002C464D"/>
    <w:rsid w:val="002C4E91"/>
    <w:rsid w:val="002C769C"/>
    <w:rsid w:val="002E1DAF"/>
    <w:rsid w:val="002E1F6F"/>
    <w:rsid w:val="002E2F23"/>
    <w:rsid w:val="002E30C6"/>
    <w:rsid w:val="002F02C5"/>
    <w:rsid w:val="002F3DF7"/>
    <w:rsid w:val="002F4CF5"/>
    <w:rsid w:val="002F7CA0"/>
    <w:rsid w:val="0030109E"/>
    <w:rsid w:val="00307E6D"/>
    <w:rsid w:val="00310AD6"/>
    <w:rsid w:val="00311B24"/>
    <w:rsid w:val="00312657"/>
    <w:rsid w:val="00313D58"/>
    <w:rsid w:val="00316665"/>
    <w:rsid w:val="00316AEB"/>
    <w:rsid w:val="00317C9F"/>
    <w:rsid w:val="0032633E"/>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CCA"/>
    <w:rsid w:val="0042301F"/>
    <w:rsid w:val="00426380"/>
    <w:rsid w:val="00426D41"/>
    <w:rsid w:val="00433F0D"/>
    <w:rsid w:val="00446D83"/>
    <w:rsid w:val="00450B65"/>
    <w:rsid w:val="00453CFD"/>
    <w:rsid w:val="00454BA9"/>
    <w:rsid w:val="0046366A"/>
    <w:rsid w:val="00472477"/>
    <w:rsid w:val="00473EC6"/>
    <w:rsid w:val="00491AAF"/>
    <w:rsid w:val="00493324"/>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06C65"/>
    <w:rsid w:val="00514919"/>
    <w:rsid w:val="0052574F"/>
    <w:rsid w:val="0053279D"/>
    <w:rsid w:val="005370AB"/>
    <w:rsid w:val="0054263F"/>
    <w:rsid w:val="005453CA"/>
    <w:rsid w:val="00547862"/>
    <w:rsid w:val="005517EF"/>
    <w:rsid w:val="00551D13"/>
    <w:rsid w:val="00552196"/>
    <w:rsid w:val="0055341B"/>
    <w:rsid w:val="00554865"/>
    <w:rsid w:val="00560931"/>
    <w:rsid w:val="00576B8F"/>
    <w:rsid w:val="00580A71"/>
    <w:rsid w:val="00581791"/>
    <w:rsid w:val="00586D07"/>
    <w:rsid w:val="00587F37"/>
    <w:rsid w:val="00596C29"/>
    <w:rsid w:val="005A0A0F"/>
    <w:rsid w:val="005A7101"/>
    <w:rsid w:val="005B04B9"/>
    <w:rsid w:val="005D3277"/>
    <w:rsid w:val="005E1501"/>
    <w:rsid w:val="005E3C02"/>
    <w:rsid w:val="005E5126"/>
    <w:rsid w:val="005F1579"/>
    <w:rsid w:val="005F2E08"/>
    <w:rsid w:val="005F79C2"/>
    <w:rsid w:val="00601078"/>
    <w:rsid w:val="00604FD1"/>
    <w:rsid w:val="00607AF6"/>
    <w:rsid w:val="00612AE7"/>
    <w:rsid w:val="00625C85"/>
    <w:rsid w:val="00626486"/>
    <w:rsid w:val="00634184"/>
    <w:rsid w:val="00642FCC"/>
    <w:rsid w:val="00644264"/>
    <w:rsid w:val="00647254"/>
    <w:rsid w:val="00656F8B"/>
    <w:rsid w:val="00657FF9"/>
    <w:rsid w:val="00667F80"/>
    <w:rsid w:val="00670A94"/>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3722A"/>
    <w:rsid w:val="0074014F"/>
    <w:rsid w:val="00740307"/>
    <w:rsid w:val="00741613"/>
    <w:rsid w:val="007425D3"/>
    <w:rsid w:val="00742878"/>
    <w:rsid w:val="00752B3F"/>
    <w:rsid w:val="00755DF0"/>
    <w:rsid w:val="007638AD"/>
    <w:rsid w:val="007646B5"/>
    <w:rsid w:val="0077233D"/>
    <w:rsid w:val="007731CB"/>
    <w:rsid w:val="00775364"/>
    <w:rsid w:val="007763BD"/>
    <w:rsid w:val="00781EEC"/>
    <w:rsid w:val="00782CFC"/>
    <w:rsid w:val="00783699"/>
    <w:rsid w:val="00792363"/>
    <w:rsid w:val="007932EA"/>
    <w:rsid w:val="00796501"/>
    <w:rsid w:val="007A0FB8"/>
    <w:rsid w:val="007A282E"/>
    <w:rsid w:val="007A39E9"/>
    <w:rsid w:val="007B25F6"/>
    <w:rsid w:val="007B6B4B"/>
    <w:rsid w:val="007B75E0"/>
    <w:rsid w:val="007C53A8"/>
    <w:rsid w:val="007C6BE0"/>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6923"/>
    <w:rsid w:val="0081723B"/>
    <w:rsid w:val="008261D3"/>
    <w:rsid w:val="00834EAE"/>
    <w:rsid w:val="00840377"/>
    <w:rsid w:val="008422E2"/>
    <w:rsid w:val="0085109D"/>
    <w:rsid w:val="008652F1"/>
    <w:rsid w:val="00876073"/>
    <w:rsid w:val="008A1B7C"/>
    <w:rsid w:val="008A4BB3"/>
    <w:rsid w:val="008B5921"/>
    <w:rsid w:val="008B5D3C"/>
    <w:rsid w:val="008B6F36"/>
    <w:rsid w:val="008C2741"/>
    <w:rsid w:val="008C2E7C"/>
    <w:rsid w:val="008D51C7"/>
    <w:rsid w:val="008E7074"/>
    <w:rsid w:val="008F1A3F"/>
    <w:rsid w:val="00904D19"/>
    <w:rsid w:val="0091049B"/>
    <w:rsid w:val="00911E72"/>
    <w:rsid w:val="009123EA"/>
    <w:rsid w:val="00915B37"/>
    <w:rsid w:val="00916365"/>
    <w:rsid w:val="009303E4"/>
    <w:rsid w:val="0094073D"/>
    <w:rsid w:val="00946D87"/>
    <w:rsid w:val="00950997"/>
    <w:rsid w:val="00951150"/>
    <w:rsid w:val="0096265C"/>
    <w:rsid w:val="009649D1"/>
    <w:rsid w:val="00971FFA"/>
    <w:rsid w:val="009729E2"/>
    <w:rsid w:val="00980CC7"/>
    <w:rsid w:val="0098120E"/>
    <w:rsid w:val="00983CE9"/>
    <w:rsid w:val="009909D4"/>
    <w:rsid w:val="009910D3"/>
    <w:rsid w:val="00993015"/>
    <w:rsid w:val="00997646"/>
    <w:rsid w:val="009C5A85"/>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425F"/>
    <w:rsid w:val="00A65029"/>
    <w:rsid w:val="00A73B4E"/>
    <w:rsid w:val="00A76F83"/>
    <w:rsid w:val="00A80185"/>
    <w:rsid w:val="00A83ABF"/>
    <w:rsid w:val="00A854F6"/>
    <w:rsid w:val="00A855B9"/>
    <w:rsid w:val="00A9442A"/>
    <w:rsid w:val="00AA02D0"/>
    <w:rsid w:val="00AA1F60"/>
    <w:rsid w:val="00AA22DB"/>
    <w:rsid w:val="00AB29A6"/>
    <w:rsid w:val="00AC2761"/>
    <w:rsid w:val="00AD128C"/>
    <w:rsid w:val="00AD3B06"/>
    <w:rsid w:val="00AE1FA7"/>
    <w:rsid w:val="00AF29E8"/>
    <w:rsid w:val="00AF2FC0"/>
    <w:rsid w:val="00B03E6A"/>
    <w:rsid w:val="00B0432B"/>
    <w:rsid w:val="00B04431"/>
    <w:rsid w:val="00B05335"/>
    <w:rsid w:val="00B07968"/>
    <w:rsid w:val="00B15090"/>
    <w:rsid w:val="00B223D8"/>
    <w:rsid w:val="00B227F6"/>
    <w:rsid w:val="00B25517"/>
    <w:rsid w:val="00B363A1"/>
    <w:rsid w:val="00B40259"/>
    <w:rsid w:val="00B5376B"/>
    <w:rsid w:val="00B67B85"/>
    <w:rsid w:val="00B710A0"/>
    <w:rsid w:val="00B7279A"/>
    <w:rsid w:val="00B82307"/>
    <w:rsid w:val="00B90740"/>
    <w:rsid w:val="00B94948"/>
    <w:rsid w:val="00BA1248"/>
    <w:rsid w:val="00BB392C"/>
    <w:rsid w:val="00BC2A58"/>
    <w:rsid w:val="00BC463B"/>
    <w:rsid w:val="00BC4820"/>
    <w:rsid w:val="00BD2A6B"/>
    <w:rsid w:val="00BE01BA"/>
    <w:rsid w:val="00BE06D9"/>
    <w:rsid w:val="00BE638C"/>
    <w:rsid w:val="00BE6DB7"/>
    <w:rsid w:val="00BF3D86"/>
    <w:rsid w:val="00BF5FAB"/>
    <w:rsid w:val="00C0109A"/>
    <w:rsid w:val="00C02B99"/>
    <w:rsid w:val="00C0676C"/>
    <w:rsid w:val="00C06773"/>
    <w:rsid w:val="00C07FD7"/>
    <w:rsid w:val="00C10DF5"/>
    <w:rsid w:val="00C1489F"/>
    <w:rsid w:val="00C15BDA"/>
    <w:rsid w:val="00C222DD"/>
    <w:rsid w:val="00C24F5C"/>
    <w:rsid w:val="00C267BF"/>
    <w:rsid w:val="00C27F6A"/>
    <w:rsid w:val="00C303B6"/>
    <w:rsid w:val="00C35947"/>
    <w:rsid w:val="00C35DF7"/>
    <w:rsid w:val="00C43FDE"/>
    <w:rsid w:val="00C5112C"/>
    <w:rsid w:val="00C63018"/>
    <w:rsid w:val="00C63B25"/>
    <w:rsid w:val="00C70BED"/>
    <w:rsid w:val="00C75F50"/>
    <w:rsid w:val="00C76244"/>
    <w:rsid w:val="00C81FB7"/>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27708"/>
    <w:rsid w:val="00D45ECB"/>
    <w:rsid w:val="00D7033C"/>
    <w:rsid w:val="00D84706"/>
    <w:rsid w:val="00D85F2C"/>
    <w:rsid w:val="00D86FBA"/>
    <w:rsid w:val="00D90933"/>
    <w:rsid w:val="00DA2F01"/>
    <w:rsid w:val="00DB0013"/>
    <w:rsid w:val="00DB3454"/>
    <w:rsid w:val="00DB4AD5"/>
    <w:rsid w:val="00DC3630"/>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97720"/>
    <w:rsid w:val="00EA4114"/>
    <w:rsid w:val="00EA7644"/>
    <w:rsid w:val="00EB1602"/>
    <w:rsid w:val="00EB46D7"/>
    <w:rsid w:val="00EC5B9D"/>
    <w:rsid w:val="00ED545D"/>
    <w:rsid w:val="00EE0B00"/>
    <w:rsid w:val="00EE33A6"/>
    <w:rsid w:val="00EF523C"/>
    <w:rsid w:val="00F113E9"/>
    <w:rsid w:val="00F34E25"/>
    <w:rsid w:val="00F3640C"/>
    <w:rsid w:val="00F3754A"/>
    <w:rsid w:val="00F439A4"/>
    <w:rsid w:val="00F46547"/>
    <w:rsid w:val="00F50275"/>
    <w:rsid w:val="00F5148D"/>
    <w:rsid w:val="00F51C56"/>
    <w:rsid w:val="00F52715"/>
    <w:rsid w:val="00F56F60"/>
    <w:rsid w:val="00F61FAD"/>
    <w:rsid w:val="00F64A7B"/>
    <w:rsid w:val="00F82FB7"/>
    <w:rsid w:val="00F842D4"/>
    <w:rsid w:val="00F9244E"/>
    <w:rsid w:val="00F937EE"/>
    <w:rsid w:val="00F96C35"/>
    <w:rsid w:val="00FA4E39"/>
    <w:rsid w:val="00FB4480"/>
    <w:rsid w:val="00FB7F69"/>
    <w:rsid w:val="00FD0271"/>
    <w:rsid w:val="00FD4FE4"/>
    <w:rsid w:val="00FE1150"/>
    <w:rsid w:val="00FE3DBE"/>
    <w:rsid w:val="00FF1806"/>
    <w:rsid w:val="00FF4757"/>
    <w:rsid w:val="00FF5E2B"/>
    <w:rsid w:val="00FF60E8"/>
    <w:rsid w:val="010529A1"/>
    <w:rsid w:val="015D78C2"/>
    <w:rsid w:val="01F8525A"/>
    <w:rsid w:val="025A548B"/>
    <w:rsid w:val="0267744B"/>
    <w:rsid w:val="032B7CCC"/>
    <w:rsid w:val="03C47A3D"/>
    <w:rsid w:val="03EA08A3"/>
    <w:rsid w:val="03EF27C8"/>
    <w:rsid w:val="03F3608F"/>
    <w:rsid w:val="03F73430"/>
    <w:rsid w:val="044D4541"/>
    <w:rsid w:val="04B406C8"/>
    <w:rsid w:val="051A11D0"/>
    <w:rsid w:val="051B0C7C"/>
    <w:rsid w:val="055B54AE"/>
    <w:rsid w:val="05B71053"/>
    <w:rsid w:val="061D37E4"/>
    <w:rsid w:val="07282BD2"/>
    <w:rsid w:val="073525D0"/>
    <w:rsid w:val="07933427"/>
    <w:rsid w:val="07BE0EAF"/>
    <w:rsid w:val="084D6DC9"/>
    <w:rsid w:val="08591C04"/>
    <w:rsid w:val="08C30585"/>
    <w:rsid w:val="090215F0"/>
    <w:rsid w:val="091229C5"/>
    <w:rsid w:val="093B6561"/>
    <w:rsid w:val="094B1189"/>
    <w:rsid w:val="09FF031A"/>
    <w:rsid w:val="0A95328F"/>
    <w:rsid w:val="0A9E3E3B"/>
    <w:rsid w:val="0AA00011"/>
    <w:rsid w:val="0B090D2C"/>
    <w:rsid w:val="0B257C4F"/>
    <w:rsid w:val="0B9567CA"/>
    <w:rsid w:val="0C7A2535"/>
    <w:rsid w:val="0C7A6ED4"/>
    <w:rsid w:val="0D1C75CD"/>
    <w:rsid w:val="0D5F0B5D"/>
    <w:rsid w:val="0EE86A55"/>
    <w:rsid w:val="10DF406E"/>
    <w:rsid w:val="11926D8D"/>
    <w:rsid w:val="11E90053"/>
    <w:rsid w:val="12BF58FF"/>
    <w:rsid w:val="12F24C1A"/>
    <w:rsid w:val="130509C1"/>
    <w:rsid w:val="13176148"/>
    <w:rsid w:val="13760D4E"/>
    <w:rsid w:val="13767950"/>
    <w:rsid w:val="14147A3B"/>
    <w:rsid w:val="15020CA3"/>
    <w:rsid w:val="155D62E6"/>
    <w:rsid w:val="16035571"/>
    <w:rsid w:val="162639CD"/>
    <w:rsid w:val="16436BBB"/>
    <w:rsid w:val="16970417"/>
    <w:rsid w:val="16BB474E"/>
    <w:rsid w:val="180E1119"/>
    <w:rsid w:val="18393541"/>
    <w:rsid w:val="1865506A"/>
    <w:rsid w:val="18A176F2"/>
    <w:rsid w:val="18A500EF"/>
    <w:rsid w:val="18C35161"/>
    <w:rsid w:val="195D7E33"/>
    <w:rsid w:val="198552B3"/>
    <w:rsid w:val="19970503"/>
    <w:rsid w:val="19C27D7F"/>
    <w:rsid w:val="1A55EF0C"/>
    <w:rsid w:val="1B002FFA"/>
    <w:rsid w:val="1B9907D4"/>
    <w:rsid w:val="1BE76BEB"/>
    <w:rsid w:val="1C0C749B"/>
    <w:rsid w:val="1C2A1FFA"/>
    <w:rsid w:val="1CAD7018"/>
    <w:rsid w:val="1D4460EE"/>
    <w:rsid w:val="1D4C369E"/>
    <w:rsid w:val="1D7D286E"/>
    <w:rsid w:val="1D7F2551"/>
    <w:rsid w:val="1DD31238"/>
    <w:rsid w:val="1EC427DB"/>
    <w:rsid w:val="1F417CF9"/>
    <w:rsid w:val="1F6736C2"/>
    <w:rsid w:val="1F783185"/>
    <w:rsid w:val="1FBF7A6F"/>
    <w:rsid w:val="2071095A"/>
    <w:rsid w:val="20840C8E"/>
    <w:rsid w:val="208D6BBB"/>
    <w:rsid w:val="21D7460A"/>
    <w:rsid w:val="2216145C"/>
    <w:rsid w:val="223649D8"/>
    <w:rsid w:val="228F33A1"/>
    <w:rsid w:val="22A45836"/>
    <w:rsid w:val="22B34C76"/>
    <w:rsid w:val="22FF7A6F"/>
    <w:rsid w:val="23027041"/>
    <w:rsid w:val="237A0EA4"/>
    <w:rsid w:val="237D208A"/>
    <w:rsid w:val="238C742E"/>
    <w:rsid w:val="23A75EEF"/>
    <w:rsid w:val="24481FE0"/>
    <w:rsid w:val="248311C0"/>
    <w:rsid w:val="248764B8"/>
    <w:rsid w:val="24BC14A0"/>
    <w:rsid w:val="2538360D"/>
    <w:rsid w:val="259768C4"/>
    <w:rsid w:val="25F36AC0"/>
    <w:rsid w:val="26177B96"/>
    <w:rsid w:val="26A45E4D"/>
    <w:rsid w:val="26D20B6F"/>
    <w:rsid w:val="272711D4"/>
    <w:rsid w:val="27533EE6"/>
    <w:rsid w:val="27A75FE0"/>
    <w:rsid w:val="29417347"/>
    <w:rsid w:val="29A852E1"/>
    <w:rsid w:val="29EB4EC7"/>
    <w:rsid w:val="2A2F41FE"/>
    <w:rsid w:val="2A4D3368"/>
    <w:rsid w:val="2A721FF8"/>
    <w:rsid w:val="2AA1140C"/>
    <w:rsid w:val="2B15743C"/>
    <w:rsid w:val="2B187193"/>
    <w:rsid w:val="2B2C3011"/>
    <w:rsid w:val="2B59385C"/>
    <w:rsid w:val="2B882FE3"/>
    <w:rsid w:val="2BFE0E57"/>
    <w:rsid w:val="2CBD3F75"/>
    <w:rsid w:val="2CF27769"/>
    <w:rsid w:val="2CF74318"/>
    <w:rsid w:val="2CFB12C0"/>
    <w:rsid w:val="2E060545"/>
    <w:rsid w:val="2E1F36AF"/>
    <w:rsid w:val="2FFC7C4A"/>
    <w:rsid w:val="30305AEA"/>
    <w:rsid w:val="304B257B"/>
    <w:rsid w:val="307C0364"/>
    <w:rsid w:val="30B0524B"/>
    <w:rsid w:val="30B11B46"/>
    <w:rsid w:val="31EB4AD1"/>
    <w:rsid w:val="324C2EAE"/>
    <w:rsid w:val="32D166F5"/>
    <w:rsid w:val="33152293"/>
    <w:rsid w:val="339F6C4E"/>
    <w:rsid w:val="33DA06F7"/>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6C85AB1"/>
    <w:rsid w:val="36E4386D"/>
    <w:rsid w:val="37265173"/>
    <w:rsid w:val="37346B23"/>
    <w:rsid w:val="37D35893"/>
    <w:rsid w:val="383E4EC8"/>
    <w:rsid w:val="385A6D44"/>
    <w:rsid w:val="386A7099"/>
    <w:rsid w:val="389337B6"/>
    <w:rsid w:val="389B7811"/>
    <w:rsid w:val="3922196A"/>
    <w:rsid w:val="393E24A6"/>
    <w:rsid w:val="39A560B6"/>
    <w:rsid w:val="3AA14BDA"/>
    <w:rsid w:val="3B267C8A"/>
    <w:rsid w:val="3BC86EC9"/>
    <w:rsid w:val="3BE6368D"/>
    <w:rsid w:val="3C211CB3"/>
    <w:rsid w:val="3C523343"/>
    <w:rsid w:val="3C772F67"/>
    <w:rsid w:val="3C890106"/>
    <w:rsid w:val="3D006466"/>
    <w:rsid w:val="3D1651F0"/>
    <w:rsid w:val="3D4D254F"/>
    <w:rsid w:val="3D6B1A8C"/>
    <w:rsid w:val="3DED4844"/>
    <w:rsid w:val="3E712FA9"/>
    <w:rsid w:val="3EBE5E7C"/>
    <w:rsid w:val="3F5F3197"/>
    <w:rsid w:val="3F980BD8"/>
    <w:rsid w:val="3FAD462D"/>
    <w:rsid w:val="3FB53538"/>
    <w:rsid w:val="3FB809BF"/>
    <w:rsid w:val="3FEC7CB4"/>
    <w:rsid w:val="3FFD724D"/>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496788"/>
    <w:rsid w:val="465E0411"/>
    <w:rsid w:val="46633C2B"/>
    <w:rsid w:val="467F622E"/>
    <w:rsid w:val="46CB1754"/>
    <w:rsid w:val="46E60E0B"/>
    <w:rsid w:val="46E771D4"/>
    <w:rsid w:val="47170634"/>
    <w:rsid w:val="47B411D0"/>
    <w:rsid w:val="47C066CC"/>
    <w:rsid w:val="47D55B81"/>
    <w:rsid w:val="48B6365C"/>
    <w:rsid w:val="48C64ECB"/>
    <w:rsid w:val="48FB6A8F"/>
    <w:rsid w:val="493A6E76"/>
    <w:rsid w:val="497F6E31"/>
    <w:rsid w:val="499D3D96"/>
    <w:rsid w:val="49C778F0"/>
    <w:rsid w:val="49DF1C3F"/>
    <w:rsid w:val="49EC488A"/>
    <w:rsid w:val="4A7207A7"/>
    <w:rsid w:val="4AA27F9B"/>
    <w:rsid w:val="4AE47C47"/>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1FF6B10"/>
    <w:rsid w:val="52A73009"/>
    <w:rsid w:val="52D46729"/>
    <w:rsid w:val="530024DC"/>
    <w:rsid w:val="53194738"/>
    <w:rsid w:val="538232D9"/>
    <w:rsid w:val="53836818"/>
    <w:rsid w:val="53982AFD"/>
    <w:rsid w:val="53DA11A0"/>
    <w:rsid w:val="53E32E8A"/>
    <w:rsid w:val="54915BA9"/>
    <w:rsid w:val="54C2402E"/>
    <w:rsid w:val="55FB82E4"/>
    <w:rsid w:val="564B6B63"/>
    <w:rsid w:val="56514C21"/>
    <w:rsid w:val="567345E6"/>
    <w:rsid w:val="568E367B"/>
    <w:rsid w:val="56A70A5C"/>
    <w:rsid w:val="570B3917"/>
    <w:rsid w:val="5749021F"/>
    <w:rsid w:val="5779299C"/>
    <w:rsid w:val="57AB43F8"/>
    <w:rsid w:val="57D85739"/>
    <w:rsid w:val="580F3D30"/>
    <w:rsid w:val="58221A49"/>
    <w:rsid w:val="58B42698"/>
    <w:rsid w:val="592D575A"/>
    <w:rsid w:val="596407D3"/>
    <w:rsid w:val="598B3C51"/>
    <w:rsid w:val="5A573610"/>
    <w:rsid w:val="5B2568B1"/>
    <w:rsid w:val="5B422B8B"/>
    <w:rsid w:val="5B6F6F42"/>
    <w:rsid w:val="5B825CAE"/>
    <w:rsid w:val="5B9B4131"/>
    <w:rsid w:val="5BEF6CB4"/>
    <w:rsid w:val="5C3929A3"/>
    <w:rsid w:val="5C476F4F"/>
    <w:rsid w:val="5C9748E3"/>
    <w:rsid w:val="5CBC6CD8"/>
    <w:rsid w:val="5CD740E4"/>
    <w:rsid w:val="5DB7078B"/>
    <w:rsid w:val="5DC015CE"/>
    <w:rsid w:val="5E0B66F4"/>
    <w:rsid w:val="5E7D3DE6"/>
    <w:rsid w:val="5EE83FD6"/>
    <w:rsid w:val="5F093E9D"/>
    <w:rsid w:val="5F8C425B"/>
    <w:rsid w:val="5FA42D8A"/>
    <w:rsid w:val="6045177F"/>
    <w:rsid w:val="60F308EF"/>
    <w:rsid w:val="61432360"/>
    <w:rsid w:val="6176717E"/>
    <w:rsid w:val="61A76DC0"/>
    <w:rsid w:val="62186AF3"/>
    <w:rsid w:val="622951B8"/>
    <w:rsid w:val="62492AD7"/>
    <w:rsid w:val="62A10B56"/>
    <w:rsid w:val="62BB5C43"/>
    <w:rsid w:val="63653051"/>
    <w:rsid w:val="63737A74"/>
    <w:rsid w:val="637A6826"/>
    <w:rsid w:val="639C2195"/>
    <w:rsid w:val="640A78AC"/>
    <w:rsid w:val="643B54D8"/>
    <w:rsid w:val="645B0D09"/>
    <w:rsid w:val="658028C9"/>
    <w:rsid w:val="66116ABA"/>
    <w:rsid w:val="665373D5"/>
    <w:rsid w:val="665A00E6"/>
    <w:rsid w:val="66924654"/>
    <w:rsid w:val="66C1218C"/>
    <w:rsid w:val="66DF3DF0"/>
    <w:rsid w:val="6702026A"/>
    <w:rsid w:val="677B141F"/>
    <w:rsid w:val="67FB3499"/>
    <w:rsid w:val="68467EA7"/>
    <w:rsid w:val="693F1FA0"/>
    <w:rsid w:val="69C42446"/>
    <w:rsid w:val="6A2C74F0"/>
    <w:rsid w:val="6A613793"/>
    <w:rsid w:val="6AAB298E"/>
    <w:rsid w:val="6ABE6410"/>
    <w:rsid w:val="6B8D4C87"/>
    <w:rsid w:val="6C2E17BA"/>
    <w:rsid w:val="6D48513C"/>
    <w:rsid w:val="6D762C20"/>
    <w:rsid w:val="6E1950F6"/>
    <w:rsid w:val="6E2A65EF"/>
    <w:rsid w:val="6E310AD8"/>
    <w:rsid w:val="6E940B7A"/>
    <w:rsid w:val="6FBFAB9A"/>
    <w:rsid w:val="6FF9CA01"/>
    <w:rsid w:val="703A272E"/>
    <w:rsid w:val="71726512"/>
    <w:rsid w:val="717C721C"/>
    <w:rsid w:val="719566D4"/>
    <w:rsid w:val="71DE7E1D"/>
    <w:rsid w:val="72294B2F"/>
    <w:rsid w:val="731955B0"/>
    <w:rsid w:val="74D06A77"/>
    <w:rsid w:val="75065DB7"/>
    <w:rsid w:val="76CC29FB"/>
    <w:rsid w:val="770F35FE"/>
    <w:rsid w:val="777B5002"/>
    <w:rsid w:val="77FB6B4C"/>
    <w:rsid w:val="77FB9376"/>
    <w:rsid w:val="78477BB6"/>
    <w:rsid w:val="785A5B03"/>
    <w:rsid w:val="79C4024E"/>
    <w:rsid w:val="79FC265D"/>
    <w:rsid w:val="7A5B9116"/>
    <w:rsid w:val="7ABE4CD1"/>
    <w:rsid w:val="7AFE606B"/>
    <w:rsid w:val="7B5254FB"/>
    <w:rsid w:val="7B5935FD"/>
    <w:rsid w:val="7BB27F43"/>
    <w:rsid w:val="7BB72EDA"/>
    <w:rsid w:val="7BDB6CDC"/>
    <w:rsid w:val="7C340505"/>
    <w:rsid w:val="7C471EE4"/>
    <w:rsid w:val="7CEF2CDE"/>
    <w:rsid w:val="7D4635B2"/>
    <w:rsid w:val="7D64173C"/>
    <w:rsid w:val="7D777A3E"/>
    <w:rsid w:val="7DFC1F91"/>
    <w:rsid w:val="7E0916DD"/>
    <w:rsid w:val="7E405882"/>
    <w:rsid w:val="7EA254FE"/>
    <w:rsid w:val="7EA875E5"/>
    <w:rsid w:val="7F3F716A"/>
    <w:rsid w:val="7FFF168A"/>
    <w:rsid w:val="A7EFDA38"/>
    <w:rsid w:val="B5668F57"/>
    <w:rsid w:val="D68E3D55"/>
    <w:rsid w:val="D6BB14F3"/>
    <w:rsid w:val="DCF729B3"/>
    <w:rsid w:val="DFA96B7F"/>
    <w:rsid w:val="DFDF394B"/>
    <w:rsid w:val="F3AB2DC1"/>
    <w:rsid w:val="F5E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qFormat/>
    <w:uiPriority w:val="99"/>
    <w:pPr>
      <w:keepNext/>
      <w:keepLines/>
      <w:spacing w:before="260" w:after="260" w:line="416" w:lineRule="auto"/>
      <w:outlineLvl w:val="2"/>
    </w:pPr>
    <w:rPr>
      <w:rFonts w:cs="黑体" w:asciiTheme="majorEastAsia" w:hAnsiTheme="majorEastAsia" w:eastAsiaTheme="majorEastAsia"/>
      <w:b/>
      <w:bCs/>
      <w:kern w:val="0"/>
      <w:sz w:val="28"/>
      <w:szCs w:val="28"/>
    </w:rPr>
  </w:style>
  <w:style w:type="paragraph" w:styleId="5">
    <w:name w:val="heading 4"/>
    <w:basedOn w:val="1"/>
    <w:next w:val="1"/>
    <w:link w:val="49"/>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semiHidden/>
    <w:qFormat/>
    <w:uiPriority w:val="99"/>
    <w:pPr>
      <w:jc w:val="left"/>
    </w:pPr>
    <w:rPr>
      <w:kern w:val="0"/>
      <w:sz w:val="20"/>
      <w:szCs w:val="21"/>
    </w:rPr>
  </w:style>
  <w:style w:type="paragraph" w:styleId="7">
    <w:name w:val="Body Text"/>
    <w:basedOn w:val="1"/>
    <w:next w:val="8"/>
    <w:link w:val="48"/>
    <w:qFormat/>
    <w:locked/>
    <w:uiPriority w:val="1"/>
    <w:pPr>
      <w:autoSpaceDE w:val="0"/>
      <w:autoSpaceDN w:val="0"/>
      <w:jc w:val="left"/>
    </w:pPr>
    <w:rPr>
      <w:rFonts w:ascii="宋体" w:hAnsi="宋体" w:cs="宋体"/>
      <w:kern w:val="0"/>
      <w:szCs w:val="21"/>
    </w:rPr>
  </w:style>
  <w:style w:type="paragraph" w:styleId="8">
    <w:name w:val="Title"/>
    <w:basedOn w:val="1"/>
    <w:next w:val="1"/>
    <w:qFormat/>
    <w:locked/>
    <w:uiPriority w:val="0"/>
    <w:pPr>
      <w:spacing w:before="240" w:after="60"/>
      <w:jc w:val="center"/>
      <w:outlineLvl w:val="0"/>
    </w:pPr>
    <w:rPr>
      <w:rFonts w:ascii="Arial" w:hAnsi="Arial" w:cs="Arial"/>
      <w:b/>
      <w:bCs/>
      <w:sz w:val="32"/>
      <w:szCs w:val="32"/>
    </w:rPr>
  </w:style>
  <w:style w:type="paragraph" w:styleId="9">
    <w:name w:val="Date"/>
    <w:basedOn w:val="1"/>
    <w:next w:val="1"/>
    <w:link w:val="37"/>
    <w:semiHidden/>
    <w:qFormat/>
    <w:uiPriority w:val="99"/>
    <w:pPr>
      <w:ind w:left="100" w:leftChars="2500"/>
    </w:pPr>
  </w:style>
  <w:style w:type="paragraph" w:styleId="10">
    <w:name w:val="Balloon Text"/>
    <w:basedOn w:val="1"/>
    <w:link w:val="38"/>
    <w:semiHidden/>
    <w:qFormat/>
    <w:uiPriority w:val="99"/>
    <w:rPr>
      <w:kern w:val="0"/>
      <w:sz w:val="18"/>
      <w:szCs w:val="18"/>
    </w:rPr>
  </w:style>
  <w:style w:type="paragraph" w:styleId="11">
    <w:name w:val="footer"/>
    <w:basedOn w:val="1"/>
    <w:link w:val="39"/>
    <w:qFormat/>
    <w:uiPriority w:val="99"/>
    <w:pPr>
      <w:tabs>
        <w:tab w:val="center" w:pos="4153"/>
        <w:tab w:val="right" w:pos="8306"/>
      </w:tabs>
      <w:snapToGrid w:val="0"/>
      <w:jc w:val="left"/>
    </w:pPr>
    <w:rPr>
      <w:kern w:val="0"/>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99"/>
    <w:pPr>
      <w:tabs>
        <w:tab w:val="right" w:leader="dot" w:pos="9241"/>
      </w:tabs>
      <w:spacing w:beforeLines="25" w:afterLines="25"/>
      <w:jc w:val="left"/>
    </w:pPr>
    <w:rPr>
      <w:rFonts w:ascii="宋体"/>
      <w:szCs w:val="21"/>
    </w:rPr>
  </w:style>
  <w:style w:type="paragraph" w:styleId="14">
    <w:name w:val="toc 2"/>
    <w:basedOn w:val="1"/>
    <w:next w:val="1"/>
    <w:qFormat/>
    <w:uiPriority w:val="99"/>
    <w:pPr>
      <w:tabs>
        <w:tab w:val="right" w:leader="dot" w:pos="9241"/>
      </w:tabs>
    </w:pPr>
    <w:rPr>
      <w:rFonts w:ascii="宋体"/>
      <w:szCs w:val="21"/>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8">
    <w:name w:val="Strong"/>
    <w:basedOn w:val="17"/>
    <w:qFormat/>
    <w:locked/>
    <w:uiPriority w:val="22"/>
    <w:rPr>
      <w:b/>
      <w:bCs/>
    </w:rPr>
  </w:style>
  <w:style w:type="character" w:styleId="19">
    <w:name w:val="Emphasis"/>
    <w:basedOn w:val="17"/>
    <w:qFormat/>
    <w:locked/>
    <w:uiPriority w:val="20"/>
    <w:rPr>
      <w:i/>
    </w:rPr>
  </w:style>
  <w:style w:type="character" w:styleId="20">
    <w:name w:val="Hyperlink"/>
    <w:semiHidden/>
    <w:qFormat/>
    <w:uiPriority w:val="99"/>
    <w:rPr>
      <w:rFonts w:cs="Times New Roman"/>
      <w:color w:val="0000CC"/>
      <w:u w:val="single"/>
    </w:rPr>
  </w:style>
  <w:style w:type="character" w:styleId="21">
    <w:name w:val="annotation reference"/>
    <w:semiHidden/>
    <w:qFormat/>
    <w:uiPriority w:val="99"/>
    <w:rPr>
      <w:rFonts w:cs="Times New Roman"/>
      <w:sz w:val="21"/>
    </w:rPr>
  </w:style>
  <w:style w:type="paragraph" w:customStyle="1" w:styleId="22">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3">
    <w:name w:val="列出段落1"/>
    <w:basedOn w:val="1"/>
    <w:qFormat/>
    <w:uiPriority w:val="99"/>
    <w:pPr>
      <w:ind w:firstLine="420" w:firstLineChars="200"/>
    </w:pPr>
  </w:style>
  <w:style w:type="paragraph" w:customStyle="1" w:styleId="24">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9">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0">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1">
    <w:name w:val="标准文件_二级条标题"/>
    <w:next w:val="2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2">
    <w:name w:val="标准文件_三级条标题"/>
    <w:next w:val="26"/>
    <w:qFormat/>
    <w:uiPriority w:val="0"/>
    <w:pPr>
      <w:outlineLvl w:val="3"/>
    </w:pPr>
    <w:rPr>
      <w:rFonts w:ascii="Times New Roman" w:hAnsi="Times New Roman" w:eastAsia="宋体" w:cs="Times New Roman"/>
      <w:lang w:val="en-US" w:eastAsia="zh-CN" w:bidi="ar-SA"/>
    </w:rPr>
  </w:style>
  <w:style w:type="character" w:customStyle="1" w:styleId="33">
    <w:name w:val="标题 1 字符"/>
    <w:link w:val="2"/>
    <w:qFormat/>
    <w:locked/>
    <w:uiPriority w:val="99"/>
    <w:rPr>
      <w:rFonts w:cs="Times New Roman"/>
      <w:b/>
      <w:kern w:val="44"/>
      <w:sz w:val="44"/>
    </w:rPr>
  </w:style>
  <w:style w:type="character" w:customStyle="1" w:styleId="34">
    <w:name w:val="标题 2 字符"/>
    <w:link w:val="3"/>
    <w:qFormat/>
    <w:locked/>
    <w:uiPriority w:val="99"/>
    <w:rPr>
      <w:rFonts w:ascii="Cambria" w:hAnsi="Cambria" w:eastAsia="宋体" w:cs="Times New Roman"/>
      <w:b/>
      <w:sz w:val="32"/>
    </w:rPr>
  </w:style>
  <w:style w:type="character" w:customStyle="1" w:styleId="35">
    <w:name w:val="标题 3 字符"/>
    <w:link w:val="4"/>
    <w:qFormat/>
    <w:locked/>
    <w:uiPriority w:val="99"/>
    <w:rPr>
      <w:rFonts w:cs="黑体" w:asciiTheme="majorEastAsia" w:hAnsiTheme="majorEastAsia" w:eastAsiaTheme="majorEastAsia"/>
      <w:b/>
      <w:bCs/>
      <w:sz w:val="28"/>
      <w:szCs w:val="28"/>
    </w:rPr>
  </w:style>
  <w:style w:type="character" w:customStyle="1" w:styleId="36">
    <w:name w:val="批注文字 字符"/>
    <w:link w:val="6"/>
    <w:semiHidden/>
    <w:qFormat/>
    <w:locked/>
    <w:uiPriority w:val="99"/>
    <w:rPr>
      <w:rFonts w:ascii="Calibri" w:hAnsi="Calibri" w:eastAsia="宋体" w:cs="Times New Roman"/>
      <w:sz w:val="21"/>
    </w:rPr>
  </w:style>
  <w:style w:type="character" w:customStyle="1" w:styleId="37">
    <w:name w:val="日期 字符"/>
    <w:link w:val="9"/>
    <w:semiHidden/>
    <w:qFormat/>
    <w:locked/>
    <w:uiPriority w:val="99"/>
    <w:rPr>
      <w:rFonts w:cs="Times New Roman"/>
      <w:kern w:val="2"/>
      <w:sz w:val="22"/>
      <w:szCs w:val="22"/>
    </w:rPr>
  </w:style>
  <w:style w:type="character" w:customStyle="1" w:styleId="38">
    <w:name w:val="批注框文本 字符"/>
    <w:link w:val="10"/>
    <w:semiHidden/>
    <w:qFormat/>
    <w:locked/>
    <w:uiPriority w:val="99"/>
    <w:rPr>
      <w:rFonts w:cs="Times New Roman"/>
      <w:sz w:val="18"/>
    </w:rPr>
  </w:style>
  <w:style w:type="character" w:customStyle="1" w:styleId="39">
    <w:name w:val="页脚 字符"/>
    <w:link w:val="11"/>
    <w:qFormat/>
    <w:locked/>
    <w:uiPriority w:val="99"/>
    <w:rPr>
      <w:rFonts w:cs="Times New Roman"/>
      <w:sz w:val="18"/>
    </w:rPr>
  </w:style>
  <w:style w:type="character" w:customStyle="1" w:styleId="40">
    <w:name w:val="页眉 字符"/>
    <w:link w:val="12"/>
    <w:qFormat/>
    <w:locked/>
    <w:uiPriority w:val="99"/>
    <w:rPr>
      <w:rFonts w:cs="Times New Roman"/>
      <w:sz w:val="18"/>
    </w:rPr>
  </w:style>
  <w:style w:type="character" w:customStyle="1" w:styleId="41">
    <w:name w:val="段 Char"/>
    <w:link w:val="22"/>
    <w:qFormat/>
    <w:locked/>
    <w:uiPriority w:val="99"/>
    <w:rPr>
      <w:rFonts w:ascii="宋体" w:hAnsi="Times New Roman"/>
      <w:sz w:val="22"/>
    </w:rPr>
  </w:style>
  <w:style w:type="character" w:customStyle="1" w:styleId="42">
    <w:name w:val="占位符文本1"/>
    <w:semiHidden/>
    <w:qFormat/>
    <w:uiPriority w:val="99"/>
    <w:rPr>
      <w:rFonts w:cs="Times New Roman"/>
      <w:color w:val="808080"/>
    </w:rPr>
  </w:style>
  <w:style w:type="character" w:customStyle="1" w:styleId="43">
    <w:name w:val="fontstyle01"/>
    <w:qFormat/>
    <w:uiPriority w:val="0"/>
    <w:rPr>
      <w:rFonts w:ascii="宋体" w:hAnsi="宋体" w:eastAsia="宋体" w:cs="宋体"/>
      <w:color w:val="000000"/>
      <w:sz w:val="22"/>
      <w:szCs w:val="22"/>
    </w:rPr>
  </w:style>
  <w:style w:type="paragraph" w:customStyle="1" w:styleId="44">
    <w:name w:val="一级条标题"/>
    <w:next w:val="22"/>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5">
    <w:name w:val="二级条标题"/>
    <w:basedOn w:val="44"/>
    <w:next w:val="22"/>
    <w:qFormat/>
    <w:uiPriority w:val="0"/>
    <w:pPr>
      <w:numPr>
        <w:ilvl w:val="2"/>
      </w:numPr>
      <w:spacing w:before="50" w:after="50"/>
      <w:outlineLvl w:val="3"/>
    </w:pPr>
  </w:style>
  <w:style w:type="paragraph" w:customStyle="1" w:styleId="46">
    <w:name w:val="标准文件_章标题"/>
    <w:next w:val="2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7">
    <w:name w:val="标准文件_一级条标题"/>
    <w:basedOn w:val="46"/>
    <w:next w:val="26"/>
    <w:qFormat/>
    <w:uiPriority w:val="0"/>
    <w:pPr>
      <w:numPr>
        <w:ilvl w:val="2"/>
      </w:numPr>
      <w:spacing w:before="50" w:beforeLines="50" w:after="50" w:afterLines="50"/>
      <w:outlineLvl w:val="1"/>
    </w:pPr>
  </w:style>
  <w:style w:type="character" w:customStyle="1" w:styleId="48">
    <w:name w:val="正文文本 字符"/>
    <w:basedOn w:val="17"/>
    <w:link w:val="7"/>
    <w:qFormat/>
    <w:uiPriority w:val="1"/>
    <w:rPr>
      <w:rFonts w:ascii="宋体" w:hAnsi="宋体" w:cs="宋体"/>
      <w:sz w:val="21"/>
      <w:szCs w:val="21"/>
    </w:rPr>
  </w:style>
  <w:style w:type="character" w:customStyle="1" w:styleId="49">
    <w:name w:val="标题 4 字符"/>
    <w:basedOn w:val="17"/>
    <w:link w:val="5"/>
    <w:qFormat/>
    <w:uiPriority w:val="9"/>
    <w:rPr>
      <w:rFonts w:asciiTheme="majorHAnsi" w:hAnsiTheme="majorHAnsi" w:eastAsiaTheme="majorEastAsia" w:cstheme="majorBidi"/>
      <w:b/>
      <w:bCs/>
      <w:kern w:val="2"/>
      <w:sz w:val="28"/>
      <w:szCs w:val="28"/>
    </w:rPr>
  </w:style>
  <w:style w:type="character" w:customStyle="1" w:styleId="50">
    <w:name w:val="apple-converted-space"/>
    <w:basedOn w:val="17"/>
    <w:qFormat/>
    <w:uiPriority w:val="0"/>
  </w:style>
  <w:style w:type="paragraph" w:customStyle="1" w:styleId="5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styleId="5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4765</Words>
  <Characters>4899</Characters>
  <Lines>732</Lines>
  <Paragraphs>524</Paragraphs>
  <TotalTime>1</TotalTime>
  <ScaleCrop>false</ScaleCrop>
  <LinksUpToDate>false</LinksUpToDate>
  <CharactersWithSpaces>4963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2025-08-20T09:08:00Z</dcterms:created>
  <dc:creator>liu</dc:creator>
  <cp:lastModifiedBy>金鑫</cp:lastModifiedBy>
  <cp:lastPrinted>2020-06-02T08:06:00Z</cp:lastPrinted>
  <dcterms:modified xsi:type="dcterms:W3CDTF">2025-09-22T07:08:25Z</dcterms:modified>
  <dc:title>中国仪器仪表行业协会团体标准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C8DB318EAB4841DB820B0EB86879FBB6_13</vt:lpwstr>
  </property>
  <property fmtid="{D5CDD505-2E9C-101B-9397-08002B2CF9AE}" pid="4" name="KSOTemplateDocerSaveRecord">
    <vt:lpwstr>eyJoZGlkIjoiOTJkNzE3MzJmZGU1YTg4ZmE0NjBlZTViNWY5ZmUyZjQiLCJ1c2VySWQiOiIxNDQ1MTQ3Nzk3In0=</vt:lpwstr>
  </property>
</Properties>
</file>