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774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Borders>
              <w:tl2br w:val="nil"/>
              <w:tr2bl w:val="nil"/>
            </w:tcBorders>
          </w:tcPr>
          <w:p w14:paraId="55F30253">
            <w:pPr>
              <w:pStyle w:val="22"/>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Borders>
              <w:tl2br w:val="nil"/>
              <w:tr2bl w:val="nil"/>
            </w:tcBorders>
          </w:tcPr>
          <w:p w14:paraId="7FBFB1A4">
            <w:pPr>
              <w:pStyle w:val="22"/>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sz w:val="21"/>
                <w:szCs w:val="21"/>
              </w:rPr>
              <w:fldChar w:fldCharType="begin">
                <w:ffData>
                  <w:name w:val="ICS"/>
                  <w:enabled/>
                  <w:calcOnExit w:val="0"/>
                  <w:textInput>
                    <w:default w:val="17.220.20"/>
                  </w:textInput>
                </w:ffData>
              </w:fldChar>
            </w:r>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17.220.20</w:t>
            </w:r>
            <w:r>
              <w:rPr>
                <w:rFonts w:ascii="黑体" w:hAnsi="黑体" w:eastAsia="黑体"/>
                <w:sz w:val="21"/>
                <w:szCs w:val="21"/>
              </w:rPr>
              <w:fldChar w:fldCharType="end"/>
            </w:r>
            <w:bookmarkEnd w:id="0"/>
          </w:p>
        </w:tc>
      </w:tr>
      <w:tr w14:paraId="16F9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Borders>
              <w:tl2br w:val="nil"/>
              <w:tr2bl w:val="nil"/>
            </w:tcBorders>
          </w:tcPr>
          <w:p w14:paraId="403EA3B1">
            <w:pPr>
              <w:pStyle w:val="22"/>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Borders>
              <w:tl2br w:val="nil"/>
              <w:tr2bl w:val="nil"/>
            </w:tcBorders>
          </w:tcPr>
          <w:tbl>
            <w:tblPr>
              <w:tblStyle w:val="30"/>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2218AC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CC4118C">
                  <w:pPr>
                    <w:pStyle w:val="52"/>
                    <w:framePr w:wrap="notBeside" w:vAnchor="page" w:hAnchor="page" w:x="1372" w:y="568"/>
                    <w:ind w:left="420" w:right="624"/>
                    <w:rPr>
                      <w:rFonts w:ascii="宋体" w:hAnsi="宋体"/>
                      <w:sz w:val="28"/>
                      <w:szCs w:val="28"/>
                    </w:rPr>
                  </w:pPr>
                </w:p>
              </w:tc>
            </w:tr>
          </w:tbl>
          <w:p w14:paraId="5FE06C55">
            <w:pPr>
              <w:pStyle w:val="22"/>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N 22</w:t>
            </w:r>
          </w:p>
        </w:tc>
      </w:tr>
    </w:tbl>
    <w:p w14:paraId="354128E7">
      <w:pPr>
        <w:pStyle w:val="53"/>
        <w:framePr w:w="9639" w:h="624" w:hRule="exact" w:hSpace="181" w:vSpace="181" w:wrap="around" w:hAnchor="page" w:x="1305" w:y="2269"/>
        <w:rPr>
          <w:rFonts w:ascii="黑体" w:hAnsi="黑体" w:eastAsia="黑体"/>
          <w:b w:val="0"/>
          <w:bCs w:val="0"/>
          <w:w w:val="100"/>
          <w:sz w:val="48"/>
          <w:szCs w:val="48"/>
        </w:rPr>
      </w:pPr>
      <w:bookmarkStart w:id="1"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14:paraId="2D74E443">
      <w:pPr>
        <w:pStyle w:val="198"/>
        <w:framePr w:wrap="around"/>
      </w:pPr>
      <w:r>
        <w:t>T/</w:t>
      </w:r>
      <w:bookmarkStart w:id="2" w:name="文字1"/>
      <w:r>
        <w:fldChar w:fldCharType="begin">
          <w:ffData>
            <w:name w:val="文字1"/>
            <w:enabled/>
            <w:calcOnExit w:val="0"/>
            <w:textInput>
              <w:default w:val="CIMA"/>
            </w:textInput>
          </w:ffData>
        </w:fldChar>
      </w:r>
      <w:r>
        <w:instrText xml:space="preserve"> FORMTEXT </w:instrText>
      </w:r>
      <w:r>
        <w:fldChar w:fldCharType="separate"/>
      </w:r>
      <w:r>
        <w:t>CIMA</w:t>
      </w:r>
      <w:r>
        <w:fldChar w:fldCharType="end"/>
      </w:r>
      <w:bookmarkEnd w:id="2"/>
      <w:r>
        <w:t xml:space="preserve"> </w:t>
      </w:r>
      <w:r>
        <w:rPr>
          <w:rFonts w:hint="eastAsia"/>
          <w:lang w:val="en-US" w:eastAsia="zh-CN"/>
        </w:rPr>
        <w:t>0187</w:t>
      </w:r>
      <w:r>
        <w:rPr>
          <w:rFonts w:hAnsi="黑体"/>
        </w:rPr>
        <w:t>—</w:t>
      </w:r>
      <w:r>
        <w:rPr>
          <w:rFonts w:hint="eastAsia"/>
        </w:rPr>
        <w:t>202X</w:t>
      </w:r>
    </w:p>
    <w:p w14:paraId="5FA51761">
      <w:pPr>
        <w:pStyle w:val="199"/>
        <w:framePr w:wrap="around"/>
        <w:rPr>
          <w:rFonts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14:paraId="3DA34F47">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20786BDF">
      <w:pPr>
        <w:pStyle w:val="53"/>
        <w:framePr w:w="9639" w:h="6976" w:hRule="exact" w:hSpace="0" w:vSpace="0" w:wrap="around" w:hAnchor="page" w:y="6408"/>
        <w:jc w:val="center"/>
        <w:rPr>
          <w:rFonts w:ascii="黑体" w:hAnsi="黑体" w:eastAsia="黑体"/>
          <w:b w:val="0"/>
          <w:bCs w:val="0"/>
          <w:w w:val="100"/>
        </w:rPr>
      </w:pPr>
    </w:p>
    <w:p w14:paraId="12CBA682">
      <w:pPr>
        <w:pStyle w:val="200"/>
        <w:framePr w:h="6974" w:hRule="exact" w:wrap="around" w:x="1419" w:anchorLock="1"/>
        <w:rPr>
          <w:color w:val="0000FF"/>
          <w:sz w:val="48"/>
          <w:szCs w:val="18"/>
        </w:rPr>
      </w:pPr>
      <w:bookmarkStart w:id="4" w:name="CSTD_NAME"/>
      <w:r>
        <w:rPr>
          <w:sz w:val="48"/>
          <w:szCs w:val="18"/>
        </w:rPr>
        <w:fldChar w:fldCharType="begin">
          <w:ffData>
            <w:name w:val="CSTD_NAME"/>
            <w:enabled/>
            <w:calcOnExit w:val="0"/>
            <w:textInput>
              <w:default w:val="单相电碳电能表"/>
            </w:textInput>
          </w:ffData>
        </w:fldChar>
      </w:r>
      <w:r>
        <w:rPr>
          <w:sz w:val="48"/>
          <w:szCs w:val="18"/>
        </w:rPr>
        <w:instrText xml:space="preserve"> FORMTEXT </w:instrText>
      </w:r>
      <w:r>
        <w:rPr>
          <w:sz w:val="48"/>
          <w:szCs w:val="18"/>
        </w:rPr>
        <w:fldChar w:fldCharType="separate"/>
      </w:r>
      <w:r>
        <w:rPr>
          <w:rFonts w:hint="eastAsia"/>
          <w:sz w:val="48"/>
          <w:szCs w:val="18"/>
          <w:lang w:val="en-US" w:eastAsia="zh-CN"/>
        </w:rPr>
        <w:t>三</w:t>
      </w:r>
      <w:r>
        <w:rPr>
          <w:sz w:val="48"/>
          <w:szCs w:val="18"/>
        </w:rPr>
        <w:t>相电碳电能表</w:t>
      </w:r>
      <w:r>
        <w:rPr>
          <w:sz w:val="48"/>
          <w:szCs w:val="18"/>
        </w:rPr>
        <w:fldChar w:fldCharType="end"/>
      </w:r>
      <w:bookmarkEnd w:id="4"/>
    </w:p>
    <w:p w14:paraId="5F117004">
      <w:pPr>
        <w:framePr w:w="9639" w:h="6974" w:hRule="exact" w:wrap="around" w:vAnchor="page" w:hAnchor="page" w:x="1419" w:y="6408" w:anchorLock="1"/>
        <w:ind w:left="-1418"/>
      </w:pPr>
    </w:p>
    <w:p w14:paraId="35A472EE">
      <w:pPr>
        <w:framePr w:w="9639" w:h="6974" w:hRule="exact" w:wrap="around" w:vAnchor="page" w:hAnchor="page" w:x="1419" w:y="6408" w:anchorLock="1"/>
        <w:spacing w:line="760" w:lineRule="exact"/>
        <w:ind w:left="-1418"/>
      </w:pPr>
    </w:p>
    <w:p w14:paraId="6BF92909">
      <w:pPr>
        <w:pStyle w:val="128"/>
        <w:framePr w:w="9639" w:h="6974" w:hRule="exact" w:wrap="around" w:vAnchor="page" w:hAnchor="page" w:x="1419" w:y="6408" w:anchorLock="1"/>
        <w:textAlignment w:val="bottom"/>
        <w:rPr>
          <w:rFonts w:eastAsia="黑体"/>
          <w:szCs w:val="28"/>
        </w:rPr>
      </w:pPr>
    </w:p>
    <w:p w14:paraId="1294F26B">
      <w:pPr>
        <w:pStyle w:val="128"/>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textAlignment w:val="bottom"/>
        <w:rPr>
          <w:sz w:val="32"/>
          <w:szCs w:val="32"/>
        </w:rPr>
      </w:pPr>
      <w:r>
        <w:rPr>
          <w:sz w:val="32"/>
          <w:szCs w:val="32"/>
        </w:rPr>
        <w:t>Three-phase electric cabon meters</w:t>
      </w:r>
    </w:p>
    <w:p w14:paraId="2A1B64A9">
      <w:pPr>
        <w:pStyle w:val="128"/>
        <w:framePr w:w="9639" w:h="6974" w:hRule="exact" w:wrap="around" w:vAnchor="page" w:hAnchor="page" w:x="1419" w:y="6408" w:anchorLock="1"/>
        <w:spacing w:before="180" w:line="240" w:lineRule="atLeast"/>
        <w:textAlignment w:val="bottom"/>
        <w:rPr>
          <w:sz w:val="32"/>
          <w:szCs w:val="32"/>
        </w:rPr>
      </w:pPr>
    </w:p>
    <w:p w14:paraId="231A40A4">
      <w:pPr>
        <w:pStyle w:val="128"/>
        <w:framePr w:w="9639" w:h="6974" w:hRule="exact" w:wrap="around" w:vAnchor="page" w:hAnchor="page" w:x="1419" w:y="6408" w:anchorLock="1"/>
        <w:spacing w:before="180" w:line="240" w:lineRule="atLeast"/>
        <w:textAlignment w:val="bottom"/>
        <w:rPr>
          <w:rFonts w:hint="eastAsia"/>
          <w:sz w:val="32"/>
          <w:szCs w:val="32"/>
        </w:rPr>
      </w:pPr>
      <w:r>
        <w:rPr>
          <w:rFonts w:hint="eastAsia"/>
          <w:sz w:val="32"/>
          <w:szCs w:val="32"/>
        </w:rPr>
        <w:t>（征求意见稿）</w:t>
      </w:r>
    </w:p>
    <w:p w14:paraId="58A3DB0D">
      <w:pPr>
        <w:pStyle w:val="125"/>
        <w:framePr w:w="9639" w:h="6974" w:hRule="exact" w:wrap="around" w:vAnchor="page" w:hAnchor="page" w:x="1419" w:y="6408"/>
        <w:pBdr>
          <w:top w:val="none" w:color="auto" w:sz="0" w:space="0"/>
          <w:left w:val="none" w:color="auto" w:sz="0" w:space="0"/>
          <w:bottom w:val="none" w:color="auto" w:sz="0" w:space="0"/>
          <w:right w:val="none" w:color="auto" w:sz="0" w:space="0"/>
        </w:pBdr>
        <w:rPr>
          <w:rFonts w:hint="eastAsia" w:ascii="宋体" w:hAnsi="宋体" w:eastAsia="宋体" w:cs="宋体"/>
          <w:sz w:val="21"/>
          <w:szCs w:val="21"/>
          <w:lang w:val="en-US" w:eastAsia="zh-CN"/>
        </w:rPr>
      </w:pPr>
    </w:p>
    <w:p w14:paraId="282D759D">
      <w:pPr>
        <w:pStyle w:val="125"/>
        <w:framePr w:w="9639" w:h="6974" w:hRule="exact" w:wrap="around" w:vAnchor="page" w:hAnchor="page" w:x="1419" w:y="6408"/>
        <w:pBdr>
          <w:top w:val="none" w:color="auto" w:sz="0" w:space="0"/>
          <w:left w:val="none" w:color="auto" w:sz="0" w:space="0"/>
          <w:bottom w:val="none" w:color="auto" w:sz="0" w:space="0"/>
          <w:right w:val="none" w:color="auto" w:sz="0" w:space="0"/>
        </w:pBd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在您提交反馈意见时，请将您知道的相关专利连同支持性文件一并附上。</w:t>
      </w:r>
    </w:p>
    <w:p w14:paraId="2589886C">
      <w:pPr>
        <w:pStyle w:val="128"/>
        <w:framePr w:w="9639" w:h="6974" w:hRule="exact" w:wrap="around" w:vAnchor="page" w:hAnchor="page" w:x="1419" w:y="6408" w:anchorLock="1"/>
        <w:spacing w:before="180" w:line="240" w:lineRule="atLeast"/>
        <w:jc w:val="center"/>
        <w:textAlignment w:val="bottom"/>
        <w:rPr>
          <w:rFonts w:hint="eastAsia"/>
          <w:color w:val="0000FF"/>
          <w:lang w:val="en-US" w:eastAsia="zh-CN"/>
        </w:rPr>
      </w:pPr>
    </w:p>
    <w:p w14:paraId="20A99D3A">
      <w:pPr>
        <w:pStyle w:val="128"/>
        <w:framePr w:w="9639" w:h="6974" w:hRule="exact" w:wrap="around" w:vAnchor="page" w:hAnchor="page" w:x="1419" w:y="6408" w:anchorLock="1"/>
        <w:spacing w:before="180" w:line="240" w:lineRule="atLeast"/>
        <w:jc w:val="center"/>
        <w:textAlignment w:val="bottom"/>
        <w:rPr>
          <w:rFonts w:hint="default"/>
          <w:color w:val="auto"/>
          <w:sz w:val="32"/>
          <w:szCs w:val="32"/>
          <w:lang w:val="en-US" w:eastAsia="zh-CN"/>
        </w:rPr>
      </w:pPr>
      <w:r>
        <w:rPr>
          <w:rFonts w:hint="eastAsia"/>
          <w:color w:val="auto"/>
          <w:sz w:val="32"/>
          <w:szCs w:val="32"/>
          <w:lang w:val="en-US" w:eastAsia="zh-CN"/>
        </w:rPr>
        <w:t>（2025-09-30）</w:t>
      </w:r>
    </w:p>
    <w:p w14:paraId="1A6F5D5D">
      <w:pPr>
        <w:pStyle w:val="196"/>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14:paraId="1C23D2BE">
      <w:pPr>
        <w:pStyle w:val="197"/>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14:paraId="62CF8BD2">
      <w:pPr>
        <w:pStyle w:val="154"/>
        <w:framePr w:h="584" w:hRule="exact" w:hSpace="181" w:vSpace="181" w:wrap="around" w:y="14800"/>
        <w:rPr>
          <w:rFonts w:hAnsi="黑体"/>
        </w:rPr>
      </w:pPr>
      <w:bookmarkStart w:id="11" w:name="fm"/>
      <w:r>
        <w:rPr>
          <w:rFonts w:hAnsi="黑体"/>
          <w:w w:val="100"/>
          <w:sz w:val="28"/>
        </w:rPr>
        <w:fldChar w:fldCharType="begin">
          <w:ffData>
            <w:name w:val="fm"/>
            <w:enabled/>
            <w:calcOnExit w:val="0"/>
            <w:textInput>
              <w:default w:val="中国仪器仪表行业协会"/>
            </w:textInput>
          </w:ffData>
        </w:fldChar>
      </w:r>
      <w:r>
        <w:rPr>
          <w:rFonts w:hAnsi="黑体"/>
          <w:w w:val="100"/>
          <w:sz w:val="28"/>
        </w:rPr>
        <w:instrText xml:space="preserve"> FORMTEXT </w:instrText>
      </w:r>
      <w:r>
        <w:rPr>
          <w:rFonts w:hAnsi="黑体"/>
          <w:w w:val="100"/>
          <w:sz w:val="28"/>
        </w:rPr>
        <w:fldChar w:fldCharType="separate"/>
      </w:r>
      <w:r>
        <w:rPr>
          <w:rFonts w:hAnsi="黑体"/>
          <w:w w:val="100"/>
          <w:sz w:val="28"/>
        </w:rPr>
        <w:t>中国仪器仪表行业协会</w:t>
      </w:r>
      <w:r>
        <w:rPr>
          <w:rFonts w:hAnsi="黑体"/>
          <w:w w:val="100"/>
          <w:sz w:val="28"/>
        </w:rPr>
        <w:fldChar w:fldCharType="end"/>
      </w:r>
      <w:bookmarkEnd w:id="11"/>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2FECB4CA">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5EC64120">
      <w:pPr>
        <w:pStyle w:val="92"/>
        <w:spacing w:after="360"/>
        <w:ind w:left="5" w:hanging="5"/>
      </w:pPr>
      <w:bookmarkStart w:id="12" w:name="BookMark2"/>
      <w:r>
        <w:rPr>
          <w:spacing w:val="320"/>
        </w:rPr>
        <w:t>前</w:t>
      </w:r>
      <w:r>
        <w:t>言</w:t>
      </w:r>
    </w:p>
    <w:p w14:paraId="57A87483">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pPr>
      <w:r>
        <w:rPr>
          <w:rFonts w:hint="eastAsia"/>
        </w:rPr>
        <w:t>本文件按照GB/T 1.1—2020《标准化工作导则  第1部分：标准化文件的结构和起草规则》的规定起草。</w:t>
      </w:r>
    </w:p>
    <w:p w14:paraId="731D5F57">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pPr>
      <w:r>
        <w:rPr>
          <w:rFonts w:hint="eastAsia"/>
        </w:rPr>
        <w:t>请注意本文件的某些内容可能涉及专利。本文件的的发布机构不承担识别专利的责任。</w:t>
      </w:r>
    </w:p>
    <w:p w14:paraId="2C70080D">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pPr>
      <w:r>
        <w:rPr>
          <w:rFonts w:hint="eastAsia"/>
        </w:rPr>
        <w:t>本文件由中国仪器仪表行业协会电工仪器仪表分会提出。</w:t>
      </w:r>
    </w:p>
    <w:p w14:paraId="056BD17B">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pPr>
      <w:r>
        <w:rPr>
          <w:rFonts w:hint="eastAsia"/>
        </w:rPr>
        <w:t>本文件由中国仪器仪表行业协会归口。</w:t>
      </w:r>
    </w:p>
    <w:p w14:paraId="4EB5B588">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pPr>
      <w:r>
        <w:rPr>
          <w:rFonts w:hint="eastAsia"/>
        </w:rPr>
        <w:t>本文件起草单位：国网安徽省电力有限公司营销服务中心、哈尔滨电工仪表研究所有限公司、广东电网有限责任公司计量中心、国网安徽省电力有限公司、威胜集团有限公司、中国能源建设集团安徽省电力设计院有限公司、合肥工业大学、国网安徽综合能源服务有限公司、国网安徽省电力有限公司经济技术研究院</w:t>
      </w:r>
      <w:r>
        <w:rPr>
          <w:rFonts w:hint="eastAsia"/>
          <w:lang w:val="en-US" w:eastAsia="zh-CN"/>
        </w:rPr>
        <w:t>等</w:t>
      </w:r>
      <w:r>
        <w:rPr>
          <w:rFonts w:hint="eastAsia"/>
        </w:rPr>
        <w:t>。</w:t>
      </w:r>
    </w:p>
    <w:p w14:paraId="6DEAB639">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rPr>
      </w:pPr>
      <w:r>
        <w:rPr>
          <w:rFonts w:hint="eastAsia"/>
        </w:rPr>
        <w:t>本文件主要起草人：蔺菲</w:t>
      </w:r>
      <w:r>
        <w:rPr>
          <w:rFonts w:hint="eastAsia"/>
          <w:lang w:val="en-US" w:eastAsia="zh-CN"/>
        </w:rPr>
        <w:t>等</w:t>
      </w:r>
      <w:r>
        <w:rPr>
          <w:rFonts w:hint="eastAsia"/>
        </w:rPr>
        <w:t>。</w:t>
      </w:r>
    </w:p>
    <w:p w14:paraId="4F48F41F">
      <w:pPr>
        <w:pStyle w:val="59"/>
        <w:ind w:firstLine="420"/>
        <w:rPr>
          <w:rFonts w:hint="eastAsia"/>
        </w:rPr>
      </w:pPr>
    </w:p>
    <w:p w14:paraId="0CC00296">
      <w:pPr>
        <w:pStyle w:val="233"/>
        <w:numPr>
          <w:ilvl w:val="0"/>
          <w:numId w:val="0"/>
        </w:numPr>
        <w:tabs>
          <w:tab w:val="center" w:pos="4201"/>
          <w:tab w:val="right" w:leader="dot" w:pos="9298"/>
        </w:tabs>
        <w:autoSpaceDE w:val="0"/>
        <w:autoSpaceDN w:val="0"/>
        <w:spacing w:line="360" w:lineRule="auto"/>
        <w:ind w:leftChars="200"/>
        <w:rPr>
          <w:rFonts w:hint="default" w:hAnsi="宋体" w:cs="宋体"/>
          <w:color w:val="FF0000"/>
          <w:szCs w:val="22"/>
          <w:lang w:val="en-US" w:eastAsia="zh-CN"/>
        </w:rPr>
      </w:pPr>
    </w:p>
    <w:p w14:paraId="4BDE679D">
      <w:pPr>
        <w:pStyle w:val="233"/>
        <w:tabs>
          <w:tab w:val="center" w:pos="4201"/>
          <w:tab w:val="right" w:leader="dot" w:pos="9298"/>
        </w:tabs>
        <w:autoSpaceDE w:val="0"/>
        <w:autoSpaceDN w:val="0"/>
        <w:spacing w:line="360" w:lineRule="auto"/>
        <w:ind w:firstLine="420"/>
        <w:rPr>
          <w:rFonts w:hint="default" w:hAnsi="宋体" w:cs="宋体"/>
          <w:color w:val="FF0000"/>
          <w:szCs w:val="22"/>
          <w:lang w:val="en-US" w:eastAsia="zh-CN"/>
        </w:rPr>
      </w:pPr>
    </w:p>
    <w:p w14:paraId="2076069B">
      <w:pPr>
        <w:pStyle w:val="233"/>
        <w:tabs>
          <w:tab w:val="center" w:pos="4201"/>
          <w:tab w:val="right" w:leader="dot" w:pos="9298"/>
        </w:tabs>
        <w:autoSpaceDE w:val="0"/>
        <w:autoSpaceDN w:val="0"/>
        <w:spacing w:line="360" w:lineRule="auto"/>
        <w:ind w:firstLine="420"/>
        <w:rPr>
          <w:rFonts w:hint="default" w:hAnsi="宋体" w:cs="宋体"/>
          <w:color w:val="FF0000"/>
          <w:szCs w:val="22"/>
          <w:lang w:val="en-US" w:eastAsia="zh-CN"/>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p>
    <w:bookmarkEnd w:id="12"/>
    <w:p w14:paraId="49EC5DE0">
      <w:pPr>
        <w:spacing w:line="20" w:lineRule="exact"/>
        <w:jc w:val="center"/>
        <w:rPr>
          <w:rFonts w:ascii="黑体" w:hAnsi="黑体" w:eastAsia="黑体"/>
          <w:sz w:val="32"/>
          <w:szCs w:val="32"/>
        </w:rPr>
      </w:pPr>
      <w:bookmarkStart w:id="13" w:name="BookMark4"/>
    </w:p>
    <w:p w14:paraId="40D0D62C">
      <w:pPr>
        <w:spacing w:line="20" w:lineRule="exact"/>
        <w:jc w:val="center"/>
        <w:rPr>
          <w:rFonts w:ascii="黑体" w:hAnsi="黑体" w:eastAsia="黑体"/>
          <w:sz w:val="32"/>
          <w:szCs w:val="32"/>
        </w:rPr>
      </w:pPr>
    </w:p>
    <w:sdt>
      <w:sdtPr>
        <w:tag w:val="NEW_STAND_NAME"/>
        <w:id w:val="595910757"/>
        <w:lock w:val="sdtLocked"/>
        <w:placeholder>
          <w:docPart w:val="8CCBF461B8524E0C8E8FFD034A3EA620"/>
        </w:placeholder>
      </w:sdtPr>
      <w:sdtEndPr>
        <w:rPr>
          <w:strike/>
        </w:rPr>
      </w:sdtEndPr>
      <w:sdtContent>
        <w:p w14:paraId="050A286E">
          <w:pPr>
            <w:pStyle w:val="180"/>
            <w:spacing w:beforeLines="100" w:afterLines="220"/>
          </w:pPr>
          <w:bookmarkStart w:id="14" w:name="NEW_STAND_NAME"/>
          <w:r>
            <w:rPr>
              <w:rFonts w:hint="eastAsia"/>
              <w:lang w:val="en-US" w:eastAsia="zh-CN"/>
            </w:rPr>
            <w:t>三</w:t>
          </w:r>
          <w:r>
            <w:rPr>
              <w:rFonts w:hint="eastAsia"/>
            </w:rPr>
            <w:t>相电碳电能表</w:t>
          </w:r>
        </w:p>
      </w:sdtContent>
    </w:sdt>
    <w:bookmarkEnd w:id="14"/>
    <w:p w14:paraId="503DD7C7">
      <w:pPr>
        <w:pStyle w:val="107"/>
        <w:numPr>
          <w:ilvl w:val="1"/>
          <w:numId w:val="0"/>
        </w:numPr>
        <w:spacing w:before="240" w:after="240"/>
        <w:rPr>
          <w:color w:val="0000FF"/>
        </w:rPr>
      </w:pPr>
      <w:r>
        <w:rPr>
          <w:rFonts w:hint="eastAsia"/>
        </w:rPr>
        <w:t>1  范围</w:t>
      </w:r>
    </w:p>
    <w:p w14:paraId="40F6D3F4">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szCs w:val="22"/>
        </w:rPr>
      </w:pPr>
      <w:bookmarkStart w:id="15" w:name="_Toc17233334"/>
      <w:bookmarkStart w:id="16" w:name="_Toc24884212"/>
      <w:bookmarkStart w:id="17" w:name="_Toc17233326"/>
      <w:bookmarkStart w:id="18" w:name="_Toc24884219"/>
      <w:bookmarkStart w:id="19" w:name="_Toc26648466"/>
      <w:r>
        <w:rPr>
          <w:rFonts w:hint="eastAsia"/>
        </w:rPr>
        <w:t>本文件规定了</w:t>
      </w:r>
      <w:r>
        <w:rPr>
          <w:rFonts w:hint="eastAsia"/>
          <w:lang w:val="en-US" w:eastAsia="zh-CN"/>
        </w:rPr>
        <w:t>三</w:t>
      </w:r>
      <w:r>
        <w:rPr>
          <w:rFonts w:hint="eastAsia"/>
        </w:rPr>
        <w:t>相电碳电能表</w:t>
      </w:r>
      <w:r>
        <w:rPr>
          <w:rFonts w:hint="eastAsia"/>
          <w:szCs w:val="22"/>
        </w:rPr>
        <w:t>的技术要求、试验方法、检验规则、包装、运输和贮存。</w:t>
      </w:r>
    </w:p>
    <w:p w14:paraId="02972B90">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rPr>
      </w:pPr>
      <w:r>
        <w:rPr>
          <w:rFonts w:hint="eastAsia"/>
        </w:rPr>
        <w:t>本文件适用于工商业、居民等电力用户的电能量和</w:t>
      </w:r>
      <w:r>
        <w:rPr>
          <w:rFonts w:hint="eastAsia"/>
          <w:lang w:val="en-US" w:eastAsia="zh-CN"/>
        </w:rPr>
        <w:t>电</w:t>
      </w:r>
      <w:r>
        <w:rPr>
          <w:rFonts w:hint="eastAsia"/>
        </w:rPr>
        <w:t>碳排放量计量的</w:t>
      </w:r>
      <w:r>
        <w:rPr>
          <w:rFonts w:hint="eastAsia"/>
          <w:lang w:val="en-US" w:eastAsia="zh-CN"/>
        </w:rPr>
        <w:t>三</w:t>
      </w:r>
      <w:r>
        <w:rPr>
          <w:rFonts w:hint="eastAsia"/>
        </w:rPr>
        <w:t>相</w:t>
      </w:r>
      <w:r>
        <w:rPr>
          <w:rFonts w:hint="eastAsia"/>
          <w:lang w:val="en-US" w:eastAsia="zh-CN"/>
        </w:rPr>
        <w:t>交流有功</w:t>
      </w:r>
      <w:r>
        <w:rPr>
          <w:rFonts w:hint="eastAsia"/>
        </w:rPr>
        <w:t>电碳电能表设计、制造、采购和使用。</w:t>
      </w:r>
    </w:p>
    <w:p w14:paraId="762A148A">
      <w:pPr>
        <w:pStyle w:val="59"/>
        <w:keepNext w:val="0"/>
        <w:keepLines w:val="0"/>
        <w:pageBreakBefore w:val="0"/>
        <w:widowControl/>
        <w:kinsoku/>
        <w:wordWrap/>
        <w:overflowPunct/>
        <w:topLinePunct w:val="0"/>
        <w:autoSpaceDE w:val="0"/>
        <w:autoSpaceDN w:val="0"/>
        <w:bidi w:val="0"/>
        <w:adjustRightInd/>
        <w:snapToGrid/>
        <w:spacing w:line="360" w:lineRule="auto"/>
        <w:ind w:firstLine="360"/>
        <w:textAlignment w:val="auto"/>
        <w:rPr>
          <w:color w:val="auto"/>
          <w:sz w:val="18"/>
          <w:szCs w:val="18"/>
        </w:rPr>
      </w:pPr>
      <w:r>
        <w:rPr>
          <w:rFonts w:hint="eastAsia"/>
          <w:color w:val="auto"/>
          <w:sz w:val="18"/>
          <w:szCs w:val="18"/>
        </w:rPr>
        <w:t>注：在不引起混淆的情况下，本文件中的“</w:t>
      </w:r>
      <w:r>
        <w:rPr>
          <w:rFonts w:hint="eastAsia"/>
          <w:color w:val="auto"/>
          <w:sz w:val="18"/>
          <w:szCs w:val="18"/>
          <w:lang w:val="en-US" w:eastAsia="zh-CN"/>
        </w:rPr>
        <w:t>三</w:t>
      </w:r>
      <w:r>
        <w:rPr>
          <w:rFonts w:hint="eastAsia"/>
          <w:color w:val="auto"/>
          <w:sz w:val="18"/>
          <w:szCs w:val="18"/>
        </w:rPr>
        <w:t>相电碳电能表”简称为“电碳表”。</w:t>
      </w:r>
    </w:p>
    <w:p w14:paraId="0CD56DEA">
      <w:pPr>
        <w:pStyle w:val="107"/>
        <w:numPr>
          <w:ilvl w:val="1"/>
          <w:numId w:val="0"/>
        </w:numPr>
        <w:spacing w:before="240" w:after="240"/>
        <w:rPr>
          <w:rFonts w:hint="eastAsia" w:eastAsia="黑体"/>
          <w:color w:val="0000FF"/>
          <w:lang w:eastAsia="zh-CN"/>
        </w:rPr>
      </w:pPr>
      <w:bookmarkStart w:id="20" w:name="_Toc26718931"/>
      <w:bookmarkStart w:id="21" w:name="_Toc26986531"/>
      <w:bookmarkStart w:id="22" w:name="_Toc26986772"/>
      <w:bookmarkStart w:id="23" w:name="_Toc97192965"/>
      <w:r>
        <w:rPr>
          <w:rFonts w:hint="eastAsia"/>
        </w:rPr>
        <w:t>2  规范性引用文件</w:t>
      </w:r>
      <w:bookmarkEnd w:id="15"/>
      <w:bookmarkEnd w:id="16"/>
      <w:bookmarkEnd w:id="17"/>
      <w:bookmarkEnd w:id="18"/>
      <w:bookmarkEnd w:id="19"/>
      <w:bookmarkEnd w:id="20"/>
      <w:bookmarkEnd w:id="21"/>
      <w:bookmarkEnd w:id="22"/>
      <w:bookmarkEnd w:id="23"/>
    </w:p>
    <w:sdt>
      <w:sdtPr>
        <w:rPr>
          <w:rFonts w:hint="eastAsia"/>
        </w:rPr>
        <w:id w:val="715848253"/>
        <w:placeholder>
          <w:docPart w:val="1AE70135FD834ABC837D5BB1B249C90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9E3B5B6">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4FB69F2">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szCs w:val="22"/>
        </w:rPr>
      </w:pPr>
      <w:r>
        <w:rPr>
          <w:rFonts w:hint="eastAsia"/>
          <w:szCs w:val="22"/>
        </w:rPr>
        <w:t>GB/T 2423.1</w:t>
      </w:r>
      <w:r>
        <w:rPr>
          <w:rFonts w:hint="eastAsia"/>
          <w:szCs w:val="22"/>
          <w:lang w:eastAsia="zh-CN"/>
        </w:rPr>
        <w:t>—</w:t>
      </w:r>
      <w:r>
        <w:rPr>
          <w:rFonts w:hint="eastAsia"/>
          <w:szCs w:val="22"/>
          <w:lang w:val="en-US" w:eastAsia="zh-CN"/>
        </w:rPr>
        <w:t xml:space="preserve">2008 </w:t>
      </w:r>
      <w:r>
        <w:rPr>
          <w:rFonts w:hint="eastAsia"/>
          <w:szCs w:val="22"/>
        </w:rPr>
        <w:t>电工电子产品环境试验  第2部分：试验方法  试验A：低温</w:t>
      </w:r>
    </w:p>
    <w:p w14:paraId="2E13F578">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szCs w:val="22"/>
        </w:rPr>
      </w:pPr>
      <w:r>
        <w:rPr>
          <w:rFonts w:hint="eastAsia"/>
          <w:szCs w:val="22"/>
        </w:rPr>
        <w:t>GB/T 2423.2</w:t>
      </w:r>
      <w:r>
        <w:rPr>
          <w:rFonts w:hint="eastAsia"/>
          <w:szCs w:val="22"/>
          <w:lang w:eastAsia="zh-CN"/>
        </w:rPr>
        <w:t>—</w:t>
      </w:r>
      <w:r>
        <w:rPr>
          <w:rFonts w:hint="eastAsia"/>
          <w:szCs w:val="22"/>
          <w:lang w:val="en-US" w:eastAsia="zh-CN"/>
        </w:rPr>
        <w:t>2008</w:t>
      </w:r>
      <w:r>
        <w:rPr>
          <w:rFonts w:hint="eastAsia"/>
          <w:szCs w:val="22"/>
        </w:rPr>
        <w:t xml:space="preserve"> 电工电子产品环境试验  第2部分：试验方法  试验B：高温</w:t>
      </w:r>
    </w:p>
    <w:p w14:paraId="5D87D8E4">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szCs w:val="22"/>
        </w:rPr>
      </w:pPr>
      <w:r>
        <w:rPr>
          <w:rFonts w:hint="eastAsia"/>
          <w:szCs w:val="22"/>
        </w:rPr>
        <w:t>GB/T 2423.4</w:t>
      </w:r>
      <w:r>
        <w:rPr>
          <w:rFonts w:hint="eastAsia"/>
          <w:szCs w:val="22"/>
          <w:lang w:eastAsia="zh-CN"/>
        </w:rPr>
        <w:t>—</w:t>
      </w:r>
      <w:r>
        <w:rPr>
          <w:rFonts w:hint="eastAsia"/>
          <w:szCs w:val="22"/>
          <w:lang w:val="en-US" w:eastAsia="zh-CN"/>
        </w:rPr>
        <w:t>2008</w:t>
      </w:r>
      <w:r>
        <w:rPr>
          <w:rFonts w:hint="eastAsia"/>
          <w:szCs w:val="22"/>
        </w:rPr>
        <w:t xml:space="preserve"> 电工电子产品环境试验  第2部分：试验方法  试验Db：交变湿热(12h+12h循环)</w:t>
      </w:r>
    </w:p>
    <w:p w14:paraId="5389A788">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szCs w:val="22"/>
        </w:rPr>
      </w:pPr>
      <w:r>
        <w:rPr>
          <w:rFonts w:hint="eastAsia"/>
          <w:szCs w:val="22"/>
        </w:rPr>
        <w:t>GB/T 2423.17</w:t>
      </w:r>
      <w:r>
        <w:rPr>
          <w:rFonts w:hint="eastAsia"/>
          <w:szCs w:val="22"/>
          <w:lang w:eastAsia="zh-CN"/>
        </w:rPr>
        <w:t>—</w:t>
      </w:r>
      <w:r>
        <w:rPr>
          <w:rFonts w:hint="eastAsia"/>
          <w:szCs w:val="22"/>
        </w:rPr>
        <w:t>2024 环境试验  第2部分：试验方法  试验Ka：盐雾</w:t>
      </w:r>
    </w:p>
    <w:p w14:paraId="0673D84B">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szCs w:val="22"/>
        </w:rPr>
      </w:pPr>
      <w:r>
        <w:rPr>
          <w:rFonts w:hint="eastAsia"/>
          <w:szCs w:val="22"/>
        </w:rPr>
        <w:t>GB 4208</w:t>
      </w:r>
      <w:r>
        <w:rPr>
          <w:rFonts w:hint="eastAsia"/>
          <w:szCs w:val="22"/>
          <w:lang w:eastAsia="zh-CN"/>
        </w:rPr>
        <w:t>—</w:t>
      </w:r>
      <w:r>
        <w:rPr>
          <w:rFonts w:hint="eastAsia"/>
          <w:szCs w:val="22"/>
        </w:rPr>
        <w:t>20</w:t>
      </w:r>
      <w:r>
        <w:rPr>
          <w:rFonts w:hint="eastAsia"/>
          <w:szCs w:val="22"/>
          <w:lang w:val="en-US" w:eastAsia="zh-CN"/>
        </w:rPr>
        <w:t>17</w:t>
      </w:r>
      <w:r>
        <w:rPr>
          <w:rFonts w:hint="eastAsia"/>
          <w:szCs w:val="22"/>
        </w:rPr>
        <w:t xml:space="preserve"> 外壳防护等级（IP代码）</w:t>
      </w:r>
    </w:p>
    <w:p w14:paraId="47925FB3">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szCs w:val="22"/>
        </w:rPr>
      </w:pPr>
      <w:r>
        <w:rPr>
          <w:szCs w:val="22"/>
        </w:rPr>
        <w:t>GB/T 7251.1</w:t>
      </w:r>
      <w:r>
        <w:rPr>
          <w:rFonts w:hint="eastAsia"/>
          <w:szCs w:val="22"/>
        </w:rPr>
        <w:t>—</w:t>
      </w:r>
      <w:r>
        <w:rPr>
          <w:szCs w:val="22"/>
        </w:rPr>
        <w:t>2023</w:t>
      </w:r>
      <w:r>
        <w:rPr>
          <w:rFonts w:hint="eastAsia"/>
          <w:szCs w:val="22"/>
        </w:rPr>
        <w:t xml:space="preserve">  低压成套开关设备和控制设备 第1部分：总则</w:t>
      </w:r>
      <w:r>
        <w:rPr>
          <w:szCs w:val="22"/>
        </w:rPr>
        <w:t xml:space="preserve"> </w:t>
      </w:r>
    </w:p>
    <w:p w14:paraId="6339E6F6">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szCs w:val="22"/>
        </w:rPr>
      </w:pPr>
      <w:r>
        <w:rPr>
          <w:szCs w:val="22"/>
        </w:rPr>
        <w:t>GB/T 13384</w:t>
      </w:r>
      <w:r>
        <w:rPr>
          <w:rFonts w:hint="eastAsia"/>
          <w:szCs w:val="22"/>
        </w:rPr>
        <w:t>—</w:t>
      </w:r>
      <w:r>
        <w:rPr>
          <w:szCs w:val="22"/>
        </w:rPr>
        <w:t>2008</w:t>
      </w:r>
      <w:r>
        <w:rPr>
          <w:rFonts w:hint="eastAsia"/>
          <w:szCs w:val="22"/>
        </w:rPr>
        <w:t xml:space="preserve">  机电产品包装通用技术条件。</w:t>
      </w:r>
    </w:p>
    <w:p w14:paraId="4873054C">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szCs w:val="22"/>
        </w:rPr>
      </w:pPr>
      <w:bookmarkStart w:id="24" w:name="OLE_LINK25"/>
      <w:bookmarkStart w:id="25" w:name="OLE_LINK26"/>
      <w:r>
        <w:rPr>
          <w:szCs w:val="22"/>
        </w:rPr>
        <w:t>GB/T 17215.211—2021</w:t>
      </w:r>
      <w:r>
        <w:rPr>
          <w:rFonts w:hint="eastAsia"/>
          <w:szCs w:val="22"/>
        </w:rPr>
        <w:t xml:space="preserve"> 电测量设备（交流） 通用要求、试验和试验条件 第11部分：测量设备</w:t>
      </w:r>
    </w:p>
    <w:p w14:paraId="42E65FB5">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szCs w:val="22"/>
        </w:rPr>
      </w:pPr>
      <w:r>
        <w:rPr>
          <w:rFonts w:hint="eastAsia"/>
          <w:szCs w:val="22"/>
        </w:rPr>
        <w:t>GB/T 17215.</w:t>
      </w:r>
      <w:r>
        <w:rPr>
          <w:rFonts w:hint="eastAsia"/>
          <w:szCs w:val="22"/>
          <w:lang w:val="en-US" w:eastAsia="zh-CN"/>
        </w:rPr>
        <w:t>32</w:t>
      </w:r>
      <w:r>
        <w:rPr>
          <w:rFonts w:hint="eastAsia"/>
          <w:szCs w:val="22"/>
        </w:rPr>
        <w:t>1—2021</w:t>
      </w:r>
      <w:bookmarkEnd w:id="24"/>
      <w:bookmarkEnd w:id="25"/>
      <w:r>
        <w:rPr>
          <w:rFonts w:hint="eastAsia"/>
          <w:szCs w:val="22"/>
        </w:rPr>
        <w:t xml:space="preserve"> 电测量设备（交流）特殊要求 第21部分</w:t>
      </w:r>
      <w:r>
        <w:rPr>
          <w:rFonts w:hint="eastAsia"/>
          <w:szCs w:val="22"/>
          <w:lang w:eastAsia="zh-CN"/>
        </w:rPr>
        <w:t>：</w:t>
      </w:r>
      <w:r>
        <w:rPr>
          <w:rFonts w:hint="eastAsia"/>
          <w:szCs w:val="22"/>
        </w:rPr>
        <w:t>静止式有功电能表 (A级、B级、C级、D级和E级)</w:t>
      </w:r>
    </w:p>
    <w:p w14:paraId="7FB132D3">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szCs w:val="22"/>
        </w:rPr>
      </w:pPr>
      <w:bookmarkStart w:id="26" w:name="OLE_LINK27"/>
      <w:bookmarkStart w:id="27" w:name="OLE_LINK28"/>
      <w:r>
        <w:rPr>
          <w:szCs w:val="22"/>
        </w:rPr>
        <w:t xml:space="preserve">GB/T </w:t>
      </w:r>
      <w:r>
        <w:rPr>
          <w:rFonts w:hint="eastAsia"/>
          <w:szCs w:val="22"/>
        </w:rPr>
        <w:t>17626.2</w:t>
      </w:r>
      <w:bookmarkEnd w:id="26"/>
      <w:bookmarkEnd w:id="27"/>
      <w:r>
        <w:rPr>
          <w:rFonts w:hint="eastAsia"/>
          <w:szCs w:val="22"/>
        </w:rPr>
        <w:t>—</w:t>
      </w:r>
      <w:r>
        <w:rPr>
          <w:szCs w:val="22"/>
        </w:rPr>
        <w:t>20</w:t>
      </w:r>
      <w:r>
        <w:rPr>
          <w:rFonts w:hint="eastAsia"/>
          <w:szCs w:val="22"/>
        </w:rPr>
        <w:t>18 电磁兼容 试验和测量技术 静电放电抗扰度试验</w:t>
      </w:r>
    </w:p>
    <w:p w14:paraId="02AF43EA">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szCs w:val="22"/>
        </w:rPr>
      </w:pPr>
      <w:bookmarkStart w:id="28" w:name="OLE_LINK12"/>
      <w:bookmarkStart w:id="29" w:name="OLE_LINK11"/>
      <w:bookmarkStart w:id="30" w:name="OLE_LINK13"/>
      <w:r>
        <w:rPr>
          <w:rFonts w:hint="eastAsia"/>
          <w:szCs w:val="22"/>
        </w:rPr>
        <w:t>DL/T 14</w:t>
      </w:r>
      <w:r>
        <w:rPr>
          <w:rFonts w:hint="eastAsia"/>
          <w:szCs w:val="22"/>
          <w:lang w:val="en-US" w:eastAsia="zh-CN"/>
        </w:rPr>
        <w:t>85</w:t>
      </w:r>
      <w:r>
        <w:rPr>
          <w:rFonts w:hint="eastAsia"/>
          <w:szCs w:val="22"/>
          <w:lang w:eastAsia="zh-CN"/>
        </w:rPr>
        <w:t>—</w:t>
      </w:r>
      <w:r>
        <w:rPr>
          <w:rFonts w:hint="eastAsia"/>
          <w:szCs w:val="22"/>
          <w:lang w:val="en-US" w:eastAsia="zh-CN"/>
        </w:rPr>
        <w:t>2024</w:t>
      </w:r>
      <w:r>
        <w:rPr>
          <w:rFonts w:hint="eastAsia"/>
          <w:szCs w:val="22"/>
        </w:rPr>
        <w:t xml:space="preserve"> </w:t>
      </w:r>
      <w:bookmarkEnd w:id="28"/>
      <w:bookmarkEnd w:id="29"/>
      <w:r>
        <w:rPr>
          <w:rFonts w:hint="eastAsia"/>
          <w:szCs w:val="22"/>
          <w:lang w:val="en-US" w:eastAsia="zh-CN"/>
        </w:rPr>
        <w:t>三相</w:t>
      </w:r>
      <w:r>
        <w:rPr>
          <w:rFonts w:hint="eastAsia"/>
          <w:szCs w:val="22"/>
        </w:rPr>
        <w:t>智能电能表</w:t>
      </w:r>
      <w:r>
        <w:rPr>
          <w:rFonts w:hint="eastAsia"/>
          <w:szCs w:val="22"/>
          <w:lang w:val="en-US" w:eastAsia="zh-CN"/>
        </w:rPr>
        <w:t>技术</w:t>
      </w:r>
      <w:r>
        <w:rPr>
          <w:rFonts w:hint="eastAsia"/>
          <w:szCs w:val="22"/>
        </w:rPr>
        <w:t>规范</w:t>
      </w:r>
    </w:p>
    <w:p w14:paraId="3F3B2784">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szCs w:val="22"/>
        </w:rPr>
      </w:pPr>
      <w:r>
        <w:rPr>
          <w:rFonts w:hint="eastAsia"/>
          <w:szCs w:val="22"/>
        </w:rPr>
        <w:t>DL/T 14</w:t>
      </w:r>
      <w:r>
        <w:rPr>
          <w:rFonts w:hint="eastAsia"/>
          <w:szCs w:val="22"/>
          <w:lang w:val="en-US" w:eastAsia="zh-CN"/>
        </w:rPr>
        <w:t>90</w:t>
      </w:r>
      <w:r>
        <w:rPr>
          <w:rFonts w:hint="eastAsia"/>
          <w:szCs w:val="22"/>
          <w:lang w:eastAsia="zh-CN"/>
        </w:rPr>
        <w:t>—</w:t>
      </w:r>
      <w:r>
        <w:rPr>
          <w:rFonts w:hint="eastAsia"/>
          <w:szCs w:val="22"/>
          <w:lang w:val="en-US" w:eastAsia="zh-CN"/>
        </w:rPr>
        <w:t>2024</w:t>
      </w:r>
      <w:r>
        <w:rPr>
          <w:rFonts w:hint="eastAsia"/>
          <w:szCs w:val="22"/>
        </w:rPr>
        <w:t xml:space="preserve"> 智能电能表</w:t>
      </w:r>
      <w:r>
        <w:rPr>
          <w:rFonts w:hint="eastAsia"/>
          <w:szCs w:val="22"/>
          <w:lang w:val="en-US" w:eastAsia="zh-CN"/>
        </w:rPr>
        <w:t>功能</w:t>
      </w:r>
      <w:r>
        <w:rPr>
          <w:rFonts w:hint="eastAsia"/>
          <w:szCs w:val="22"/>
        </w:rPr>
        <w:t>规范</w:t>
      </w:r>
    </w:p>
    <w:bookmarkEnd w:id="30"/>
    <w:p w14:paraId="30126DD7">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szCs w:val="22"/>
        </w:rPr>
      </w:pPr>
      <w:r>
        <w:rPr>
          <w:rFonts w:hint="eastAsia"/>
          <w:szCs w:val="22"/>
        </w:rPr>
        <w:t>T/CIMA 0079.1</w:t>
      </w:r>
      <w:r>
        <w:rPr>
          <w:rFonts w:hint="eastAsia"/>
          <w:szCs w:val="22"/>
          <w:lang w:eastAsia="zh-CN"/>
        </w:rPr>
        <w:t>—</w:t>
      </w:r>
      <w:r>
        <w:rPr>
          <w:rFonts w:hint="eastAsia"/>
          <w:szCs w:val="22"/>
          <w:lang w:val="en-US" w:eastAsia="zh-CN"/>
        </w:rPr>
        <w:t>2023</w:t>
      </w:r>
      <w:r>
        <w:rPr>
          <w:rFonts w:hint="eastAsia"/>
          <w:szCs w:val="22"/>
        </w:rPr>
        <w:t xml:space="preserve"> 基于电力流的碳排放计量 第1部分：计量模型</w:t>
      </w:r>
    </w:p>
    <w:p w14:paraId="2FEA7A79">
      <w:pPr>
        <w:pStyle w:val="107"/>
        <w:numPr>
          <w:ilvl w:val="1"/>
          <w:numId w:val="0"/>
        </w:numPr>
        <w:spacing w:before="240" w:after="240"/>
        <w:rPr>
          <w:rFonts w:hint="eastAsia" w:eastAsia="黑体"/>
          <w:color w:val="0000FF"/>
          <w:lang w:eastAsia="zh-CN"/>
        </w:rPr>
      </w:pPr>
      <w:bookmarkStart w:id="31" w:name="_Toc97192966"/>
      <w:r>
        <w:rPr>
          <w:rFonts w:hint="eastAsia"/>
          <w:szCs w:val="21"/>
        </w:rPr>
        <w:t>3   术语和定义</w:t>
      </w:r>
      <w:bookmarkEnd w:id="31"/>
    </w:p>
    <w:sdt>
      <w:sdtPr>
        <w:rPr>
          <w:rFonts w:ascii="宋体" w:eastAsia="宋体"/>
          <w:szCs w:val="22"/>
        </w:rPr>
        <w:id w:val="-1909835108"/>
        <w:placeholder>
          <w:docPart w:val="8371590E737F47AFA03D56031C5E807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宋体" w:eastAsia="宋体"/>
          <w:szCs w:val="22"/>
        </w:rPr>
      </w:sdtEndPr>
      <w:sdtContent>
        <w:p w14:paraId="59D0B911">
          <w:pPr>
            <w:pStyle w:val="107"/>
            <w:numPr>
              <w:ilvl w:val="1"/>
              <w:numId w:val="0"/>
            </w:numPr>
            <w:spacing w:before="240" w:after="240"/>
            <w:ind w:firstLine="420" w:firstLineChars="200"/>
            <w:rPr>
              <w:szCs w:val="22"/>
            </w:rPr>
          </w:pPr>
          <w:bookmarkStart w:id="32" w:name="_Toc26986532"/>
          <w:bookmarkEnd w:id="32"/>
          <w:r>
            <w:rPr>
              <w:rFonts w:hint="eastAsia" w:ascii="宋体" w:eastAsia="宋体"/>
              <w:szCs w:val="22"/>
            </w:rPr>
            <w:t>DL/T 1490</w:t>
          </w:r>
          <w:r>
            <w:rPr>
              <w:rFonts w:hint="eastAsia" w:ascii="宋体" w:eastAsia="宋体"/>
              <w:szCs w:val="22"/>
              <w:lang w:eastAsia="zh-CN"/>
            </w:rPr>
            <w:t>—</w:t>
          </w:r>
          <w:r>
            <w:rPr>
              <w:rFonts w:hint="eastAsia" w:ascii="宋体" w:eastAsia="宋体"/>
              <w:szCs w:val="22"/>
              <w:lang w:val="en-US" w:eastAsia="zh-CN"/>
            </w:rPr>
            <w:t>2024</w:t>
          </w:r>
          <w:r>
            <w:rPr>
              <w:rFonts w:hint="eastAsia" w:ascii="宋体" w:eastAsia="宋体"/>
              <w:szCs w:val="22"/>
            </w:rPr>
            <w:t>和T/CIMA 0079.1</w:t>
          </w:r>
          <w:r>
            <w:rPr>
              <w:rFonts w:hint="eastAsia" w:ascii="宋体" w:eastAsia="宋体"/>
              <w:szCs w:val="22"/>
              <w:lang w:eastAsia="zh-CN"/>
            </w:rPr>
            <w:t>—</w:t>
          </w:r>
          <w:r>
            <w:rPr>
              <w:rFonts w:hint="eastAsia" w:ascii="宋体" w:eastAsia="宋体"/>
              <w:szCs w:val="22"/>
              <w:lang w:val="en-US" w:eastAsia="zh-CN"/>
            </w:rPr>
            <w:t>2023</w:t>
          </w:r>
          <w:r>
            <w:rPr>
              <w:rFonts w:ascii="宋体" w:eastAsia="宋体"/>
              <w:szCs w:val="22"/>
            </w:rPr>
            <w:t>界定的以及下列术语和定义适用于本文件。</w:t>
          </w:r>
        </w:p>
      </w:sdtContent>
    </w:sdt>
    <w:p w14:paraId="749D237F">
      <w:pPr>
        <w:pStyle w:val="107"/>
        <w:numPr>
          <w:ilvl w:val="1"/>
          <w:numId w:val="0"/>
        </w:numPr>
        <w:spacing w:before="240" w:after="240"/>
        <w:ind w:left="420" w:hanging="420" w:hangingChars="200"/>
        <w:rPr>
          <w:rFonts w:hint="eastAsia" w:ascii="Times New Roman" w:hAnsi="Times New Roman" w:cs="Times New Roman"/>
          <w:szCs w:val="22"/>
          <w:lang w:val="en-US" w:eastAsia="zh-CN"/>
        </w:rPr>
      </w:pPr>
      <w:r>
        <w:rPr>
          <w:rFonts w:hint="eastAsia" w:ascii="黑体" w:hAnsi="Times New Roman" w:eastAsia="黑体" w:cs="Times New Roman"/>
          <w:sz w:val="21"/>
          <w:szCs w:val="22"/>
          <w:lang w:val="en-US" w:eastAsia="zh-CN" w:bidi="ar-SA"/>
        </w:rPr>
        <w:t xml:space="preserve">3.1 </w:t>
      </w:r>
      <w:r>
        <w:rPr>
          <w:rFonts w:hint="eastAsia" w:ascii="黑体" w:hAnsi="Times New Roman" w:eastAsia="黑体" w:cs="Times New Roman"/>
          <w:sz w:val="21"/>
          <w:szCs w:val="22"/>
          <w:lang w:val="en-US" w:eastAsia="zh-CN" w:bidi="ar-SA"/>
        </w:rPr>
        <w:br w:type="textWrapping"/>
      </w:r>
      <w:r>
        <w:rPr>
          <w:rFonts w:hint="eastAsia" w:ascii="黑体" w:hAnsi="Times New Roman" w:eastAsia="黑体" w:cs="Times New Roman"/>
          <w:sz w:val="21"/>
          <w:szCs w:val="22"/>
          <w:lang w:val="en-US" w:eastAsia="zh-CN" w:bidi="ar-SA"/>
        </w:rPr>
        <w:t>三相电碳电能表 Three-phase electric cabon meters</w:t>
      </w:r>
    </w:p>
    <w:p w14:paraId="55BEC068">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Times New Roman" w:eastAsia="宋体" w:cs="Times New Roman"/>
          <w:sz w:val="21"/>
          <w:szCs w:val="22"/>
          <w:lang w:val="en-US" w:eastAsia="zh-CN" w:bidi="ar-SA"/>
        </w:rPr>
      </w:pPr>
      <w:r>
        <w:rPr>
          <w:rFonts w:hint="eastAsia" w:ascii="宋体" w:hAnsi="Times New Roman" w:eastAsia="宋体" w:cs="Times New Roman"/>
          <w:szCs w:val="22"/>
        </w:rPr>
        <w:t>具有电能量计量、电碳排放量计量、信息处理和存储、实时监测、自动控制、信息交互等功能的三相电碳计量设备。</w:t>
      </w:r>
    </w:p>
    <w:p w14:paraId="54614211">
      <w:pPr>
        <w:pStyle w:val="107"/>
        <w:numPr>
          <w:ilvl w:val="1"/>
          <w:numId w:val="0"/>
        </w:numPr>
        <w:spacing w:before="240" w:after="240"/>
        <w:rPr>
          <w:b w:val="0"/>
          <w:bCs w:val="0"/>
          <w:color w:val="0000FF"/>
        </w:rPr>
      </w:pPr>
      <w:bookmarkStart w:id="33" w:name="_Toc20631"/>
      <w:r>
        <w:rPr>
          <w:rFonts w:hint="eastAsia"/>
          <w:b w:val="0"/>
          <w:bCs w:val="0"/>
        </w:rPr>
        <w:t>4  技术要求</w:t>
      </w:r>
      <w:bookmarkEnd w:id="33"/>
    </w:p>
    <w:p w14:paraId="15AF7869">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4.1  环境要求</w:t>
      </w:r>
    </w:p>
    <w:p w14:paraId="0733B38B">
      <w:pPr>
        <w:pStyle w:val="59"/>
        <w:keepNext w:val="0"/>
        <w:keepLines w:val="0"/>
        <w:pageBreakBefore w:val="0"/>
        <w:widowControl/>
        <w:kinsoku/>
        <w:wordWrap/>
        <w:overflowPunct/>
        <w:topLinePunct w:val="0"/>
        <w:bidi w:val="0"/>
        <w:adjustRightInd/>
        <w:snapToGrid/>
        <w:spacing w:line="360" w:lineRule="auto"/>
        <w:ind w:firstLine="420"/>
        <w:textAlignment w:val="auto"/>
        <w:rPr>
          <w:rFonts w:hint="eastAsia"/>
          <w:szCs w:val="22"/>
          <w:lang w:val="en-US" w:eastAsia="zh-CN"/>
        </w:rPr>
      </w:pPr>
      <w:r>
        <w:rPr>
          <w:rFonts w:hint="eastAsia"/>
          <w:szCs w:val="22"/>
          <w:lang w:val="en-US" w:eastAsia="zh-CN"/>
        </w:rPr>
        <w:t>温度、湿度和大气压力</w:t>
      </w:r>
      <w:r>
        <w:rPr>
          <w:rFonts w:hint="eastAsia"/>
          <w:szCs w:val="22"/>
        </w:rPr>
        <w:t>应符合</w:t>
      </w:r>
      <w:r>
        <w:rPr>
          <w:rFonts w:hint="eastAsia"/>
          <w:szCs w:val="22"/>
          <w:lang w:val="en-US" w:eastAsia="zh-CN"/>
        </w:rPr>
        <w:t xml:space="preserve"> </w:t>
      </w:r>
      <w:r>
        <w:rPr>
          <w:rFonts w:hint="eastAsia"/>
          <w:szCs w:val="22"/>
        </w:rPr>
        <w:t>DL/T 14</w:t>
      </w:r>
      <w:r>
        <w:rPr>
          <w:rFonts w:hint="eastAsia"/>
          <w:szCs w:val="22"/>
          <w:lang w:val="en-US" w:eastAsia="zh-CN"/>
        </w:rPr>
        <w:t>85—2024</w:t>
      </w:r>
      <w:r>
        <w:rPr>
          <w:rFonts w:hint="eastAsia"/>
          <w:szCs w:val="22"/>
        </w:rPr>
        <w:t xml:space="preserve"> </w:t>
      </w:r>
      <w:r>
        <w:rPr>
          <w:rFonts w:hint="eastAsia"/>
          <w:szCs w:val="22"/>
          <w:lang w:val="en-US" w:eastAsia="zh-CN"/>
        </w:rPr>
        <w:t xml:space="preserve">中 4.2 </w:t>
      </w:r>
      <w:r>
        <w:rPr>
          <w:rFonts w:hint="eastAsia"/>
          <w:szCs w:val="22"/>
        </w:rPr>
        <w:t>的</w:t>
      </w:r>
      <w:r>
        <w:rPr>
          <w:rFonts w:hint="eastAsia"/>
          <w:szCs w:val="22"/>
          <w:lang w:val="en-US" w:eastAsia="zh-CN"/>
        </w:rPr>
        <w:t>规定</w:t>
      </w:r>
      <w:r>
        <w:rPr>
          <w:rFonts w:hint="eastAsia"/>
          <w:szCs w:val="22"/>
          <w:lang w:eastAsia="zh-CN"/>
        </w:rPr>
        <w:t>。</w:t>
      </w:r>
    </w:p>
    <w:p w14:paraId="544401DC">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default" w:ascii="黑体" w:hAnsi="Times New Roman" w:eastAsia="黑体" w:cs="Times New Roman"/>
          <w:sz w:val="21"/>
          <w:lang w:val="en-US" w:eastAsia="zh-CN" w:bidi="ar-SA"/>
        </w:rPr>
      </w:pPr>
      <w:r>
        <w:rPr>
          <w:rFonts w:hint="eastAsia"/>
          <w:szCs w:val="22"/>
          <w:lang w:val="en-US" w:eastAsia="zh-CN"/>
        </w:rPr>
        <w:t>4.2   规格要求</w:t>
      </w:r>
    </w:p>
    <w:p w14:paraId="3953274C">
      <w:pPr>
        <w:pStyle w:val="108"/>
        <w:keepNext w:val="0"/>
        <w:keepLines w:val="0"/>
        <w:pageBreakBefore w:val="0"/>
        <w:widowControl/>
        <w:numPr>
          <w:ilvl w:val="2"/>
          <w:numId w:val="0"/>
        </w:numPr>
        <w:kinsoku/>
        <w:wordWrap/>
        <w:overflowPunct/>
        <w:topLinePunct w:val="0"/>
        <w:bidi w:val="0"/>
        <w:adjustRightInd/>
        <w:snapToGrid/>
        <w:spacing w:before="120" w:after="120" w:line="360" w:lineRule="auto"/>
        <w:ind w:firstLine="420" w:firstLineChars="200"/>
        <w:textAlignment w:val="auto"/>
        <w:rPr>
          <w:rFonts w:hint="eastAsia" w:ascii="宋体" w:hAnsi="Times New Roman" w:eastAsia="宋体" w:cs="Times New Roman"/>
          <w:sz w:val="21"/>
          <w:szCs w:val="22"/>
          <w:lang w:val="en-US" w:eastAsia="zh-CN" w:bidi="ar-SA"/>
        </w:rPr>
      </w:pPr>
      <w:r>
        <w:rPr>
          <w:rFonts w:hint="eastAsia" w:ascii="宋体" w:eastAsia="宋体" w:cs="Times New Roman"/>
          <w:sz w:val="21"/>
          <w:szCs w:val="22"/>
          <w:lang w:val="en-US" w:eastAsia="zh-CN" w:bidi="ar-SA"/>
        </w:rPr>
        <w:t>电压、电流和频率</w:t>
      </w:r>
      <w:r>
        <w:rPr>
          <w:rFonts w:hint="eastAsia" w:ascii="宋体" w:hAnsi="Times New Roman" w:eastAsia="宋体" w:cs="Times New Roman"/>
          <w:sz w:val="21"/>
          <w:szCs w:val="22"/>
          <w:lang w:val="en-US" w:eastAsia="zh-CN" w:bidi="ar-SA"/>
        </w:rPr>
        <w:t>应符合 DL/T 148</w:t>
      </w:r>
      <w:r>
        <w:rPr>
          <w:rFonts w:hint="eastAsia" w:ascii="宋体" w:eastAsia="宋体" w:cs="Times New Roman"/>
          <w:sz w:val="21"/>
          <w:szCs w:val="22"/>
          <w:lang w:val="en-US" w:eastAsia="zh-CN" w:bidi="ar-SA"/>
        </w:rPr>
        <w:t>5</w:t>
      </w:r>
      <w:r>
        <w:rPr>
          <w:rFonts w:hint="eastAsia" w:ascii="宋体" w:hAnsi="Times New Roman" w:eastAsia="宋体" w:cs="Times New Roman"/>
          <w:sz w:val="21"/>
          <w:szCs w:val="22"/>
          <w:lang w:val="en-US" w:eastAsia="zh-CN" w:bidi="ar-SA"/>
        </w:rPr>
        <w:t>—2024 中4.</w:t>
      </w:r>
      <w:r>
        <w:rPr>
          <w:rFonts w:hint="eastAsia" w:ascii="宋体" w:eastAsia="宋体" w:cs="Times New Roman"/>
          <w:sz w:val="21"/>
          <w:szCs w:val="22"/>
          <w:lang w:val="en-US" w:eastAsia="zh-CN" w:bidi="ar-SA"/>
        </w:rPr>
        <w:t>1</w:t>
      </w:r>
      <w:r>
        <w:rPr>
          <w:rFonts w:hint="eastAsia" w:ascii="宋体" w:hAnsi="Times New Roman" w:eastAsia="宋体" w:cs="Times New Roman"/>
          <w:sz w:val="21"/>
          <w:szCs w:val="22"/>
          <w:lang w:val="en-US" w:eastAsia="zh-CN" w:bidi="ar-SA"/>
        </w:rPr>
        <w:t>的规定。</w:t>
      </w:r>
    </w:p>
    <w:p w14:paraId="3A163831">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szCs w:val="22"/>
          <w:lang w:val="en-US" w:eastAsia="zh-CN"/>
        </w:rPr>
      </w:pPr>
      <w:r>
        <w:rPr>
          <w:rFonts w:hint="eastAsia"/>
          <w:szCs w:val="22"/>
          <w:lang w:val="en-US" w:eastAsia="zh-CN"/>
        </w:rPr>
        <w:t>4.3  结构与外观</w:t>
      </w:r>
    </w:p>
    <w:p w14:paraId="16B9EEFE">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b w:val="0"/>
          <w:bCs w:val="0"/>
          <w:szCs w:val="22"/>
          <w:lang w:val="en-US" w:eastAsia="zh-CN"/>
        </w:rPr>
      </w:pPr>
      <w:r>
        <w:rPr>
          <w:rFonts w:hint="eastAsia"/>
          <w:b w:val="0"/>
          <w:bCs w:val="0"/>
          <w:szCs w:val="22"/>
          <w:lang w:val="en-US" w:eastAsia="zh-CN"/>
        </w:rPr>
        <w:t>4.3.1 外壳</w:t>
      </w:r>
    </w:p>
    <w:p w14:paraId="446E8867">
      <w:pPr>
        <w:pStyle w:val="59"/>
        <w:keepNext w:val="0"/>
        <w:keepLines w:val="0"/>
        <w:pageBreakBefore w:val="0"/>
        <w:widowControl/>
        <w:kinsoku/>
        <w:wordWrap/>
        <w:overflowPunct/>
        <w:topLinePunct w:val="0"/>
        <w:bidi w:val="0"/>
        <w:adjustRightInd/>
        <w:snapToGrid/>
        <w:spacing w:line="360" w:lineRule="auto"/>
        <w:ind w:firstLine="420"/>
        <w:textAlignment w:val="auto"/>
      </w:pPr>
      <w:r>
        <w:rPr>
          <w:rFonts w:hint="eastAsia"/>
        </w:rPr>
        <w:t>电碳表的外壳应满足</w:t>
      </w:r>
      <w:r>
        <w:rPr>
          <w:rFonts w:hint="eastAsia"/>
          <w:lang w:val="en-US" w:eastAsia="zh-CN"/>
        </w:rPr>
        <w:t>以下</w:t>
      </w:r>
      <w:r>
        <w:rPr>
          <w:rFonts w:hint="eastAsia"/>
        </w:rPr>
        <w:t xml:space="preserve">要求： </w:t>
      </w:r>
    </w:p>
    <w:p w14:paraId="73088987">
      <w:pPr>
        <w:pStyle w:val="242"/>
        <w:keepNext w:val="0"/>
        <w:keepLines w:val="0"/>
        <w:pageBreakBefore w:val="0"/>
        <w:widowControl/>
        <w:numPr>
          <w:ilvl w:val="0"/>
          <w:numId w:val="35"/>
        </w:numPr>
        <w:tabs>
          <w:tab w:val="left" w:pos="839"/>
        </w:tabs>
        <w:kinsoku/>
        <w:wordWrap/>
        <w:overflowPunct/>
        <w:topLinePunct w:val="0"/>
        <w:bidi w:val="0"/>
        <w:adjustRightInd/>
        <w:snapToGrid/>
        <w:spacing w:line="360" w:lineRule="auto"/>
        <w:textAlignment w:val="auto"/>
      </w:pPr>
      <w:r>
        <w:rPr>
          <w:rFonts w:hint="eastAsia"/>
        </w:rPr>
        <w:t xml:space="preserve">应有施加封印的措施，只有在破坏封印后才能打开外壳，触及内部器件；  </w:t>
      </w:r>
    </w:p>
    <w:p w14:paraId="204E7F48">
      <w:pPr>
        <w:pStyle w:val="242"/>
        <w:keepNext w:val="0"/>
        <w:keepLines w:val="0"/>
        <w:pageBreakBefore w:val="0"/>
        <w:widowControl/>
        <w:numPr>
          <w:ilvl w:val="0"/>
          <w:numId w:val="35"/>
        </w:numPr>
        <w:tabs>
          <w:tab w:val="left" w:pos="839"/>
        </w:tabs>
        <w:kinsoku/>
        <w:wordWrap/>
        <w:overflowPunct/>
        <w:topLinePunct w:val="0"/>
        <w:bidi w:val="0"/>
        <w:adjustRightInd/>
        <w:snapToGrid/>
        <w:spacing w:line="360" w:lineRule="auto"/>
        <w:ind w:firstLineChars="0"/>
        <w:textAlignment w:val="auto"/>
      </w:pPr>
      <w:r>
        <w:rPr>
          <w:rFonts w:hint="eastAsia"/>
        </w:rPr>
        <w:tab/>
      </w:r>
      <w:r>
        <w:rPr>
          <w:rFonts w:hint="eastAsia"/>
        </w:rPr>
        <w:t xml:space="preserve">电源端口、电压输入端口应有“小心电击”的警示标志。 </w:t>
      </w:r>
    </w:p>
    <w:p w14:paraId="6FD8F6A1">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b w:val="0"/>
          <w:bCs w:val="0"/>
          <w:szCs w:val="22"/>
          <w:lang w:val="en-US" w:eastAsia="zh-CN"/>
        </w:rPr>
      </w:pPr>
      <w:r>
        <w:rPr>
          <w:rFonts w:hint="eastAsia"/>
          <w:b w:val="0"/>
          <w:bCs w:val="0"/>
          <w:szCs w:val="22"/>
          <w:lang w:val="en-US" w:eastAsia="zh-CN"/>
        </w:rPr>
        <w:t>4.3.2 铭牌</w:t>
      </w:r>
    </w:p>
    <w:p w14:paraId="2A192FD8">
      <w:pPr>
        <w:pStyle w:val="59"/>
        <w:keepNext w:val="0"/>
        <w:keepLines w:val="0"/>
        <w:pageBreakBefore w:val="0"/>
        <w:widowControl/>
        <w:kinsoku/>
        <w:wordWrap/>
        <w:overflowPunct/>
        <w:topLinePunct w:val="0"/>
        <w:bidi w:val="0"/>
        <w:adjustRightInd/>
        <w:snapToGrid/>
        <w:spacing w:line="360" w:lineRule="auto"/>
        <w:ind w:firstLine="420"/>
        <w:textAlignment w:val="auto"/>
        <w:rPr>
          <w:rFonts w:hint="eastAsia" w:eastAsia="宋体"/>
          <w:lang w:eastAsia="zh-CN"/>
        </w:rPr>
      </w:pPr>
      <w:r>
        <w:rPr>
          <w:rFonts w:hint="eastAsia"/>
        </w:rPr>
        <w:t>电碳表铭牌文字高度</w:t>
      </w:r>
      <w:r>
        <w:rPr>
          <w:rFonts w:hint="eastAsia"/>
          <w:lang w:val="en-US" w:eastAsia="zh-CN"/>
        </w:rPr>
        <w:t>应</w:t>
      </w:r>
      <w:r>
        <w:rPr>
          <w:rFonts w:hint="eastAsia"/>
        </w:rPr>
        <w:t>不小于2mm</w:t>
      </w:r>
      <w:r>
        <w:rPr>
          <w:rFonts w:hint="eastAsia"/>
          <w:lang w:eastAsia="zh-CN"/>
        </w:rPr>
        <w:t>，</w:t>
      </w:r>
      <w:r>
        <w:rPr>
          <w:rFonts w:hint="eastAsia"/>
          <w:lang w:val="en-US" w:eastAsia="zh-CN"/>
        </w:rPr>
        <w:t>且</w:t>
      </w:r>
      <w:r>
        <w:rPr>
          <w:rFonts w:hint="eastAsia"/>
        </w:rPr>
        <w:t>应</w:t>
      </w:r>
      <w:r>
        <w:rPr>
          <w:rFonts w:hint="eastAsia"/>
          <w:lang w:val="en-US" w:eastAsia="zh-CN"/>
        </w:rPr>
        <w:t>包含以下</w:t>
      </w:r>
      <w:r>
        <w:rPr>
          <w:rFonts w:hint="eastAsia"/>
        </w:rPr>
        <w:t>信息</w:t>
      </w:r>
      <w:r>
        <w:rPr>
          <w:rFonts w:hint="eastAsia"/>
          <w:lang w:eastAsia="zh-CN"/>
        </w:rPr>
        <w:t>：</w:t>
      </w:r>
    </w:p>
    <w:p w14:paraId="05EE56A6">
      <w:pPr>
        <w:pStyle w:val="242"/>
        <w:keepNext w:val="0"/>
        <w:keepLines w:val="0"/>
        <w:pageBreakBefore w:val="0"/>
        <w:widowControl/>
        <w:numPr>
          <w:ilvl w:val="0"/>
          <w:numId w:val="36"/>
        </w:numPr>
        <w:tabs>
          <w:tab w:val="left" w:pos="839"/>
        </w:tabs>
        <w:kinsoku/>
        <w:wordWrap/>
        <w:overflowPunct/>
        <w:topLinePunct w:val="0"/>
        <w:bidi w:val="0"/>
        <w:adjustRightInd/>
        <w:snapToGrid/>
        <w:spacing w:line="360" w:lineRule="auto"/>
        <w:textAlignment w:val="auto"/>
      </w:pPr>
      <w:r>
        <w:rPr>
          <w:rFonts w:hint="eastAsia"/>
        </w:rPr>
        <w:t xml:space="preserve">制造商名称或商标； </w:t>
      </w:r>
    </w:p>
    <w:p w14:paraId="073B704C">
      <w:pPr>
        <w:pStyle w:val="242"/>
        <w:keepNext w:val="0"/>
        <w:keepLines w:val="0"/>
        <w:pageBreakBefore w:val="0"/>
        <w:widowControl/>
        <w:numPr>
          <w:ilvl w:val="0"/>
          <w:numId w:val="36"/>
        </w:numPr>
        <w:tabs>
          <w:tab w:val="left" w:pos="839"/>
        </w:tabs>
        <w:kinsoku/>
        <w:wordWrap/>
        <w:overflowPunct/>
        <w:topLinePunct w:val="0"/>
        <w:bidi w:val="0"/>
        <w:adjustRightInd/>
        <w:snapToGrid/>
        <w:spacing w:line="360" w:lineRule="auto"/>
        <w:textAlignment w:val="auto"/>
      </w:pPr>
      <w:r>
        <w:rPr>
          <w:rFonts w:hint="eastAsia"/>
        </w:rPr>
        <w:t xml:space="preserve">产品名称和产品型号；  </w:t>
      </w:r>
    </w:p>
    <w:p w14:paraId="533CD954">
      <w:pPr>
        <w:pStyle w:val="242"/>
        <w:keepNext w:val="0"/>
        <w:keepLines w:val="0"/>
        <w:pageBreakBefore w:val="0"/>
        <w:widowControl/>
        <w:numPr>
          <w:ilvl w:val="0"/>
          <w:numId w:val="36"/>
        </w:numPr>
        <w:tabs>
          <w:tab w:val="left" w:pos="839"/>
        </w:tabs>
        <w:kinsoku/>
        <w:wordWrap/>
        <w:overflowPunct/>
        <w:topLinePunct w:val="0"/>
        <w:bidi w:val="0"/>
        <w:adjustRightInd/>
        <w:snapToGrid/>
        <w:spacing w:line="360" w:lineRule="auto"/>
        <w:textAlignment w:val="auto"/>
      </w:pPr>
      <w:r>
        <w:rPr>
          <w:rFonts w:hint="eastAsia"/>
        </w:rPr>
        <w:t xml:space="preserve">电压测量范围； </w:t>
      </w:r>
    </w:p>
    <w:p w14:paraId="231CED5F">
      <w:pPr>
        <w:pStyle w:val="242"/>
        <w:keepNext w:val="0"/>
        <w:keepLines w:val="0"/>
        <w:pageBreakBefore w:val="0"/>
        <w:widowControl/>
        <w:numPr>
          <w:ilvl w:val="0"/>
          <w:numId w:val="36"/>
        </w:numPr>
        <w:tabs>
          <w:tab w:val="left" w:pos="839"/>
        </w:tabs>
        <w:kinsoku/>
        <w:wordWrap/>
        <w:overflowPunct/>
        <w:topLinePunct w:val="0"/>
        <w:bidi w:val="0"/>
        <w:adjustRightInd/>
        <w:snapToGrid/>
        <w:spacing w:line="360" w:lineRule="auto"/>
        <w:textAlignment w:val="auto"/>
      </w:pPr>
      <w:r>
        <w:rPr>
          <w:rFonts w:hint="eastAsia"/>
        </w:rPr>
        <w:t>电流测量范围；</w:t>
      </w:r>
    </w:p>
    <w:p w14:paraId="1FB3793C">
      <w:pPr>
        <w:pStyle w:val="242"/>
        <w:keepNext w:val="0"/>
        <w:keepLines w:val="0"/>
        <w:pageBreakBefore w:val="0"/>
        <w:widowControl/>
        <w:numPr>
          <w:ilvl w:val="0"/>
          <w:numId w:val="36"/>
        </w:numPr>
        <w:tabs>
          <w:tab w:val="left" w:pos="839"/>
        </w:tabs>
        <w:kinsoku/>
        <w:wordWrap/>
        <w:overflowPunct/>
        <w:topLinePunct w:val="0"/>
        <w:bidi w:val="0"/>
        <w:adjustRightInd/>
        <w:snapToGrid/>
        <w:spacing w:line="360" w:lineRule="auto"/>
        <w:textAlignment w:val="auto"/>
      </w:pPr>
      <w:r>
        <w:rPr>
          <w:rFonts w:hint="eastAsia"/>
        </w:rPr>
        <w:t>电</w:t>
      </w:r>
      <w:r>
        <w:rPr>
          <w:rFonts w:hint="eastAsia"/>
          <w:lang w:val="en-US" w:eastAsia="zh-CN"/>
        </w:rPr>
        <w:t>力</w:t>
      </w:r>
      <w:r>
        <w:rPr>
          <w:rFonts w:hint="eastAsia"/>
        </w:rPr>
        <w:t>碳</w:t>
      </w:r>
      <w:r>
        <w:rPr>
          <w:rFonts w:hint="eastAsia"/>
          <w:lang w:val="en-US" w:eastAsia="zh-CN"/>
        </w:rPr>
        <w:t>排放</w:t>
      </w:r>
      <w:r>
        <w:rPr>
          <w:rFonts w:hint="eastAsia"/>
        </w:rPr>
        <w:t>因子的计量单位和电碳排放量的计量单位；</w:t>
      </w:r>
    </w:p>
    <w:p w14:paraId="5AC2ACBA">
      <w:pPr>
        <w:pStyle w:val="242"/>
        <w:keepNext w:val="0"/>
        <w:keepLines w:val="0"/>
        <w:pageBreakBefore w:val="0"/>
        <w:widowControl/>
        <w:numPr>
          <w:ilvl w:val="0"/>
          <w:numId w:val="36"/>
        </w:numPr>
        <w:tabs>
          <w:tab w:val="left" w:pos="839"/>
        </w:tabs>
        <w:kinsoku/>
        <w:wordWrap/>
        <w:overflowPunct/>
        <w:topLinePunct w:val="0"/>
        <w:bidi w:val="0"/>
        <w:adjustRightInd/>
        <w:snapToGrid/>
        <w:spacing w:line="360" w:lineRule="auto"/>
        <w:textAlignment w:val="auto"/>
      </w:pPr>
      <w:r>
        <w:rPr>
          <w:rFonts w:hint="eastAsia"/>
        </w:rPr>
        <w:t xml:space="preserve">产品制造日期； </w:t>
      </w:r>
    </w:p>
    <w:p w14:paraId="52E3B969">
      <w:pPr>
        <w:pStyle w:val="242"/>
        <w:keepNext w:val="0"/>
        <w:keepLines w:val="0"/>
        <w:pageBreakBefore w:val="0"/>
        <w:widowControl/>
        <w:numPr>
          <w:ilvl w:val="0"/>
          <w:numId w:val="36"/>
        </w:numPr>
        <w:tabs>
          <w:tab w:val="left" w:pos="839"/>
        </w:tabs>
        <w:kinsoku/>
        <w:wordWrap/>
        <w:overflowPunct/>
        <w:topLinePunct w:val="0"/>
        <w:bidi w:val="0"/>
        <w:adjustRightInd/>
        <w:snapToGrid/>
        <w:spacing w:line="360" w:lineRule="auto"/>
        <w:textAlignment w:val="auto"/>
      </w:pPr>
      <w:r>
        <w:rPr>
          <w:rFonts w:hint="eastAsia"/>
        </w:rPr>
        <w:t xml:space="preserve">产品出厂编号； </w:t>
      </w:r>
    </w:p>
    <w:p w14:paraId="27B0F0CD">
      <w:pPr>
        <w:pStyle w:val="242"/>
        <w:keepNext w:val="0"/>
        <w:keepLines w:val="0"/>
        <w:pageBreakBefore w:val="0"/>
        <w:widowControl/>
        <w:numPr>
          <w:ilvl w:val="0"/>
          <w:numId w:val="36"/>
        </w:numPr>
        <w:tabs>
          <w:tab w:val="left" w:pos="839"/>
        </w:tabs>
        <w:kinsoku/>
        <w:wordWrap/>
        <w:overflowPunct/>
        <w:topLinePunct w:val="0"/>
        <w:bidi w:val="0"/>
        <w:adjustRightInd/>
        <w:snapToGrid/>
        <w:spacing w:line="360" w:lineRule="auto"/>
        <w:textAlignment w:val="auto"/>
      </w:pPr>
      <w:r>
        <w:rPr>
          <w:rFonts w:hint="eastAsia"/>
        </w:rPr>
        <w:t xml:space="preserve">产品执行标准。 </w:t>
      </w:r>
    </w:p>
    <w:p w14:paraId="58D90C13">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b w:val="0"/>
          <w:bCs w:val="0"/>
          <w:szCs w:val="22"/>
          <w:lang w:val="en-US" w:eastAsia="zh-CN"/>
        </w:rPr>
      </w:pPr>
      <w:r>
        <w:rPr>
          <w:rFonts w:hint="eastAsia"/>
          <w:b w:val="0"/>
          <w:bCs w:val="0"/>
          <w:szCs w:val="22"/>
          <w:lang w:val="en-US" w:eastAsia="zh-CN"/>
        </w:rPr>
        <w:t>4.3.3 端子和接口</w:t>
      </w:r>
    </w:p>
    <w:p w14:paraId="557AD89C">
      <w:pPr>
        <w:pStyle w:val="59"/>
        <w:keepNext w:val="0"/>
        <w:keepLines w:val="0"/>
        <w:pageBreakBefore w:val="0"/>
        <w:widowControl/>
        <w:kinsoku/>
        <w:wordWrap/>
        <w:overflowPunct/>
        <w:topLinePunct w:val="0"/>
        <w:bidi w:val="0"/>
        <w:adjustRightInd/>
        <w:snapToGrid/>
        <w:spacing w:line="360" w:lineRule="auto"/>
        <w:ind w:firstLine="420"/>
        <w:textAlignment w:val="auto"/>
      </w:pPr>
      <w:r>
        <w:rPr>
          <w:rFonts w:hint="eastAsia"/>
        </w:rPr>
        <w:t>电碳表的端子和接口应满足</w:t>
      </w:r>
      <w:r>
        <w:rPr>
          <w:rFonts w:hint="eastAsia"/>
          <w:lang w:val="en-US" w:eastAsia="zh-CN"/>
        </w:rPr>
        <w:t>以下</w:t>
      </w:r>
      <w:r>
        <w:rPr>
          <w:rFonts w:hint="eastAsia"/>
        </w:rPr>
        <w:t xml:space="preserve">要求： </w:t>
      </w:r>
    </w:p>
    <w:p w14:paraId="72E7A734">
      <w:pPr>
        <w:pStyle w:val="242"/>
        <w:keepNext w:val="0"/>
        <w:keepLines w:val="0"/>
        <w:pageBreakBefore w:val="0"/>
        <w:widowControl/>
        <w:numPr>
          <w:ilvl w:val="0"/>
          <w:numId w:val="37"/>
        </w:numPr>
        <w:tabs>
          <w:tab w:val="left" w:pos="839"/>
        </w:tabs>
        <w:kinsoku/>
        <w:wordWrap/>
        <w:overflowPunct/>
        <w:topLinePunct w:val="0"/>
        <w:bidi w:val="0"/>
        <w:adjustRightInd/>
        <w:snapToGrid/>
        <w:spacing w:line="360" w:lineRule="auto"/>
        <w:textAlignment w:val="auto"/>
      </w:pPr>
      <w:r>
        <w:rPr>
          <w:rFonts w:hint="eastAsia"/>
        </w:rPr>
        <w:t xml:space="preserve">应具电压输入端子、电流输入端子、接地端子、脉冲输入端子和脉冲输出端子； </w:t>
      </w:r>
    </w:p>
    <w:p w14:paraId="314D0F7B">
      <w:pPr>
        <w:pStyle w:val="242"/>
        <w:keepNext w:val="0"/>
        <w:keepLines w:val="0"/>
        <w:pageBreakBefore w:val="0"/>
        <w:widowControl/>
        <w:numPr>
          <w:ilvl w:val="0"/>
          <w:numId w:val="37"/>
        </w:numPr>
        <w:tabs>
          <w:tab w:val="left" w:pos="839"/>
        </w:tabs>
        <w:kinsoku/>
        <w:wordWrap/>
        <w:overflowPunct/>
        <w:topLinePunct w:val="0"/>
        <w:bidi w:val="0"/>
        <w:adjustRightInd/>
        <w:snapToGrid/>
        <w:spacing w:line="360" w:lineRule="auto"/>
        <w:textAlignment w:val="auto"/>
      </w:pPr>
      <w:r>
        <w:rPr>
          <w:rFonts w:hint="eastAsia"/>
        </w:rPr>
        <w:t xml:space="preserve">电压端子和电流端子应具有端子名称的标识； </w:t>
      </w:r>
    </w:p>
    <w:p w14:paraId="324A5B6C">
      <w:pPr>
        <w:pStyle w:val="242"/>
        <w:keepNext w:val="0"/>
        <w:keepLines w:val="0"/>
        <w:pageBreakBefore w:val="0"/>
        <w:widowControl/>
        <w:numPr>
          <w:ilvl w:val="0"/>
          <w:numId w:val="37"/>
        </w:numPr>
        <w:tabs>
          <w:tab w:val="left" w:pos="839"/>
        </w:tabs>
        <w:kinsoku/>
        <w:wordWrap/>
        <w:overflowPunct/>
        <w:topLinePunct w:val="0"/>
        <w:bidi w:val="0"/>
        <w:adjustRightInd/>
        <w:snapToGrid/>
        <w:spacing w:line="360" w:lineRule="auto"/>
        <w:textAlignment w:val="auto"/>
      </w:pPr>
      <w:r>
        <w:rPr>
          <w:rFonts w:hint="eastAsia"/>
        </w:rPr>
        <w:t xml:space="preserve">脉冲端子与危险带电部件间应有隔离措施； </w:t>
      </w:r>
    </w:p>
    <w:p w14:paraId="3B4D3257">
      <w:pPr>
        <w:pStyle w:val="242"/>
        <w:keepNext w:val="0"/>
        <w:keepLines w:val="0"/>
        <w:pageBreakBefore w:val="0"/>
        <w:widowControl/>
        <w:numPr>
          <w:ilvl w:val="0"/>
          <w:numId w:val="37"/>
        </w:numPr>
        <w:tabs>
          <w:tab w:val="left" w:pos="839"/>
        </w:tabs>
        <w:kinsoku/>
        <w:wordWrap/>
        <w:overflowPunct/>
        <w:topLinePunct w:val="0"/>
        <w:bidi w:val="0"/>
        <w:adjustRightInd/>
        <w:snapToGrid/>
        <w:spacing w:line="360" w:lineRule="auto"/>
        <w:textAlignment w:val="auto"/>
      </w:pPr>
      <w:r>
        <w:rPr>
          <w:rFonts w:hint="eastAsia"/>
        </w:rPr>
        <w:t xml:space="preserve">应具有通讯接口，接口与危险带电端子间应有隔离措施。 </w:t>
      </w:r>
    </w:p>
    <w:p w14:paraId="0C6D6B33">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b w:val="0"/>
          <w:bCs w:val="0"/>
          <w:szCs w:val="22"/>
          <w:lang w:val="en-US" w:eastAsia="zh-CN"/>
        </w:rPr>
      </w:pPr>
      <w:r>
        <w:rPr>
          <w:rFonts w:hint="eastAsia"/>
          <w:b w:val="0"/>
          <w:bCs w:val="0"/>
          <w:szCs w:val="22"/>
          <w:lang w:val="en-US" w:eastAsia="zh-CN"/>
        </w:rPr>
        <w:t>4.3.4 信息显示和指示</w:t>
      </w:r>
    </w:p>
    <w:p w14:paraId="79D549FD">
      <w:pPr>
        <w:pStyle w:val="59"/>
        <w:keepNext w:val="0"/>
        <w:keepLines w:val="0"/>
        <w:pageBreakBefore w:val="0"/>
        <w:widowControl/>
        <w:kinsoku/>
        <w:wordWrap/>
        <w:overflowPunct/>
        <w:topLinePunct w:val="0"/>
        <w:bidi w:val="0"/>
        <w:adjustRightInd/>
        <w:snapToGrid/>
        <w:spacing w:line="360" w:lineRule="auto"/>
        <w:ind w:firstLine="420"/>
        <w:textAlignment w:val="auto"/>
      </w:pPr>
      <w:r>
        <w:rPr>
          <w:rFonts w:hint="eastAsia"/>
        </w:rPr>
        <w:t>电碳表的信息显示和指示应满足</w:t>
      </w:r>
      <w:r>
        <w:rPr>
          <w:rFonts w:hint="eastAsia"/>
          <w:lang w:val="en-US" w:eastAsia="zh-CN"/>
        </w:rPr>
        <w:t>以下</w:t>
      </w:r>
      <w:r>
        <w:rPr>
          <w:rFonts w:hint="eastAsia"/>
        </w:rPr>
        <w:t>要求：</w:t>
      </w:r>
    </w:p>
    <w:p w14:paraId="05C399B0">
      <w:pPr>
        <w:pStyle w:val="242"/>
        <w:keepNext w:val="0"/>
        <w:keepLines w:val="0"/>
        <w:pageBreakBefore w:val="0"/>
        <w:widowControl/>
        <w:numPr>
          <w:ilvl w:val="0"/>
          <w:numId w:val="38"/>
        </w:numPr>
        <w:tabs>
          <w:tab w:val="left" w:pos="839"/>
        </w:tabs>
        <w:kinsoku/>
        <w:wordWrap/>
        <w:overflowPunct/>
        <w:topLinePunct w:val="0"/>
        <w:bidi w:val="0"/>
        <w:adjustRightInd/>
        <w:snapToGrid/>
        <w:spacing w:line="360" w:lineRule="auto"/>
        <w:textAlignment w:val="auto"/>
      </w:pPr>
      <w:r>
        <w:rPr>
          <w:rFonts w:hint="eastAsia"/>
        </w:rPr>
        <w:t>具有数据和信息显示部件，宜具有状态和警示作用的显示或指示灯；</w:t>
      </w:r>
    </w:p>
    <w:p w14:paraId="40E982D7">
      <w:pPr>
        <w:pStyle w:val="242"/>
        <w:keepNext w:val="0"/>
        <w:keepLines w:val="0"/>
        <w:pageBreakBefore w:val="0"/>
        <w:widowControl/>
        <w:numPr>
          <w:ilvl w:val="0"/>
          <w:numId w:val="38"/>
        </w:numPr>
        <w:tabs>
          <w:tab w:val="left" w:pos="839"/>
        </w:tabs>
        <w:kinsoku/>
        <w:wordWrap/>
        <w:overflowPunct/>
        <w:topLinePunct w:val="0"/>
        <w:bidi w:val="0"/>
        <w:adjustRightInd/>
        <w:snapToGrid/>
        <w:spacing w:line="360" w:lineRule="auto"/>
        <w:textAlignment w:val="auto"/>
      </w:pPr>
      <w:r>
        <w:rPr>
          <w:rFonts w:hint="eastAsia"/>
          <w:lang w:val="en-US" w:eastAsia="zh-CN"/>
        </w:rPr>
        <w:t>宜</w:t>
      </w:r>
      <w:r>
        <w:rPr>
          <w:rFonts w:hint="eastAsia"/>
        </w:rPr>
        <w:t>显示当前电能量，单位为千瓦时（</w:t>
      </w:r>
      <w:r>
        <w:t>kWh</w:t>
      </w:r>
      <w:r>
        <w:rPr>
          <w:rFonts w:hint="eastAsia"/>
        </w:rPr>
        <w:t>）；</w:t>
      </w:r>
    </w:p>
    <w:p w14:paraId="7D71FD3C">
      <w:pPr>
        <w:pStyle w:val="242"/>
        <w:keepNext w:val="0"/>
        <w:keepLines w:val="0"/>
        <w:pageBreakBefore w:val="0"/>
        <w:widowControl/>
        <w:numPr>
          <w:ilvl w:val="0"/>
          <w:numId w:val="38"/>
        </w:numPr>
        <w:tabs>
          <w:tab w:val="left" w:pos="839"/>
        </w:tabs>
        <w:kinsoku/>
        <w:wordWrap/>
        <w:overflowPunct/>
        <w:topLinePunct w:val="0"/>
        <w:bidi w:val="0"/>
        <w:adjustRightInd/>
        <w:snapToGrid/>
        <w:spacing w:line="360" w:lineRule="auto"/>
        <w:textAlignment w:val="auto"/>
      </w:pPr>
      <w:r>
        <w:rPr>
          <w:rFonts w:hint="eastAsia"/>
          <w:lang w:val="en-US" w:eastAsia="zh-CN"/>
        </w:rPr>
        <w:t>宜</w:t>
      </w:r>
      <w:r>
        <w:rPr>
          <w:rFonts w:hint="eastAsia"/>
        </w:rPr>
        <w:t>显示当前正、反向电碳排放量和电</w:t>
      </w:r>
      <w:r>
        <w:rPr>
          <w:rFonts w:hint="eastAsia"/>
          <w:lang w:val="en-US" w:eastAsia="zh-CN"/>
        </w:rPr>
        <w:t>力</w:t>
      </w:r>
      <w:r>
        <w:rPr>
          <w:rFonts w:hint="eastAsia"/>
        </w:rPr>
        <w:t>碳</w:t>
      </w:r>
      <w:r>
        <w:rPr>
          <w:rFonts w:hint="eastAsia"/>
          <w:lang w:val="en-US" w:eastAsia="zh-CN"/>
        </w:rPr>
        <w:t>排放</w:t>
      </w:r>
      <w:r>
        <w:rPr>
          <w:rFonts w:hint="eastAsia"/>
        </w:rPr>
        <w:t>因子值，单位分别为千克</w:t>
      </w:r>
      <w:r>
        <w:rPr>
          <w:rFonts w:hint="eastAsia"/>
          <w:lang w:eastAsia="zh-CN"/>
        </w:rPr>
        <w:t>（</w:t>
      </w:r>
      <w:r>
        <w:rPr>
          <w:rFonts w:hint="eastAsia"/>
        </w:rPr>
        <w:t>kg）、千克每千瓦时（kg/kWh）</w:t>
      </w:r>
      <w:r>
        <w:rPr>
          <w:rFonts w:hint="eastAsia"/>
          <w:lang w:eastAsia="zh-CN"/>
        </w:rPr>
        <w:t>。</w:t>
      </w:r>
    </w:p>
    <w:p w14:paraId="140D9614">
      <w:pPr>
        <w:pStyle w:val="108"/>
        <w:numPr>
          <w:ilvl w:val="2"/>
          <w:numId w:val="0"/>
        </w:numPr>
        <w:spacing w:before="120" w:after="120"/>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4.4  功能要求</w:t>
      </w:r>
    </w:p>
    <w:p w14:paraId="6B51229A">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b w:val="0"/>
          <w:bCs w:val="0"/>
          <w:szCs w:val="22"/>
          <w:lang w:val="en-US" w:eastAsia="zh-CN"/>
        </w:rPr>
      </w:pPr>
      <w:r>
        <w:rPr>
          <w:rFonts w:hint="eastAsia"/>
          <w:b w:val="0"/>
          <w:bCs w:val="0"/>
          <w:szCs w:val="22"/>
          <w:lang w:val="en-US" w:eastAsia="zh-CN"/>
        </w:rPr>
        <w:t>4.4.1  电能量计量功能</w:t>
      </w:r>
    </w:p>
    <w:p w14:paraId="62F1FC21">
      <w:pPr>
        <w:pStyle w:val="59"/>
        <w:keepNext w:val="0"/>
        <w:keepLines w:val="0"/>
        <w:pageBreakBefore w:val="0"/>
        <w:widowControl/>
        <w:kinsoku/>
        <w:wordWrap/>
        <w:overflowPunct/>
        <w:topLinePunct w:val="0"/>
        <w:bidi w:val="0"/>
        <w:adjustRightInd/>
        <w:snapToGrid/>
        <w:spacing w:line="360" w:lineRule="auto"/>
        <w:ind w:firstLine="420"/>
        <w:textAlignment w:val="auto"/>
        <w:rPr>
          <w:szCs w:val="22"/>
        </w:rPr>
      </w:pPr>
      <w:r>
        <w:rPr>
          <w:rFonts w:hint="eastAsia"/>
          <w:szCs w:val="22"/>
        </w:rPr>
        <w:t>具有正、反向有功电能计量功能。</w:t>
      </w:r>
    </w:p>
    <w:p w14:paraId="29AA8E9B">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b w:val="0"/>
          <w:bCs w:val="0"/>
          <w:szCs w:val="22"/>
          <w:lang w:val="en-US" w:eastAsia="zh-CN"/>
        </w:rPr>
      </w:pPr>
      <w:r>
        <w:rPr>
          <w:rFonts w:hint="eastAsia"/>
          <w:b w:val="0"/>
          <w:bCs w:val="0"/>
          <w:szCs w:val="22"/>
          <w:lang w:val="en-US" w:eastAsia="zh-CN"/>
        </w:rPr>
        <w:t>4.4.2  电碳排放量计量功能</w:t>
      </w:r>
    </w:p>
    <w:p w14:paraId="5DB0C911">
      <w:pPr>
        <w:pStyle w:val="59"/>
        <w:keepNext w:val="0"/>
        <w:keepLines w:val="0"/>
        <w:pageBreakBefore w:val="0"/>
        <w:widowControl/>
        <w:kinsoku/>
        <w:wordWrap/>
        <w:overflowPunct/>
        <w:topLinePunct w:val="0"/>
        <w:bidi w:val="0"/>
        <w:adjustRightInd/>
        <w:snapToGrid/>
        <w:spacing w:line="360" w:lineRule="auto"/>
        <w:ind w:left="420" w:leftChars="200" w:firstLine="0" w:firstLineChars="0"/>
        <w:textAlignment w:val="auto"/>
        <w:rPr>
          <w:rFonts w:hint="eastAsia"/>
          <w:szCs w:val="22"/>
        </w:rPr>
      </w:pPr>
      <w:r>
        <w:rPr>
          <w:rFonts w:hint="eastAsia"/>
          <w:szCs w:val="22"/>
        </w:rPr>
        <w:t>支持根据电碳计量系统下发的电力碳排放因子，以及电能量增量，按照 T/CIMA 0079.1</w:t>
      </w:r>
      <w:r>
        <w:rPr>
          <w:rFonts w:hint="eastAsia"/>
          <w:szCs w:val="22"/>
          <w:lang w:eastAsia="zh-CN"/>
        </w:rPr>
        <w:t>—</w:t>
      </w:r>
      <w:r>
        <w:rPr>
          <w:rFonts w:hint="eastAsia"/>
          <w:szCs w:val="22"/>
          <w:lang w:val="en-US" w:eastAsia="zh-CN"/>
        </w:rPr>
        <w:t xml:space="preserve">2023 </w:t>
      </w:r>
      <w:r>
        <w:rPr>
          <w:rFonts w:hint="eastAsia"/>
          <w:szCs w:val="22"/>
        </w:rPr>
        <w:t>规</w:t>
      </w:r>
    </w:p>
    <w:p w14:paraId="1A477897">
      <w:pPr>
        <w:pStyle w:val="59"/>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color w:val="0000FF"/>
          <w:szCs w:val="22"/>
          <w:lang w:eastAsia="zh-CN"/>
        </w:rPr>
      </w:pPr>
      <w:r>
        <w:rPr>
          <w:rFonts w:hint="eastAsia"/>
          <w:szCs w:val="22"/>
        </w:rPr>
        <w:t>定的计量模型，计算并存储当前正、反向电碳</w:t>
      </w:r>
      <w:r>
        <w:rPr>
          <w:rFonts w:hint="eastAsia"/>
          <w:szCs w:val="22"/>
          <w:lang w:val="en-US" w:eastAsia="zh-CN"/>
        </w:rPr>
        <w:t>排放</w:t>
      </w:r>
      <w:r>
        <w:rPr>
          <w:rFonts w:hint="eastAsia"/>
          <w:szCs w:val="22"/>
        </w:rPr>
        <w:t>量的计量功能。</w:t>
      </w:r>
    </w:p>
    <w:p w14:paraId="19038847">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b w:val="0"/>
          <w:bCs w:val="0"/>
          <w:szCs w:val="22"/>
          <w:lang w:val="en-US" w:eastAsia="zh-CN"/>
        </w:rPr>
      </w:pPr>
      <w:r>
        <w:rPr>
          <w:rFonts w:hint="eastAsia"/>
          <w:b w:val="0"/>
          <w:bCs w:val="0"/>
          <w:szCs w:val="22"/>
          <w:lang w:val="en-US" w:eastAsia="zh-CN"/>
        </w:rPr>
        <w:t>4.4.3  电能量冻结功能</w:t>
      </w:r>
    </w:p>
    <w:p w14:paraId="4BBB6257">
      <w:pPr>
        <w:pStyle w:val="59"/>
        <w:keepNext w:val="0"/>
        <w:keepLines w:val="0"/>
        <w:pageBreakBefore w:val="0"/>
        <w:widowControl/>
        <w:kinsoku/>
        <w:wordWrap/>
        <w:overflowPunct/>
        <w:topLinePunct w:val="0"/>
        <w:bidi w:val="0"/>
        <w:adjustRightInd/>
        <w:snapToGrid/>
        <w:spacing w:line="360" w:lineRule="auto"/>
        <w:ind w:firstLine="421" w:firstLineChars="0"/>
        <w:textAlignment w:val="auto"/>
        <w:rPr>
          <w:rFonts w:hint="eastAsia" w:ascii="宋体" w:hAnsi="Times New Roman" w:eastAsia="宋体" w:cs="Times New Roman"/>
          <w:sz w:val="21"/>
          <w:szCs w:val="22"/>
          <w:lang w:val="en-US" w:eastAsia="zh-CN" w:bidi="ar-SA"/>
        </w:rPr>
      </w:pPr>
      <w:r>
        <w:rPr>
          <w:rFonts w:hint="eastAsia" w:ascii="宋体" w:hAnsi="Times New Roman" w:eastAsia="宋体" w:cs="Times New Roman"/>
          <w:sz w:val="21"/>
          <w:szCs w:val="22"/>
          <w:lang w:val="en-US" w:eastAsia="zh-CN" w:bidi="ar-SA"/>
        </w:rPr>
        <w:t>应符合</w:t>
      </w:r>
      <w:bookmarkStart w:id="34" w:name="OLE_LINK15"/>
      <w:bookmarkStart w:id="35" w:name="OLE_LINK14"/>
      <w:bookmarkStart w:id="36" w:name="OLE_LINK16"/>
      <w:r>
        <w:rPr>
          <w:rFonts w:hint="eastAsia" w:cs="Times New Roman"/>
          <w:sz w:val="21"/>
          <w:szCs w:val="22"/>
          <w:lang w:val="en-US" w:eastAsia="zh-CN" w:bidi="ar-SA"/>
        </w:rPr>
        <w:t xml:space="preserve"> </w:t>
      </w:r>
      <w:r>
        <w:rPr>
          <w:rFonts w:hint="eastAsia" w:ascii="宋体" w:hAnsi="Times New Roman" w:eastAsia="宋体" w:cs="Times New Roman"/>
          <w:sz w:val="21"/>
          <w:szCs w:val="22"/>
          <w:lang w:val="en-US" w:eastAsia="zh-CN" w:bidi="ar-SA"/>
        </w:rPr>
        <w:t>DL/T 1490</w:t>
      </w:r>
      <w:bookmarkEnd w:id="34"/>
      <w:bookmarkEnd w:id="35"/>
      <w:bookmarkEnd w:id="36"/>
      <w:r>
        <w:rPr>
          <w:rFonts w:hint="eastAsia" w:ascii="宋体" w:hAnsi="Times New Roman" w:eastAsia="宋体" w:cs="Times New Roman"/>
          <w:sz w:val="21"/>
          <w:szCs w:val="22"/>
          <w:lang w:val="en-US" w:eastAsia="zh-CN" w:bidi="ar-SA"/>
        </w:rPr>
        <w:t>—2024</w:t>
      </w:r>
      <w:r>
        <w:rPr>
          <w:rFonts w:hint="eastAsia" w:cs="Times New Roman"/>
          <w:sz w:val="21"/>
          <w:szCs w:val="22"/>
          <w:lang w:val="en-US" w:eastAsia="zh-CN" w:bidi="ar-SA"/>
        </w:rPr>
        <w:t xml:space="preserve"> </w:t>
      </w:r>
      <w:r>
        <w:rPr>
          <w:rFonts w:hint="eastAsia" w:ascii="宋体" w:hAnsi="Times New Roman" w:eastAsia="宋体" w:cs="Times New Roman"/>
          <w:sz w:val="21"/>
          <w:szCs w:val="22"/>
          <w:lang w:val="en-US" w:eastAsia="zh-CN" w:bidi="ar-SA"/>
        </w:rPr>
        <w:t>中</w:t>
      </w:r>
      <w:r>
        <w:rPr>
          <w:rFonts w:hint="eastAsia" w:cs="Times New Roman"/>
          <w:sz w:val="21"/>
          <w:szCs w:val="22"/>
          <w:lang w:val="en-US" w:eastAsia="zh-CN" w:bidi="ar-SA"/>
        </w:rPr>
        <w:t xml:space="preserve"> 4.6</w:t>
      </w:r>
      <w:r>
        <w:rPr>
          <w:rFonts w:hint="eastAsia" w:ascii="宋体" w:hAnsi="Times New Roman" w:eastAsia="宋体" w:cs="Times New Roman"/>
          <w:sz w:val="21"/>
          <w:szCs w:val="22"/>
          <w:lang w:val="en-US" w:eastAsia="zh-CN" w:bidi="ar-SA"/>
        </w:rPr>
        <w:t xml:space="preserve"> 的规定。</w:t>
      </w:r>
    </w:p>
    <w:p w14:paraId="428F9921">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b w:val="0"/>
          <w:bCs w:val="0"/>
          <w:szCs w:val="22"/>
          <w:lang w:val="en-US" w:eastAsia="zh-CN"/>
        </w:rPr>
      </w:pPr>
      <w:r>
        <w:rPr>
          <w:rFonts w:hint="eastAsia"/>
          <w:b w:val="0"/>
          <w:bCs w:val="0"/>
          <w:szCs w:val="22"/>
          <w:lang w:val="en-US" w:eastAsia="zh-CN"/>
        </w:rPr>
        <w:t xml:space="preserve">4.4.4  </w:t>
      </w:r>
      <w:bookmarkStart w:id="37" w:name="OLE_LINK10"/>
      <w:r>
        <w:rPr>
          <w:rFonts w:hint="eastAsia"/>
          <w:b w:val="0"/>
          <w:bCs w:val="0"/>
          <w:szCs w:val="22"/>
          <w:lang w:val="en-US" w:eastAsia="zh-CN"/>
        </w:rPr>
        <w:t>电碳排放量冻结功能</w:t>
      </w:r>
      <w:bookmarkEnd w:id="37"/>
    </w:p>
    <w:p w14:paraId="08EF6AD1">
      <w:pPr>
        <w:pStyle w:val="59"/>
        <w:keepNext w:val="0"/>
        <w:keepLines w:val="0"/>
        <w:pageBreakBefore w:val="0"/>
        <w:widowControl/>
        <w:kinsoku/>
        <w:wordWrap/>
        <w:overflowPunct/>
        <w:topLinePunct w:val="0"/>
        <w:bidi w:val="0"/>
        <w:adjustRightInd/>
        <w:snapToGrid/>
        <w:spacing w:line="360" w:lineRule="auto"/>
        <w:ind w:left="420" w:leftChars="200" w:firstLine="0" w:firstLineChars="0"/>
        <w:textAlignment w:val="auto"/>
        <w:rPr>
          <w:rFonts w:hint="eastAsia"/>
          <w:szCs w:val="22"/>
          <w:lang w:val="en-US" w:eastAsia="zh-CN"/>
        </w:rPr>
      </w:pPr>
      <w:r>
        <w:rPr>
          <w:rFonts w:hint="eastAsia"/>
          <w:szCs w:val="22"/>
        </w:rPr>
        <w:t>电碳表的电碳排放量冻结功能要求如下：</w:t>
      </w:r>
    </w:p>
    <w:p w14:paraId="1E911B77">
      <w:pPr>
        <w:pStyle w:val="59"/>
        <w:keepNext w:val="0"/>
        <w:keepLines w:val="0"/>
        <w:pageBreakBefore w:val="0"/>
        <w:widowControl/>
        <w:kinsoku/>
        <w:wordWrap/>
        <w:overflowPunct/>
        <w:topLinePunct w:val="0"/>
        <w:bidi w:val="0"/>
        <w:adjustRightInd/>
        <w:snapToGrid/>
        <w:spacing w:line="360" w:lineRule="auto"/>
        <w:ind w:left="840" w:leftChars="200" w:hanging="420" w:hangingChars="200"/>
        <w:textAlignment w:val="auto"/>
        <w:rPr>
          <w:rFonts w:hint="eastAsia" w:ascii="宋体" w:hAnsi="Times New Roman" w:eastAsia="宋体" w:cs="Times New Roman"/>
          <w:color w:val="auto"/>
          <w:sz w:val="21"/>
          <w:szCs w:val="22"/>
          <w:lang w:val="en-US" w:eastAsia="zh-CN" w:bidi="ar-SA"/>
        </w:rPr>
      </w:pPr>
      <w:r>
        <w:rPr>
          <w:rFonts w:hint="eastAsia" w:cs="Times New Roman"/>
          <w:color w:val="auto"/>
          <w:sz w:val="21"/>
          <w:szCs w:val="22"/>
          <w:lang w:val="en-US" w:eastAsia="zh-CN" w:bidi="ar-SA"/>
        </w:rPr>
        <w:t xml:space="preserve">a） </w:t>
      </w:r>
      <w:r>
        <w:rPr>
          <w:rFonts w:hint="eastAsia" w:ascii="宋体" w:hAnsi="Times New Roman" w:eastAsia="宋体" w:cs="Times New Roman"/>
          <w:color w:val="auto"/>
          <w:sz w:val="21"/>
          <w:szCs w:val="22"/>
          <w:lang w:val="en-US" w:eastAsia="zh-CN" w:bidi="ar-SA"/>
        </w:rPr>
        <w:t>具有瞬时冻结功能：在非正常情况下，存储当前的日期、时间及电力碳排放因子、电碳排放量等相关数据项，应能存储最近3次的数据。</w:t>
      </w:r>
    </w:p>
    <w:p w14:paraId="753F7E7A">
      <w:pPr>
        <w:pStyle w:val="59"/>
        <w:keepNext w:val="0"/>
        <w:keepLines w:val="0"/>
        <w:pageBreakBefore w:val="0"/>
        <w:widowControl/>
        <w:kinsoku/>
        <w:wordWrap/>
        <w:overflowPunct/>
        <w:topLinePunct w:val="0"/>
        <w:bidi w:val="0"/>
        <w:adjustRightInd/>
        <w:snapToGrid/>
        <w:spacing w:line="360" w:lineRule="auto"/>
        <w:ind w:left="840" w:leftChars="200" w:hanging="420" w:hangingChars="200"/>
        <w:textAlignment w:val="auto"/>
        <w:rPr>
          <w:rFonts w:hint="eastAsia" w:ascii="宋体" w:hAnsi="Times New Roman" w:eastAsia="宋体" w:cs="Times New Roman"/>
          <w:color w:val="auto"/>
          <w:sz w:val="21"/>
          <w:szCs w:val="22"/>
          <w:lang w:val="en-US" w:eastAsia="zh-CN" w:bidi="ar-SA"/>
        </w:rPr>
      </w:pPr>
      <w:r>
        <w:rPr>
          <w:rFonts w:hint="eastAsia" w:cs="Times New Roman"/>
          <w:color w:val="auto"/>
          <w:sz w:val="21"/>
          <w:szCs w:val="22"/>
          <w:lang w:val="en-US" w:eastAsia="zh-CN" w:bidi="ar-SA"/>
        </w:rPr>
        <w:t xml:space="preserve">b） </w:t>
      </w:r>
      <w:r>
        <w:rPr>
          <w:rFonts w:hint="eastAsia" w:ascii="宋体" w:hAnsi="Times New Roman" w:eastAsia="宋体" w:cs="Times New Roman"/>
          <w:color w:val="auto"/>
          <w:sz w:val="21"/>
          <w:szCs w:val="22"/>
          <w:lang w:val="en-US" w:eastAsia="zh-CN" w:bidi="ar-SA"/>
        </w:rPr>
        <w:t>具有日冻结功能：在每天零点时刻，存储当前的日期、时间和电力碳排放因子、电碳排放量等相关数据项，应能存储最近</w:t>
      </w:r>
      <w:r>
        <w:rPr>
          <w:rFonts w:hint="eastAsia" w:cs="Times New Roman"/>
          <w:color w:val="auto"/>
          <w:sz w:val="21"/>
          <w:szCs w:val="22"/>
          <w:lang w:val="en-US" w:eastAsia="zh-CN" w:bidi="ar-SA"/>
        </w:rPr>
        <w:t>不少于365</w:t>
      </w:r>
      <w:r>
        <w:rPr>
          <w:rFonts w:hint="eastAsia" w:ascii="宋体" w:hAnsi="Times New Roman" w:eastAsia="宋体" w:cs="Times New Roman"/>
          <w:color w:val="auto"/>
          <w:sz w:val="21"/>
          <w:szCs w:val="22"/>
          <w:lang w:val="en-US" w:eastAsia="zh-CN" w:bidi="ar-SA"/>
        </w:rPr>
        <w:t>天的数据量；停电时刻错过日冻结时刻，上电时补全日冻结数据，最多补冻结最近7个日冻结数据。</w:t>
      </w:r>
    </w:p>
    <w:p w14:paraId="1CFCA3F1">
      <w:pPr>
        <w:pStyle w:val="59"/>
        <w:keepNext w:val="0"/>
        <w:keepLines w:val="0"/>
        <w:pageBreakBefore w:val="0"/>
        <w:widowControl/>
        <w:kinsoku/>
        <w:wordWrap/>
        <w:overflowPunct/>
        <w:topLinePunct w:val="0"/>
        <w:bidi w:val="0"/>
        <w:adjustRightInd/>
        <w:snapToGrid/>
        <w:spacing w:line="360" w:lineRule="auto"/>
        <w:ind w:left="840" w:leftChars="200" w:hanging="420" w:hangingChars="200"/>
        <w:textAlignment w:val="auto"/>
        <w:rPr>
          <w:rFonts w:hint="eastAsia" w:ascii="宋体" w:hAnsi="Times New Roman" w:eastAsia="宋体" w:cs="Times New Roman"/>
          <w:color w:val="auto"/>
          <w:sz w:val="21"/>
          <w:szCs w:val="22"/>
          <w:lang w:val="en-US" w:eastAsia="zh-CN" w:bidi="ar-SA"/>
        </w:rPr>
      </w:pPr>
      <w:r>
        <w:rPr>
          <w:rFonts w:hint="eastAsia" w:cs="Times New Roman"/>
          <w:color w:val="auto"/>
          <w:sz w:val="21"/>
          <w:szCs w:val="22"/>
          <w:lang w:val="en-US" w:eastAsia="zh-CN" w:bidi="ar-SA"/>
        </w:rPr>
        <w:t xml:space="preserve">c） </w:t>
      </w:r>
      <w:r>
        <w:rPr>
          <w:rFonts w:hint="eastAsia" w:ascii="宋体" w:hAnsi="Times New Roman" w:eastAsia="宋体" w:cs="Times New Roman"/>
          <w:color w:val="auto"/>
          <w:sz w:val="21"/>
          <w:szCs w:val="22"/>
          <w:lang w:val="en-US" w:eastAsia="zh-CN" w:bidi="ar-SA"/>
        </w:rPr>
        <w:t>具有月冻结功能：在每月1日零点时刻，存储当前的日期、时间和电力碳排放因子、电碳排放量等相关数据项，应能可存储最近24次的数据。</w:t>
      </w:r>
    </w:p>
    <w:p w14:paraId="1A65AED7">
      <w:pPr>
        <w:pStyle w:val="59"/>
        <w:keepNext w:val="0"/>
        <w:keepLines w:val="0"/>
        <w:pageBreakBefore w:val="0"/>
        <w:widowControl/>
        <w:kinsoku/>
        <w:wordWrap/>
        <w:overflowPunct/>
        <w:topLinePunct w:val="0"/>
        <w:bidi w:val="0"/>
        <w:adjustRightInd/>
        <w:snapToGrid/>
        <w:spacing w:line="360" w:lineRule="auto"/>
        <w:ind w:left="840" w:leftChars="200" w:hanging="420" w:hangingChars="200"/>
        <w:textAlignment w:val="auto"/>
        <w:rPr>
          <w:rFonts w:hint="eastAsia" w:ascii="宋体" w:hAnsi="Times New Roman" w:eastAsia="宋体" w:cs="Times New Roman"/>
          <w:color w:val="auto"/>
          <w:sz w:val="21"/>
          <w:szCs w:val="22"/>
          <w:lang w:val="en-US" w:eastAsia="zh-CN" w:bidi="ar-SA"/>
        </w:rPr>
      </w:pPr>
      <w:r>
        <w:rPr>
          <w:rFonts w:hint="eastAsia" w:cs="Times New Roman"/>
          <w:color w:val="auto"/>
          <w:sz w:val="21"/>
          <w:szCs w:val="22"/>
          <w:lang w:val="en-US" w:eastAsia="zh-CN" w:bidi="ar-SA"/>
        </w:rPr>
        <w:t xml:space="preserve">d） </w:t>
      </w:r>
      <w:r>
        <w:rPr>
          <w:rFonts w:hint="eastAsia" w:ascii="宋体" w:hAnsi="Times New Roman" w:eastAsia="宋体" w:cs="Times New Roman"/>
          <w:color w:val="auto"/>
          <w:sz w:val="21"/>
          <w:szCs w:val="22"/>
          <w:lang w:val="en-US" w:eastAsia="zh-CN" w:bidi="ar-SA"/>
        </w:rPr>
        <w:t>具有切换冻结功能：在每个阶梯电价转换时刻，存储当前的日期、时间和电力碳排放因子、电碳排放量等相关数据项，应能存储最近2次的数据。</w:t>
      </w:r>
    </w:p>
    <w:p w14:paraId="6504BE19">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b w:val="0"/>
          <w:bCs w:val="0"/>
          <w:szCs w:val="22"/>
          <w:lang w:val="en-US" w:eastAsia="zh-CN"/>
        </w:rPr>
      </w:pPr>
      <w:r>
        <w:rPr>
          <w:rFonts w:hint="eastAsia"/>
          <w:b w:val="0"/>
          <w:bCs w:val="0"/>
          <w:szCs w:val="22"/>
          <w:lang w:val="en-US" w:eastAsia="zh-CN"/>
        </w:rPr>
        <w:t>4.4.5  数据存储功能</w:t>
      </w:r>
    </w:p>
    <w:p w14:paraId="44646FB2">
      <w:pPr>
        <w:pStyle w:val="59"/>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szCs w:val="22"/>
        </w:rPr>
      </w:pPr>
      <w:r>
        <w:rPr>
          <w:rFonts w:hint="eastAsia"/>
          <w:szCs w:val="22"/>
        </w:rPr>
        <w:t>电碳表的数据存储功能要求如下：</w:t>
      </w:r>
    </w:p>
    <w:p w14:paraId="68EB45BE">
      <w:pPr>
        <w:pStyle w:val="59"/>
        <w:keepNext w:val="0"/>
        <w:keepLines w:val="0"/>
        <w:pageBreakBefore w:val="0"/>
        <w:widowControl/>
        <w:kinsoku/>
        <w:wordWrap/>
        <w:overflowPunct/>
        <w:topLinePunct w:val="0"/>
        <w:bidi w:val="0"/>
        <w:adjustRightInd/>
        <w:snapToGrid/>
        <w:spacing w:line="360" w:lineRule="auto"/>
        <w:ind w:firstLine="420" w:firstLineChars="200"/>
        <w:textAlignment w:val="auto"/>
        <w:rPr>
          <w:szCs w:val="22"/>
        </w:rPr>
      </w:pPr>
      <w:r>
        <w:rPr>
          <w:rFonts w:hint="eastAsia"/>
          <w:szCs w:val="22"/>
          <w:lang w:val="en-US" w:eastAsia="zh-CN"/>
        </w:rPr>
        <w:t>a</w:t>
      </w:r>
      <w:r>
        <w:rPr>
          <w:rFonts w:hint="eastAsia"/>
          <w:szCs w:val="22"/>
          <w:lang w:eastAsia="zh-CN"/>
        </w:rPr>
        <w:t>）</w:t>
      </w:r>
      <w:r>
        <w:rPr>
          <w:rFonts w:hint="eastAsia"/>
          <w:szCs w:val="22"/>
        </w:rPr>
        <w:t xml:space="preserve"> 电能量的数据存储应符合</w:t>
      </w:r>
      <w:r>
        <w:rPr>
          <w:rFonts w:hint="eastAsia"/>
          <w:szCs w:val="22"/>
          <w:lang w:val="en-US" w:eastAsia="zh-CN"/>
        </w:rPr>
        <w:t xml:space="preserve"> </w:t>
      </w:r>
      <w:r>
        <w:rPr>
          <w:rFonts w:hint="eastAsia"/>
          <w:szCs w:val="22"/>
        </w:rPr>
        <w:t xml:space="preserve">DL/T </w:t>
      </w:r>
      <w:r>
        <w:rPr>
          <w:rFonts w:hint="eastAsia"/>
          <w:szCs w:val="22"/>
          <w:lang w:val="en-US" w:eastAsia="zh-CN"/>
        </w:rPr>
        <w:t>1490</w:t>
      </w:r>
      <w:r>
        <w:rPr>
          <w:rFonts w:hint="eastAsia" w:ascii="宋体" w:hAnsi="Times New Roman" w:eastAsia="宋体" w:cs="Times New Roman"/>
          <w:sz w:val="21"/>
          <w:szCs w:val="22"/>
          <w:lang w:val="en-US" w:eastAsia="zh-CN" w:bidi="ar-SA"/>
        </w:rPr>
        <w:t>—2024</w:t>
      </w:r>
      <w:r>
        <w:rPr>
          <w:rFonts w:hint="eastAsia" w:cs="Times New Roman"/>
          <w:sz w:val="21"/>
          <w:szCs w:val="22"/>
          <w:lang w:val="en-US" w:eastAsia="zh-CN" w:bidi="ar-SA"/>
        </w:rPr>
        <w:t xml:space="preserve"> </w:t>
      </w:r>
      <w:r>
        <w:rPr>
          <w:rFonts w:hint="eastAsia" w:ascii="宋体" w:hAnsi="Times New Roman" w:eastAsia="宋体" w:cs="Times New Roman"/>
          <w:sz w:val="21"/>
          <w:szCs w:val="22"/>
          <w:lang w:val="en-US" w:eastAsia="zh-CN" w:bidi="ar-SA"/>
        </w:rPr>
        <w:t>中</w:t>
      </w:r>
      <w:r>
        <w:rPr>
          <w:rFonts w:hint="eastAsia" w:cs="Times New Roman"/>
          <w:sz w:val="21"/>
          <w:szCs w:val="22"/>
          <w:lang w:val="en-US" w:eastAsia="zh-CN" w:bidi="ar-SA"/>
        </w:rPr>
        <w:t xml:space="preserve"> 4.6</w:t>
      </w:r>
      <w:r>
        <w:rPr>
          <w:rFonts w:hint="eastAsia" w:ascii="宋体" w:hAnsi="Times New Roman" w:eastAsia="宋体" w:cs="Times New Roman"/>
          <w:sz w:val="21"/>
          <w:szCs w:val="22"/>
          <w:lang w:val="en-US" w:eastAsia="zh-CN" w:bidi="ar-SA"/>
        </w:rPr>
        <w:t xml:space="preserve"> 的规定</w:t>
      </w:r>
      <w:r>
        <w:rPr>
          <w:rFonts w:hint="eastAsia"/>
          <w:szCs w:val="22"/>
        </w:rPr>
        <w:t>。</w:t>
      </w:r>
    </w:p>
    <w:p w14:paraId="6733D44C">
      <w:pPr>
        <w:pStyle w:val="59"/>
        <w:keepNext w:val="0"/>
        <w:keepLines w:val="0"/>
        <w:pageBreakBefore w:val="0"/>
        <w:widowControl/>
        <w:kinsoku/>
        <w:wordWrap/>
        <w:overflowPunct/>
        <w:topLinePunct w:val="0"/>
        <w:bidi w:val="0"/>
        <w:adjustRightInd/>
        <w:snapToGrid/>
        <w:spacing w:line="360" w:lineRule="auto"/>
        <w:ind w:firstLine="420" w:firstLineChars="200"/>
        <w:textAlignment w:val="auto"/>
        <w:rPr>
          <w:szCs w:val="22"/>
        </w:rPr>
      </w:pPr>
      <w:r>
        <w:rPr>
          <w:rFonts w:hint="eastAsia"/>
          <w:szCs w:val="22"/>
          <w:lang w:val="en-US" w:eastAsia="zh-CN"/>
        </w:rPr>
        <w:t>b</w:t>
      </w:r>
      <w:r>
        <w:rPr>
          <w:rFonts w:hint="eastAsia"/>
          <w:szCs w:val="22"/>
          <w:lang w:eastAsia="zh-CN"/>
        </w:rPr>
        <w:t>）</w:t>
      </w:r>
      <w:r>
        <w:rPr>
          <w:rFonts w:hint="eastAsia"/>
          <w:szCs w:val="22"/>
        </w:rPr>
        <w:t xml:space="preserve"> </w:t>
      </w:r>
      <w:r>
        <w:rPr>
          <w:rFonts w:hint="eastAsia"/>
          <w:szCs w:val="22"/>
          <w:lang w:eastAsia="zh-CN"/>
        </w:rPr>
        <w:t>电碳排放量</w:t>
      </w:r>
      <w:r>
        <w:rPr>
          <w:rFonts w:hint="eastAsia"/>
          <w:szCs w:val="22"/>
        </w:rPr>
        <w:t>的数据存储参照电能量的数据存储要求执行。</w:t>
      </w:r>
    </w:p>
    <w:p w14:paraId="6F62B885">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b w:val="0"/>
          <w:bCs w:val="0"/>
          <w:szCs w:val="22"/>
          <w:lang w:val="en-US" w:eastAsia="zh-CN"/>
        </w:rPr>
      </w:pPr>
      <w:r>
        <w:rPr>
          <w:rFonts w:hint="eastAsia"/>
          <w:b w:val="0"/>
          <w:bCs w:val="0"/>
          <w:szCs w:val="22"/>
          <w:lang w:val="en-US" w:eastAsia="zh-CN"/>
        </w:rPr>
        <w:t>4.4.6  清零功能</w:t>
      </w:r>
    </w:p>
    <w:p w14:paraId="79D76F50">
      <w:pPr>
        <w:pStyle w:val="59"/>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szCs w:val="22"/>
        </w:rPr>
      </w:pPr>
      <w:r>
        <w:rPr>
          <w:rFonts w:hint="eastAsia"/>
          <w:szCs w:val="22"/>
        </w:rPr>
        <w:t>电碳表的清零功能要求如下：</w:t>
      </w:r>
    </w:p>
    <w:p w14:paraId="26689E7F">
      <w:pPr>
        <w:pStyle w:val="59"/>
        <w:keepNext w:val="0"/>
        <w:keepLines w:val="0"/>
        <w:pageBreakBefore w:val="0"/>
        <w:widowControl/>
        <w:kinsoku/>
        <w:wordWrap/>
        <w:overflowPunct/>
        <w:topLinePunct w:val="0"/>
        <w:bidi w:val="0"/>
        <w:adjustRightInd/>
        <w:snapToGrid/>
        <w:spacing w:line="360" w:lineRule="auto"/>
        <w:ind w:firstLine="420" w:firstLineChars="200"/>
        <w:textAlignment w:val="auto"/>
        <w:rPr>
          <w:szCs w:val="22"/>
        </w:rPr>
      </w:pPr>
      <w:r>
        <w:rPr>
          <w:rFonts w:hint="eastAsia"/>
          <w:szCs w:val="22"/>
          <w:lang w:val="en-US" w:eastAsia="zh-CN"/>
        </w:rPr>
        <w:t>a</w:t>
      </w:r>
      <w:r>
        <w:rPr>
          <w:rFonts w:hint="eastAsia"/>
          <w:szCs w:val="22"/>
          <w:lang w:eastAsia="zh-CN"/>
        </w:rPr>
        <w:t>）</w:t>
      </w:r>
      <w:r>
        <w:rPr>
          <w:rFonts w:hint="eastAsia"/>
          <w:szCs w:val="22"/>
        </w:rPr>
        <w:t xml:space="preserve"> 具有</w:t>
      </w:r>
      <w:r>
        <w:rPr>
          <w:rFonts w:hint="eastAsia"/>
          <w:szCs w:val="22"/>
          <w:lang w:eastAsia="zh-CN"/>
        </w:rPr>
        <w:t>电碳排放量</w:t>
      </w:r>
      <w:r>
        <w:rPr>
          <w:rFonts w:hint="eastAsia"/>
          <w:szCs w:val="22"/>
        </w:rPr>
        <w:t>和电能量的数据清零功能，并有防止非授权人操作的安全措施。</w:t>
      </w:r>
    </w:p>
    <w:p w14:paraId="05D1D759">
      <w:pPr>
        <w:pStyle w:val="59"/>
        <w:keepNext w:val="0"/>
        <w:keepLines w:val="0"/>
        <w:pageBreakBefore w:val="0"/>
        <w:widowControl/>
        <w:kinsoku/>
        <w:wordWrap/>
        <w:overflowPunct/>
        <w:topLinePunct w:val="0"/>
        <w:bidi w:val="0"/>
        <w:adjustRightInd/>
        <w:snapToGrid/>
        <w:spacing w:line="360" w:lineRule="auto"/>
        <w:ind w:firstLine="420" w:firstLineChars="200"/>
        <w:textAlignment w:val="auto"/>
        <w:rPr>
          <w:rFonts w:hint="default"/>
          <w:szCs w:val="22"/>
          <w:highlight w:val="yellow"/>
          <w:lang w:val="en-US" w:eastAsia="zh-CN"/>
        </w:rPr>
      </w:pPr>
      <w:r>
        <w:rPr>
          <w:rFonts w:hint="eastAsia"/>
          <w:szCs w:val="22"/>
          <w:lang w:val="en-US" w:eastAsia="zh-CN"/>
        </w:rPr>
        <w:t>b</w:t>
      </w:r>
      <w:r>
        <w:rPr>
          <w:rFonts w:hint="eastAsia"/>
          <w:szCs w:val="22"/>
          <w:lang w:eastAsia="zh-CN"/>
        </w:rPr>
        <w:t>）</w:t>
      </w:r>
      <w:r>
        <w:rPr>
          <w:rFonts w:hint="eastAsia"/>
          <w:szCs w:val="22"/>
        </w:rPr>
        <w:t xml:space="preserve"> 应符合</w:t>
      </w:r>
      <w:r>
        <w:rPr>
          <w:rFonts w:hint="eastAsia"/>
          <w:szCs w:val="22"/>
          <w:lang w:val="en-US" w:eastAsia="zh-CN"/>
        </w:rPr>
        <w:t xml:space="preserve"> </w:t>
      </w:r>
      <w:r>
        <w:rPr>
          <w:rFonts w:hint="eastAsia"/>
          <w:szCs w:val="22"/>
        </w:rPr>
        <w:t xml:space="preserve">DL/T </w:t>
      </w:r>
      <w:r>
        <w:rPr>
          <w:rFonts w:hint="eastAsia"/>
          <w:szCs w:val="22"/>
          <w:lang w:val="en-US" w:eastAsia="zh-CN"/>
        </w:rPr>
        <w:t>1490</w:t>
      </w:r>
      <w:r>
        <w:rPr>
          <w:rFonts w:hint="eastAsia" w:ascii="宋体" w:hAnsi="Times New Roman" w:eastAsia="宋体" w:cs="Times New Roman"/>
          <w:sz w:val="21"/>
          <w:szCs w:val="22"/>
          <w:lang w:val="en-US" w:eastAsia="zh-CN" w:bidi="ar-SA"/>
        </w:rPr>
        <w:t>—2024</w:t>
      </w:r>
      <w:r>
        <w:rPr>
          <w:rFonts w:hint="eastAsia" w:cs="Times New Roman"/>
          <w:sz w:val="21"/>
          <w:szCs w:val="22"/>
          <w:lang w:val="en-US" w:eastAsia="zh-CN" w:bidi="ar-SA"/>
        </w:rPr>
        <w:t xml:space="preserve"> </w:t>
      </w:r>
      <w:r>
        <w:rPr>
          <w:rFonts w:hint="eastAsia" w:ascii="宋体" w:hAnsi="Times New Roman" w:eastAsia="宋体" w:cs="Times New Roman"/>
          <w:sz w:val="21"/>
          <w:szCs w:val="22"/>
          <w:lang w:val="en-US" w:eastAsia="zh-CN" w:bidi="ar-SA"/>
        </w:rPr>
        <w:t>中</w:t>
      </w:r>
      <w:r>
        <w:rPr>
          <w:rFonts w:hint="eastAsia" w:cs="Times New Roman"/>
          <w:sz w:val="21"/>
          <w:szCs w:val="22"/>
          <w:lang w:val="en-US" w:eastAsia="zh-CN" w:bidi="ar-SA"/>
        </w:rPr>
        <w:t xml:space="preserve"> 4.5</w:t>
      </w:r>
      <w:r>
        <w:rPr>
          <w:rFonts w:hint="eastAsia" w:ascii="宋体" w:hAnsi="Times New Roman" w:eastAsia="宋体" w:cs="Times New Roman"/>
          <w:sz w:val="21"/>
          <w:szCs w:val="22"/>
          <w:lang w:val="en-US" w:eastAsia="zh-CN" w:bidi="ar-SA"/>
        </w:rPr>
        <w:t xml:space="preserve"> 的规定</w:t>
      </w:r>
      <w:r>
        <w:rPr>
          <w:rFonts w:hint="eastAsia"/>
          <w:szCs w:val="22"/>
        </w:rPr>
        <w:t>。</w:t>
      </w:r>
    </w:p>
    <w:p w14:paraId="69BE744E">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b w:val="0"/>
          <w:bCs w:val="0"/>
          <w:szCs w:val="22"/>
          <w:lang w:val="en-US" w:eastAsia="zh-CN"/>
        </w:rPr>
      </w:pPr>
      <w:r>
        <w:rPr>
          <w:rFonts w:hint="eastAsia"/>
          <w:b w:val="0"/>
          <w:bCs w:val="0"/>
          <w:szCs w:val="22"/>
          <w:lang w:val="en-US" w:eastAsia="zh-CN"/>
        </w:rPr>
        <w:t>4.4.7  通信功能</w:t>
      </w:r>
    </w:p>
    <w:p w14:paraId="32D9AB08">
      <w:pPr>
        <w:pStyle w:val="59"/>
        <w:keepNext w:val="0"/>
        <w:keepLines w:val="0"/>
        <w:pageBreakBefore w:val="0"/>
        <w:widowControl/>
        <w:kinsoku/>
        <w:wordWrap/>
        <w:overflowPunct/>
        <w:topLinePunct w:val="0"/>
        <w:bidi w:val="0"/>
        <w:adjustRightInd/>
        <w:snapToGrid/>
        <w:spacing w:line="360" w:lineRule="auto"/>
        <w:ind w:firstLine="420"/>
        <w:textAlignment w:val="auto"/>
        <w:rPr>
          <w:rFonts w:hint="eastAsia"/>
          <w:szCs w:val="22"/>
        </w:rPr>
      </w:pPr>
      <w:bookmarkStart w:id="38" w:name="_Toc342648800"/>
      <w:bookmarkStart w:id="39" w:name="_Toc342573571"/>
      <w:r>
        <w:rPr>
          <w:rFonts w:hint="eastAsia"/>
          <w:szCs w:val="22"/>
        </w:rPr>
        <w:t>电碳表的通信功能要求如下：</w:t>
      </w:r>
    </w:p>
    <w:p w14:paraId="17F26561">
      <w:pPr>
        <w:pStyle w:val="59"/>
        <w:keepNext w:val="0"/>
        <w:keepLines w:val="0"/>
        <w:pageBreakBefore w:val="0"/>
        <w:widowControl/>
        <w:kinsoku/>
        <w:wordWrap/>
        <w:overflowPunct/>
        <w:topLinePunct w:val="0"/>
        <w:bidi w:val="0"/>
        <w:adjustRightInd/>
        <w:snapToGrid/>
        <w:spacing w:line="360" w:lineRule="auto"/>
        <w:ind w:firstLine="420"/>
        <w:textAlignment w:val="auto"/>
        <w:rPr>
          <w:rFonts w:hint="eastAsia"/>
          <w:szCs w:val="22"/>
          <w:lang w:eastAsia="zh-CN"/>
        </w:rPr>
      </w:pPr>
      <w:r>
        <w:rPr>
          <w:rFonts w:hint="eastAsia"/>
          <w:szCs w:val="22"/>
          <w:lang w:val="en-US" w:eastAsia="zh-CN"/>
        </w:rPr>
        <w:t>a） 应</w:t>
      </w:r>
      <w:r>
        <w:rPr>
          <w:rFonts w:hint="eastAsia"/>
          <w:szCs w:val="22"/>
        </w:rPr>
        <w:t>能与电碳计量系统通信，接收电碳计量系统下发的电力碳排放因子</w:t>
      </w:r>
      <w:r>
        <w:rPr>
          <w:rFonts w:hint="eastAsia"/>
          <w:szCs w:val="22"/>
          <w:lang w:eastAsia="zh-CN"/>
        </w:rPr>
        <w:t>。</w:t>
      </w:r>
    </w:p>
    <w:p w14:paraId="7F03DCDC">
      <w:pPr>
        <w:pStyle w:val="59"/>
        <w:keepNext w:val="0"/>
        <w:keepLines w:val="0"/>
        <w:pageBreakBefore w:val="0"/>
        <w:widowControl/>
        <w:kinsoku/>
        <w:wordWrap/>
        <w:overflowPunct/>
        <w:topLinePunct w:val="0"/>
        <w:bidi w:val="0"/>
        <w:adjustRightInd/>
        <w:snapToGrid/>
        <w:spacing w:line="360" w:lineRule="auto"/>
        <w:ind w:firstLine="420"/>
        <w:textAlignment w:val="auto"/>
        <w:rPr>
          <w:rFonts w:hint="eastAsia"/>
          <w:szCs w:val="22"/>
          <w:lang w:eastAsia="zh-CN"/>
        </w:rPr>
      </w:pPr>
      <w:r>
        <w:rPr>
          <w:rFonts w:hint="eastAsia"/>
          <w:szCs w:val="22"/>
          <w:lang w:val="en-US" w:eastAsia="zh-CN"/>
        </w:rPr>
        <w:t>b</w:t>
      </w:r>
      <w:r>
        <w:rPr>
          <w:rFonts w:hint="eastAsia"/>
          <w:szCs w:val="22"/>
          <w:lang w:eastAsia="zh-CN"/>
        </w:rPr>
        <w:t>）</w:t>
      </w:r>
      <w:r>
        <w:rPr>
          <w:rFonts w:hint="eastAsia"/>
          <w:szCs w:val="22"/>
          <w:lang w:val="en-US" w:eastAsia="zh-CN"/>
        </w:rPr>
        <w:t xml:space="preserve"> </w:t>
      </w:r>
      <w:r>
        <w:rPr>
          <w:rFonts w:hint="eastAsia"/>
          <w:szCs w:val="22"/>
        </w:rPr>
        <w:t>接收电碳计量系统下发抄读电碳</w:t>
      </w:r>
      <w:r>
        <w:rPr>
          <w:rFonts w:hint="eastAsia"/>
          <w:szCs w:val="22"/>
          <w:lang w:val="en-US" w:eastAsia="zh-CN"/>
        </w:rPr>
        <w:t>排放</w:t>
      </w:r>
      <w:r>
        <w:rPr>
          <w:rFonts w:hint="eastAsia"/>
          <w:szCs w:val="22"/>
        </w:rPr>
        <w:t>量数据命令，并上传</w:t>
      </w:r>
      <w:r>
        <w:rPr>
          <w:rFonts w:hint="eastAsia"/>
          <w:szCs w:val="22"/>
          <w:lang w:eastAsia="zh-CN"/>
        </w:rPr>
        <w:t>电碳排放量</w:t>
      </w:r>
      <w:r>
        <w:rPr>
          <w:rFonts w:hint="eastAsia"/>
          <w:szCs w:val="22"/>
        </w:rPr>
        <w:t>冻结数据</w:t>
      </w:r>
      <w:r>
        <w:rPr>
          <w:rFonts w:hint="eastAsia"/>
          <w:szCs w:val="22"/>
          <w:lang w:eastAsia="zh-CN"/>
        </w:rPr>
        <w:t>。</w:t>
      </w:r>
    </w:p>
    <w:p w14:paraId="46A4025C">
      <w:pPr>
        <w:pStyle w:val="59"/>
        <w:keepNext w:val="0"/>
        <w:keepLines w:val="0"/>
        <w:pageBreakBefore w:val="0"/>
        <w:widowControl/>
        <w:kinsoku/>
        <w:wordWrap/>
        <w:overflowPunct/>
        <w:topLinePunct w:val="0"/>
        <w:bidi w:val="0"/>
        <w:adjustRightInd/>
        <w:snapToGrid/>
        <w:spacing w:line="360" w:lineRule="auto"/>
        <w:ind w:firstLine="420"/>
        <w:textAlignment w:val="auto"/>
        <w:rPr>
          <w:szCs w:val="22"/>
        </w:rPr>
      </w:pPr>
      <w:r>
        <w:rPr>
          <w:rFonts w:hint="eastAsia"/>
          <w:szCs w:val="22"/>
          <w:lang w:val="en-US" w:eastAsia="zh-CN"/>
        </w:rPr>
        <w:t>c</w:t>
      </w:r>
      <w:r>
        <w:rPr>
          <w:rFonts w:hint="eastAsia"/>
          <w:szCs w:val="22"/>
          <w:lang w:eastAsia="zh-CN"/>
        </w:rPr>
        <w:t>）</w:t>
      </w:r>
      <w:r>
        <w:rPr>
          <w:rFonts w:hint="eastAsia"/>
          <w:szCs w:val="22"/>
          <w:lang w:val="en-US" w:eastAsia="zh-CN"/>
        </w:rPr>
        <w:t xml:space="preserve"> </w:t>
      </w:r>
      <w:r>
        <w:rPr>
          <w:rFonts w:hint="eastAsia"/>
          <w:szCs w:val="22"/>
        </w:rPr>
        <w:t>其他通信功能应符合</w:t>
      </w:r>
      <w:r>
        <w:rPr>
          <w:rFonts w:hint="eastAsia"/>
          <w:szCs w:val="22"/>
          <w:lang w:val="en-US" w:eastAsia="zh-CN"/>
        </w:rPr>
        <w:t xml:space="preserve"> </w:t>
      </w:r>
      <w:r>
        <w:rPr>
          <w:rFonts w:hint="eastAsia"/>
          <w:szCs w:val="22"/>
        </w:rPr>
        <w:t>DL/T 1490</w:t>
      </w:r>
      <w:r>
        <w:rPr>
          <w:rFonts w:hint="eastAsia"/>
          <w:szCs w:val="22"/>
          <w:lang w:val="en-US" w:eastAsia="zh-CN"/>
        </w:rPr>
        <w:t>—</w:t>
      </w:r>
      <w:r>
        <w:rPr>
          <w:rFonts w:hint="eastAsia" w:ascii="宋体" w:hAnsi="Times New Roman" w:eastAsia="宋体" w:cs="Times New Roman"/>
          <w:sz w:val="21"/>
          <w:szCs w:val="22"/>
          <w:lang w:val="en-US" w:eastAsia="zh-CN" w:bidi="ar-SA"/>
        </w:rPr>
        <w:t>2024</w:t>
      </w:r>
      <w:r>
        <w:rPr>
          <w:rFonts w:hint="eastAsia" w:cs="Times New Roman"/>
          <w:sz w:val="21"/>
          <w:szCs w:val="22"/>
          <w:lang w:val="en-US" w:eastAsia="zh-CN" w:bidi="ar-SA"/>
        </w:rPr>
        <w:t xml:space="preserve"> </w:t>
      </w:r>
      <w:r>
        <w:rPr>
          <w:rFonts w:hint="eastAsia" w:ascii="宋体" w:hAnsi="Times New Roman" w:eastAsia="宋体" w:cs="Times New Roman"/>
          <w:sz w:val="21"/>
          <w:szCs w:val="22"/>
          <w:lang w:val="en-US" w:eastAsia="zh-CN" w:bidi="ar-SA"/>
        </w:rPr>
        <w:t>中</w:t>
      </w:r>
      <w:r>
        <w:rPr>
          <w:rFonts w:hint="eastAsia" w:cs="Times New Roman"/>
          <w:sz w:val="21"/>
          <w:szCs w:val="22"/>
          <w:lang w:val="en-US" w:eastAsia="zh-CN" w:bidi="ar-SA"/>
        </w:rPr>
        <w:t xml:space="preserve"> </w:t>
      </w:r>
      <w:r>
        <w:rPr>
          <w:rFonts w:hint="eastAsia"/>
          <w:szCs w:val="22"/>
          <w:lang w:val="en-US" w:eastAsia="zh-CN"/>
        </w:rPr>
        <w:t xml:space="preserve">4.8 </w:t>
      </w:r>
      <w:r>
        <w:rPr>
          <w:rFonts w:hint="eastAsia"/>
          <w:szCs w:val="22"/>
        </w:rPr>
        <w:t>的</w:t>
      </w:r>
      <w:r>
        <w:rPr>
          <w:rFonts w:hint="eastAsia"/>
          <w:szCs w:val="22"/>
          <w:lang w:val="en-US" w:eastAsia="zh-CN"/>
        </w:rPr>
        <w:t>规定</w:t>
      </w:r>
      <w:r>
        <w:rPr>
          <w:rFonts w:hint="eastAsia"/>
          <w:szCs w:val="22"/>
        </w:rPr>
        <w:t>。</w:t>
      </w:r>
    </w:p>
    <w:p w14:paraId="3C6841E0">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b w:val="0"/>
          <w:bCs w:val="0"/>
          <w:szCs w:val="22"/>
          <w:lang w:val="en-US" w:eastAsia="zh-CN"/>
        </w:rPr>
      </w:pPr>
      <w:r>
        <w:rPr>
          <w:rFonts w:hint="eastAsia"/>
          <w:b w:val="0"/>
          <w:bCs w:val="0"/>
          <w:szCs w:val="22"/>
          <w:lang w:val="en-US" w:eastAsia="zh-CN"/>
        </w:rPr>
        <w:t>4.4.8  电碳排放量计费功能</w:t>
      </w:r>
    </w:p>
    <w:p w14:paraId="5453F995">
      <w:pPr>
        <w:pStyle w:val="59"/>
        <w:keepNext w:val="0"/>
        <w:keepLines w:val="0"/>
        <w:pageBreakBefore w:val="0"/>
        <w:widowControl/>
        <w:kinsoku/>
        <w:wordWrap/>
        <w:overflowPunct/>
        <w:topLinePunct w:val="0"/>
        <w:bidi w:val="0"/>
        <w:adjustRightInd/>
        <w:snapToGrid/>
        <w:spacing w:line="360" w:lineRule="auto"/>
        <w:ind w:firstLine="420"/>
        <w:textAlignment w:val="auto"/>
      </w:pPr>
      <w:r>
        <w:rPr>
          <w:rFonts w:hint="eastAsia"/>
          <w:lang w:val="en-US" w:eastAsia="zh-CN"/>
        </w:rPr>
        <w:t>电碳表</w:t>
      </w:r>
      <w:r>
        <w:rPr>
          <w:rFonts w:hint="eastAsia"/>
        </w:rPr>
        <w:t>宜具有电能量和电碳排放量月阶梯和年阶梯计费功能，并具有本地和远程费控功能。</w:t>
      </w:r>
    </w:p>
    <w:p w14:paraId="77A47924">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4.5  准确度要求</w:t>
      </w:r>
    </w:p>
    <w:p w14:paraId="4E62F361">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b w:val="0"/>
          <w:bCs w:val="0"/>
          <w:szCs w:val="22"/>
          <w:lang w:val="en-US" w:eastAsia="zh-CN"/>
        </w:rPr>
      </w:pPr>
      <w:r>
        <w:rPr>
          <w:rFonts w:hint="eastAsia"/>
          <w:b w:val="0"/>
          <w:bCs w:val="0"/>
          <w:szCs w:val="22"/>
          <w:lang w:val="en-US" w:eastAsia="zh-CN"/>
        </w:rPr>
        <w:t>4.5.1  电能计量准确度</w:t>
      </w:r>
    </w:p>
    <w:p w14:paraId="135D445B">
      <w:pPr>
        <w:pStyle w:val="59"/>
        <w:keepNext w:val="0"/>
        <w:keepLines w:val="0"/>
        <w:pageBreakBefore w:val="0"/>
        <w:widowControl/>
        <w:kinsoku/>
        <w:wordWrap/>
        <w:overflowPunct/>
        <w:topLinePunct w:val="0"/>
        <w:bidi w:val="0"/>
        <w:adjustRightInd/>
        <w:snapToGrid/>
        <w:spacing w:line="360" w:lineRule="auto"/>
        <w:ind w:firstLine="420"/>
        <w:textAlignment w:val="auto"/>
        <w:rPr>
          <w:rFonts w:hint="eastAsia" w:eastAsia="宋体"/>
          <w:szCs w:val="22"/>
          <w:lang w:eastAsia="zh-CN"/>
        </w:rPr>
      </w:pPr>
      <w:r>
        <w:rPr>
          <w:rFonts w:hint="eastAsia"/>
          <w:lang w:val="en-US" w:eastAsia="zh-CN"/>
        </w:rPr>
        <w:t xml:space="preserve">应符合 </w:t>
      </w:r>
      <w:r>
        <w:rPr>
          <w:rFonts w:hint="eastAsia"/>
          <w:szCs w:val="22"/>
        </w:rPr>
        <w:t>GB/T 172</w:t>
      </w:r>
      <w:r>
        <w:rPr>
          <w:rFonts w:hint="eastAsia"/>
          <w:lang w:val="en-US" w:eastAsia="zh-CN"/>
        </w:rPr>
        <w:t>15.321—2021 中第7章关于B、C、D、E级的规定</w:t>
      </w:r>
      <w:r>
        <w:rPr>
          <w:rFonts w:hint="eastAsia"/>
          <w:szCs w:val="22"/>
        </w:rPr>
        <w:t>。</w:t>
      </w:r>
    </w:p>
    <w:p w14:paraId="5FF02BF4">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b w:val="0"/>
          <w:bCs w:val="0"/>
          <w:szCs w:val="22"/>
          <w:lang w:val="en-US" w:eastAsia="zh-CN"/>
        </w:rPr>
      </w:pPr>
      <w:r>
        <w:rPr>
          <w:rFonts w:hint="eastAsia"/>
          <w:b w:val="0"/>
          <w:bCs w:val="0"/>
          <w:szCs w:val="22"/>
          <w:lang w:val="en-US" w:eastAsia="zh-CN"/>
        </w:rPr>
        <w:t>4.5.2  电碳排放量计量准确度</w:t>
      </w:r>
    </w:p>
    <w:p w14:paraId="45B3E604">
      <w:pPr>
        <w:pStyle w:val="59"/>
        <w:keepNext w:val="0"/>
        <w:keepLines w:val="0"/>
        <w:pageBreakBefore w:val="0"/>
        <w:widowControl/>
        <w:kinsoku/>
        <w:wordWrap/>
        <w:overflowPunct/>
        <w:topLinePunct w:val="0"/>
        <w:bidi w:val="0"/>
        <w:adjustRightInd/>
        <w:snapToGrid/>
        <w:spacing w:line="360" w:lineRule="auto"/>
        <w:ind w:firstLine="420"/>
        <w:textAlignment w:val="auto"/>
        <w:rPr>
          <w:rFonts w:hint="eastAsia"/>
        </w:rPr>
      </w:pPr>
      <w:r>
        <w:rPr>
          <w:rFonts w:hint="eastAsia"/>
        </w:rPr>
        <w:t>默认电碳计量系统下发的电力碳排放因子为标准值，按照 T/CIMA 0079.1—2023</w:t>
      </w:r>
      <w:r>
        <w:rPr>
          <w:rFonts w:hint="eastAsia"/>
          <w:lang w:val="en-US" w:eastAsia="zh-CN"/>
        </w:rPr>
        <w:t xml:space="preserve"> </w:t>
      </w:r>
      <w:r>
        <w:rPr>
          <w:rFonts w:hint="eastAsia"/>
        </w:rPr>
        <w:t>规定的模型计算出电碳排放量，电碳排放量计量准确度误差应不大于</w:t>
      </w:r>
      <w:r>
        <w:rPr>
          <w:rFonts w:hint="eastAsia"/>
          <w:lang w:val="en-US" w:eastAsia="zh-CN"/>
        </w:rPr>
        <w:t>对应电碳表准确度等级的电能计量误差的要求</w:t>
      </w:r>
      <w:r>
        <w:rPr>
          <w:rFonts w:hint="eastAsia"/>
        </w:rPr>
        <w:t>。</w:t>
      </w:r>
    </w:p>
    <w:p w14:paraId="6BB939B8">
      <w:pPr>
        <w:pStyle w:val="108"/>
        <w:numPr>
          <w:ilvl w:val="2"/>
          <w:numId w:val="0"/>
        </w:numPr>
        <w:spacing w:before="120" w:after="120"/>
        <w:rPr>
          <w:rFonts w:hint="eastAsia"/>
          <w:b w:val="0"/>
          <w:bCs w:val="0"/>
          <w:szCs w:val="22"/>
          <w:lang w:val="en-US" w:eastAsia="zh-CN"/>
        </w:rPr>
      </w:pPr>
      <w:r>
        <w:rPr>
          <w:rFonts w:hint="eastAsia"/>
          <w:b w:val="0"/>
          <w:bCs w:val="0"/>
          <w:szCs w:val="22"/>
          <w:lang w:val="en-US" w:eastAsia="zh-CN"/>
        </w:rPr>
        <w:t>4.5.3  计时准确度</w:t>
      </w:r>
    </w:p>
    <w:p w14:paraId="5D952576">
      <w:pPr>
        <w:pStyle w:val="59"/>
        <w:ind w:firstLine="420"/>
        <w:rPr>
          <w:szCs w:val="22"/>
        </w:rPr>
      </w:pPr>
      <w:r>
        <w:rPr>
          <w:rFonts w:hint="eastAsia"/>
          <w:szCs w:val="22"/>
        </w:rPr>
        <w:t xml:space="preserve">应符合 </w:t>
      </w:r>
      <w:r>
        <w:rPr>
          <w:rFonts w:hint="eastAsia"/>
          <w:szCs w:val="22"/>
          <w:lang w:val="en-US" w:eastAsia="zh-CN"/>
        </w:rPr>
        <w:t xml:space="preserve"> </w:t>
      </w:r>
      <w:r>
        <w:rPr>
          <w:rFonts w:hint="eastAsia"/>
          <w:szCs w:val="22"/>
        </w:rPr>
        <w:t>DL/T 14</w:t>
      </w:r>
      <w:r>
        <w:rPr>
          <w:rFonts w:hint="eastAsia"/>
          <w:szCs w:val="22"/>
          <w:lang w:val="en-US" w:eastAsia="zh-CN"/>
        </w:rPr>
        <w:t>85—2024</w:t>
      </w:r>
      <w:r>
        <w:rPr>
          <w:rFonts w:hint="eastAsia"/>
          <w:szCs w:val="22"/>
        </w:rPr>
        <w:t xml:space="preserve"> 中</w:t>
      </w:r>
      <w:r>
        <w:rPr>
          <w:rFonts w:hint="eastAsia"/>
          <w:szCs w:val="22"/>
          <w:lang w:val="en-US" w:eastAsia="zh-CN"/>
        </w:rPr>
        <w:t xml:space="preserve"> 4</w:t>
      </w:r>
      <w:r>
        <w:rPr>
          <w:rFonts w:hint="eastAsia"/>
          <w:szCs w:val="22"/>
        </w:rPr>
        <w:t>.</w:t>
      </w:r>
      <w:r>
        <w:rPr>
          <w:rFonts w:hint="eastAsia"/>
          <w:szCs w:val="22"/>
          <w:lang w:val="en-US" w:eastAsia="zh-CN"/>
        </w:rPr>
        <w:t>5.6</w:t>
      </w:r>
      <w:r>
        <w:rPr>
          <w:rFonts w:hint="eastAsia"/>
          <w:szCs w:val="22"/>
        </w:rPr>
        <w:t xml:space="preserve"> 的规定。</w:t>
      </w:r>
    </w:p>
    <w:p w14:paraId="40F506A1">
      <w:pPr>
        <w:pStyle w:val="108"/>
        <w:numPr>
          <w:ilvl w:val="2"/>
          <w:numId w:val="0"/>
        </w:numPr>
        <w:spacing w:before="120" w:after="120"/>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4.6  机械</w:t>
      </w:r>
      <w:r>
        <w:rPr>
          <w:rFonts w:hint="eastAsia" w:cs="Times New Roman"/>
          <w:sz w:val="21"/>
          <w:lang w:val="en-US" w:eastAsia="zh-CN" w:bidi="ar-SA"/>
        </w:rPr>
        <w:t>性能</w:t>
      </w:r>
      <w:r>
        <w:rPr>
          <w:rFonts w:hint="eastAsia" w:ascii="黑体" w:hAnsi="Times New Roman" w:eastAsia="黑体" w:cs="Times New Roman"/>
          <w:sz w:val="21"/>
          <w:lang w:val="en-US" w:eastAsia="zh-CN" w:bidi="ar-SA"/>
        </w:rPr>
        <w:t>要求</w:t>
      </w:r>
    </w:p>
    <w:p w14:paraId="720D027A">
      <w:pPr>
        <w:pStyle w:val="108"/>
        <w:numPr>
          <w:ilvl w:val="2"/>
          <w:numId w:val="0"/>
        </w:numPr>
        <w:spacing w:before="120" w:after="120"/>
        <w:rPr>
          <w:rFonts w:hint="eastAsia"/>
          <w:b w:val="0"/>
          <w:bCs w:val="0"/>
          <w:szCs w:val="22"/>
          <w:lang w:val="en-US" w:eastAsia="zh-CN"/>
        </w:rPr>
      </w:pPr>
      <w:r>
        <w:rPr>
          <w:rFonts w:hint="eastAsia"/>
          <w:b w:val="0"/>
          <w:bCs w:val="0"/>
          <w:szCs w:val="22"/>
          <w:lang w:val="en-US" w:eastAsia="zh-CN"/>
        </w:rPr>
        <w:t>4.6.1  冲击</w:t>
      </w:r>
    </w:p>
    <w:p w14:paraId="37B20EBF">
      <w:pPr>
        <w:pStyle w:val="108"/>
        <w:numPr>
          <w:ilvl w:val="2"/>
          <w:numId w:val="0"/>
        </w:numPr>
        <w:spacing w:before="120" w:after="120"/>
        <w:ind w:firstLine="420" w:firstLineChars="200"/>
        <w:rPr>
          <w:rFonts w:hint="default" w:ascii="宋体" w:hAnsi="宋体" w:eastAsia="宋体"/>
          <w:szCs w:val="22"/>
          <w:lang w:val="en-US" w:eastAsia="zh-CN"/>
        </w:rPr>
      </w:pPr>
      <w:r>
        <w:rPr>
          <w:rFonts w:hint="eastAsia" w:ascii="宋体" w:hAnsi="宋体" w:eastAsia="宋体"/>
          <w:szCs w:val="22"/>
        </w:rPr>
        <w:t>应符合</w:t>
      </w:r>
      <w:r>
        <w:rPr>
          <w:rFonts w:hint="eastAsia" w:ascii="宋体" w:hAnsi="宋体" w:eastAsia="宋体"/>
          <w:szCs w:val="22"/>
          <w:lang w:val="en-US" w:eastAsia="zh-CN"/>
        </w:rPr>
        <w:t xml:space="preserve"> DL</w:t>
      </w:r>
      <w:r>
        <w:rPr>
          <w:rFonts w:hint="eastAsia" w:ascii="宋体" w:hAnsi="宋体" w:eastAsia="宋体"/>
          <w:szCs w:val="22"/>
        </w:rPr>
        <w:t xml:space="preserve">/T </w:t>
      </w:r>
      <w:r>
        <w:rPr>
          <w:rFonts w:hint="eastAsia" w:ascii="宋体" w:hAnsi="宋体" w:eastAsia="宋体"/>
          <w:szCs w:val="22"/>
          <w:lang w:val="en-US" w:eastAsia="zh-CN"/>
        </w:rPr>
        <w:t xml:space="preserve">1485—2024 中 4.3.7 </w:t>
      </w:r>
      <w:r>
        <w:rPr>
          <w:rFonts w:hint="eastAsia" w:ascii="宋体" w:hAnsi="宋体" w:eastAsia="宋体"/>
          <w:szCs w:val="22"/>
        </w:rPr>
        <w:t>的</w:t>
      </w:r>
      <w:r>
        <w:rPr>
          <w:rFonts w:hint="eastAsia" w:ascii="宋体" w:hAnsi="宋体" w:eastAsia="宋体"/>
          <w:szCs w:val="22"/>
          <w:lang w:val="en-US" w:eastAsia="zh-CN"/>
        </w:rPr>
        <w:t>规定</w:t>
      </w:r>
      <w:r>
        <w:rPr>
          <w:rFonts w:hint="eastAsia" w:ascii="宋体" w:hAnsi="宋体" w:eastAsia="宋体"/>
          <w:szCs w:val="22"/>
        </w:rPr>
        <w:t>。</w:t>
      </w:r>
    </w:p>
    <w:p w14:paraId="5CC71BEA">
      <w:pPr>
        <w:pStyle w:val="108"/>
        <w:numPr>
          <w:ilvl w:val="2"/>
          <w:numId w:val="0"/>
        </w:numPr>
        <w:spacing w:before="120" w:after="120"/>
        <w:rPr>
          <w:rFonts w:hint="eastAsia"/>
          <w:b w:val="0"/>
          <w:bCs w:val="0"/>
          <w:szCs w:val="22"/>
          <w:lang w:val="en-US" w:eastAsia="zh-CN"/>
        </w:rPr>
      </w:pPr>
      <w:r>
        <w:rPr>
          <w:rFonts w:hint="eastAsia"/>
          <w:b w:val="0"/>
          <w:bCs w:val="0"/>
          <w:szCs w:val="22"/>
          <w:lang w:val="en-US" w:eastAsia="zh-CN"/>
        </w:rPr>
        <w:t>4.6.2  振动</w:t>
      </w:r>
    </w:p>
    <w:p w14:paraId="7E15E2BF">
      <w:pPr>
        <w:pStyle w:val="108"/>
        <w:numPr>
          <w:ilvl w:val="2"/>
          <w:numId w:val="0"/>
        </w:numPr>
        <w:spacing w:before="120" w:after="120"/>
        <w:ind w:firstLine="420" w:firstLineChars="200"/>
        <w:rPr>
          <w:rFonts w:hint="default" w:ascii="宋体" w:hAnsi="宋体" w:eastAsia="宋体"/>
          <w:szCs w:val="22"/>
          <w:lang w:val="en-US" w:eastAsia="zh-CN"/>
        </w:rPr>
      </w:pPr>
      <w:r>
        <w:rPr>
          <w:rFonts w:hint="eastAsia" w:ascii="宋体" w:hAnsi="宋体" w:eastAsia="宋体"/>
          <w:szCs w:val="22"/>
        </w:rPr>
        <w:t>应符合</w:t>
      </w:r>
      <w:r>
        <w:rPr>
          <w:rFonts w:hint="eastAsia" w:ascii="宋体" w:hAnsi="宋体" w:eastAsia="宋体"/>
          <w:szCs w:val="22"/>
          <w:lang w:val="en-US" w:eastAsia="zh-CN"/>
        </w:rPr>
        <w:t xml:space="preserve"> DL</w:t>
      </w:r>
      <w:r>
        <w:rPr>
          <w:rFonts w:hint="eastAsia" w:ascii="宋体" w:hAnsi="宋体" w:eastAsia="宋体"/>
          <w:szCs w:val="22"/>
        </w:rPr>
        <w:t xml:space="preserve">/T </w:t>
      </w:r>
      <w:r>
        <w:rPr>
          <w:rFonts w:hint="eastAsia" w:ascii="宋体" w:hAnsi="宋体" w:eastAsia="宋体"/>
          <w:szCs w:val="22"/>
          <w:lang w:val="en-US" w:eastAsia="zh-CN"/>
        </w:rPr>
        <w:t xml:space="preserve">1485—2024 中 4.3.8 </w:t>
      </w:r>
      <w:r>
        <w:rPr>
          <w:rFonts w:hint="eastAsia" w:ascii="宋体" w:hAnsi="宋体" w:eastAsia="宋体"/>
          <w:szCs w:val="22"/>
        </w:rPr>
        <w:t>的</w:t>
      </w:r>
      <w:r>
        <w:rPr>
          <w:rFonts w:hint="eastAsia" w:ascii="宋体" w:hAnsi="宋体" w:eastAsia="宋体"/>
          <w:szCs w:val="22"/>
          <w:lang w:val="en-US" w:eastAsia="zh-CN"/>
        </w:rPr>
        <w:t>规定</w:t>
      </w:r>
      <w:r>
        <w:rPr>
          <w:rFonts w:hint="eastAsia" w:ascii="宋体" w:hAnsi="宋体" w:eastAsia="宋体"/>
          <w:szCs w:val="22"/>
        </w:rPr>
        <w:t>。</w:t>
      </w:r>
    </w:p>
    <w:p w14:paraId="2E06F6FA">
      <w:pPr>
        <w:pStyle w:val="108"/>
        <w:numPr>
          <w:ilvl w:val="2"/>
          <w:numId w:val="0"/>
        </w:numPr>
        <w:spacing w:before="120" w:after="120"/>
        <w:rPr>
          <w:rFonts w:hint="default"/>
          <w:b w:val="0"/>
          <w:bCs w:val="0"/>
          <w:szCs w:val="22"/>
          <w:lang w:val="en-US" w:eastAsia="zh-CN"/>
        </w:rPr>
      </w:pPr>
      <w:r>
        <w:rPr>
          <w:rFonts w:hint="eastAsia"/>
          <w:b w:val="0"/>
          <w:bCs w:val="0"/>
          <w:szCs w:val="22"/>
          <w:lang w:val="en-US" w:eastAsia="zh-CN"/>
        </w:rPr>
        <w:t>4.6.3  防护等级</w:t>
      </w:r>
    </w:p>
    <w:p w14:paraId="01AADD5B">
      <w:pPr>
        <w:pStyle w:val="108"/>
        <w:numPr>
          <w:ilvl w:val="2"/>
          <w:numId w:val="0"/>
        </w:numPr>
        <w:spacing w:before="120" w:after="120"/>
        <w:ind w:firstLine="420" w:firstLineChars="200"/>
        <w:rPr>
          <w:rFonts w:hint="eastAsia" w:ascii="宋体" w:hAnsi="宋体" w:eastAsia="宋体"/>
          <w:szCs w:val="22"/>
        </w:rPr>
      </w:pPr>
      <w:r>
        <w:rPr>
          <w:rFonts w:hint="eastAsia" w:ascii="宋体" w:hAnsi="宋体" w:eastAsia="宋体"/>
          <w:szCs w:val="22"/>
        </w:rPr>
        <w:t>应符合</w:t>
      </w:r>
      <w:r>
        <w:rPr>
          <w:rFonts w:hint="eastAsia" w:ascii="宋体" w:hAnsi="宋体" w:eastAsia="宋体"/>
          <w:szCs w:val="22"/>
          <w:lang w:val="en-US" w:eastAsia="zh-CN"/>
        </w:rPr>
        <w:t xml:space="preserve"> </w:t>
      </w:r>
      <w:r>
        <w:rPr>
          <w:rFonts w:hint="eastAsia" w:ascii="宋体" w:hAnsi="宋体" w:eastAsia="宋体"/>
          <w:szCs w:val="22"/>
        </w:rPr>
        <w:t>GB/T 4208</w:t>
      </w:r>
      <w:r>
        <w:rPr>
          <w:rFonts w:hint="eastAsia" w:ascii="宋体" w:hAnsi="宋体" w:eastAsia="宋体"/>
          <w:szCs w:val="22"/>
          <w:lang w:eastAsia="zh-CN"/>
        </w:rPr>
        <w:t>—</w:t>
      </w:r>
      <w:r>
        <w:rPr>
          <w:rFonts w:hint="eastAsia" w:ascii="宋体" w:hAnsi="宋体" w:eastAsia="宋体"/>
          <w:szCs w:val="22"/>
          <w:lang w:val="en-US" w:eastAsia="zh-CN"/>
        </w:rPr>
        <w:t>2017</w:t>
      </w:r>
      <w:r>
        <w:rPr>
          <w:rFonts w:hint="eastAsia" w:ascii="宋体" w:hAnsi="宋体" w:eastAsia="宋体"/>
          <w:szCs w:val="22"/>
        </w:rPr>
        <w:t xml:space="preserve"> 的</w:t>
      </w:r>
      <w:r>
        <w:rPr>
          <w:rFonts w:hint="eastAsia" w:ascii="宋体" w:hAnsi="宋体" w:eastAsia="宋体"/>
          <w:szCs w:val="22"/>
          <w:lang w:val="en-US" w:eastAsia="zh-CN"/>
        </w:rPr>
        <w:t>IP51（安装在户内）或 IP66 （安装在户外）的规定</w:t>
      </w:r>
      <w:r>
        <w:rPr>
          <w:rFonts w:hint="eastAsia" w:ascii="宋体" w:hAnsi="宋体" w:eastAsia="宋体"/>
          <w:szCs w:val="22"/>
        </w:rPr>
        <w:t>。</w:t>
      </w:r>
    </w:p>
    <w:p w14:paraId="16967846">
      <w:pPr>
        <w:pStyle w:val="108"/>
        <w:numPr>
          <w:ilvl w:val="2"/>
          <w:numId w:val="0"/>
        </w:numPr>
        <w:spacing w:before="120" w:after="120"/>
        <w:rPr>
          <w:rFonts w:hint="eastAsia"/>
          <w:b w:val="0"/>
          <w:bCs w:val="0"/>
          <w:szCs w:val="22"/>
          <w:lang w:val="en-US" w:eastAsia="zh-CN"/>
        </w:rPr>
      </w:pPr>
      <w:r>
        <w:rPr>
          <w:rFonts w:hint="eastAsia"/>
          <w:b w:val="0"/>
          <w:bCs w:val="0"/>
          <w:szCs w:val="22"/>
          <w:lang w:val="en-US" w:eastAsia="zh-CN"/>
        </w:rPr>
        <w:t>4.6.4  耐热阻燃</w:t>
      </w:r>
    </w:p>
    <w:p w14:paraId="1354795B">
      <w:pPr>
        <w:pStyle w:val="59"/>
        <w:ind w:firstLine="420"/>
        <w:rPr>
          <w:rFonts w:hint="eastAsia"/>
          <w:szCs w:val="22"/>
        </w:rPr>
      </w:pPr>
      <w:r>
        <w:rPr>
          <w:rFonts w:hint="eastAsia"/>
          <w:szCs w:val="22"/>
        </w:rPr>
        <w:t xml:space="preserve">应符合 </w:t>
      </w:r>
      <w:r>
        <w:rPr>
          <w:rFonts w:hint="eastAsia"/>
          <w:szCs w:val="22"/>
          <w:lang w:val="en-US" w:eastAsia="zh-CN"/>
        </w:rPr>
        <w:t xml:space="preserve"> </w:t>
      </w:r>
      <w:r>
        <w:rPr>
          <w:rFonts w:hint="eastAsia"/>
          <w:szCs w:val="22"/>
        </w:rPr>
        <w:t>DL/T 14</w:t>
      </w:r>
      <w:r>
        <w:rPr>
          <w:rFonts w:hint="eastAsia"/>
          <w:szCs w:val="22"/>
          <w:lang w:val="en-US" w:eastAsia="zh-CN"/>
        </w:rPr>
        <w:t>85—2024</w:t>
      </w:r>
      <w:r>
        <w:rPr>
          <w:rFonts w:hint="eastAsia"/>
          <w:szCs w:val="22"/>
        </w:rPr>
        <w:t xml:space="preserve"> 中</w:t>
      </w:r>
      <w:r>
        <w:rPr>
          <w:rFonts w:hint="eastAsia"/>
          <w:szCs w:val="22"/>
          <w:lang w:val="en-US" w:eastAsia="zh-CN"/>
        </w:rPr>
        <w:t xml:space="preserve"> 4</w:t>
      </w:r>
      <w:r>
        <w:rPr>
          <w:rFonts w:hint="eastAsia"/>
          <w:szCs w:val="22"/>
        </w:rPr>
        <w:t>.</w:t>
      </w:r>
      <w:r>
        <w:rPr>
          <w:rFonts w:hint="eastAsia"/>
          <w:szCs w:val="22"/>
          <w:lang w:val="en-US" w:eastAsia="zh-CN"/>
        </w:rPr>
        <w:t>3.10</w:t>
      </w:r>
      <w:r>
        <w:rPr>
          <w:rFonts w:hint="eastAsia"/>
          <w:szCs w:val="22"/>
        </w:rPr>
        <w:t xml:space="preserve"> 的规定。</w:t>
      </w:r>
    </w:p>
    <w:p w14:paraId="131B1D34">
      <w:pPr>
        <w:pStyle w:val="108"/>
        <w:numPr>
          <w:ilvl w:val="2"/>
          <w:numId w:val="0"/>
        </w:numPr>
        <w:spacing w:before="120" w:after="120"/>
        <w:rPr>
          <w:rFonts w:hint="eastAsia"/>
          <w:b w:val="0"/>
          <w:bCs w:val="0"/>
          <w:szCs w:val="22"/>
          <w:lang w:val="en-US" w:eastAsia="zh-CN"/>
        </w:rPr>
      </w:pPr>
      <w:r>
        <w:rPr>
          <w:rFonts w:hint="eastAsia"/>
          <w:b w:val="0"/>
          <w:bCs w:val="0"/>
          <w:szCs w:val="22"/>
          <w:lang w:val="en-US" w:eastAsia="zh-CN"/>
        </w:rPr>
        <w:t>4.6.5  盐雾</w:t>
      </w:r>
    </w:p>
    <w:p w14:paraId="0E5AC3E5">
      <w:pPr>
        <w:pStyle w:val="59"/>
        <w:ind w:left="0" w:leftChars="0" w:firstLine="420" w:firstLineChars="200"/>
      </w:pPr>
      <w:r>
        <w:rPr>
          <w:rFonts w:hint="eastAsia" w:ascii="宋体" w:hAnsi="宋体" w:eastAsia="宋体"/>
          <w:szCs w:val="22"/>
        </w:rPr>
        <w:t>应符合</w:t>
      </w:r>
      <w:r>
        <w:rPr>
          <w:rFonts w:hint="eastAsia" w:hAnsi="宋体"/>
          <w:szCs w:val="22"/>
          <w:lang w:val="en-US" w:eastAsia="zh-CN"/>
        </w:rPr>
        <w:t xml:space="preserve"> </w:t>
      </w:r>
      <w:r>
        <w:rPr>
          <w:rFonts w:hint="eastAsia" w:ascii="宋体" w:hAnsi="宋体" w:eastAsia="宋体"/>
          <w:szCs w:val="22"/>
        </w:rPr>
        <w:t xml:space="preserve">GB/T </w:t>
      </w:r>
      <w:r>
        <w:rPr>
          <w:rFonts w:hint="eastAsia"/>
          <w:szCs w:val="22"/>
        </w:rPr>
        <w:t>2423.17</w:t>
      </w:r>
      <w:r>
        <w:rPr>
          <w:rFonts w:hint="eastAsia"/>
          <w:szCs w:val="22"/>
          <w:lang w:eastAsia="zh-CN"/>
        </w:rPr>
        <w:t>—</w:t>
      </w:r>
      <w:r>
        <w:rPr>
          <w:rFonts w:hint="eastAsia"/>
          <w:szCs w:val="22"/>
          <w:lang w:val="en-US" w:eastAsia="zh-CN"/>
        </w:rPr>
        <w:t xml:space="preserve">2024 </w:t>
      </w:r>
      <w:r>
        <w:rPr>
          <w:rFonts w:hint="eastAsia" w:ascii="宋体" w:hAnsi="宋体" w:eastAsia="宋体"/>
          <w:szCs w:val="22"/>
        </w:rPr>
        <w:t>的</w:t>
      </w:r>
      <w:r>
        <w:rPr>
          <w:rFonts w:hint="eastAsia" w:ascii="宋体" w:hAnsi="宋体" w:eastAsia="宋体"/>
          <w:szCs w:val="22"/>
          <w:lang w:val="en-US" w:eastAsia="zh-CN"/>
        </w:rPr>
        <w:t>规定</w:t>
      </w:r>
      <w:r>
        <w:rPr>
          <w:rFonts w:hint="eastAsia" w:ascii="宋体" w:hAnsi="宋体" w:eastAsia="宋体"/>
          <w:szCs w:val="22"/>
        </w:rPr>
        <w:t>。</w:t>
      </w:r>
    </w:p>
    <w:p w14:paraId="4C8E70A3">
      <w:pPr>
        <w:pStyle w:val="108"/>
        <w:numPr>
          <w:ilvl w:val="2"/>
          <w:numId w:val="0"/>
        </w:numPr>
        <w:spacing w:before="120" w:after="120"/>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4.7  电气性能要求</w:t>
      </w:r>
    </w:p>
    <w:p w14:paraId="189E6815">
      <w:pPr>
        <w:pStyle w:val="108"/>
        <w:numPr>
          <w:ilvl w:val="2"/>
          <w:numId w:val="0"/>
        </w:numPr>
        <w:spacing w:before="120" w:after="120"/>
        <w:rPr>
          <w:rFonts w:hint="default"/>
          <w:b w:val="0"/>
          <w:bCs w:val="0"/>
          <w:szCs w:val="22"/>
          <w:lang w:val="en-US" w:eastAsia="zh-CN"/>
        </w:rPr>
      </w:pPr>
      <w:r>
        <w:rPr>
          <w:rFonts w:hint="eastAsia"/>
          <w:b w:val="0"/>
          <w:bCs w:val="0"/>
          <w:szCs w:val="22"/>
          <w:lang w:val="en-US" w:eastAsia="zh-CN"/>
        </w:rPr>
        <w:t>4.7.1  功耗</w:t>
      </w:r>
    </w:p>
    <w:p w14:paraId="37EE7F55">
      <w:pPr>
        <w:pStyle w:val="108"/>
        <w:numPr>
          <w:ilvl w:val="2"/>
          <w:numId w:val="0"/>
        </w:numPr>
        <w:spacing w:before="120" w:after="120"/>
        <w:ind w:firstLine="420" w:firstLineChars="200"/>
        <w:rPr>
          <w:rFonts w:hint="default" w:ascii="宋体" w:hAnsi="宋体" w:eastAsia="宋体"/>
          <w:szCs w:val="22"/>
          <w:lang w:val="en-US" w:eastAsia="zh-CN"/>
        </w:rPr>
      </w:pPr>
      <w:r>
        <w:rPr>
          <w:rFonts w:hint="eastAsia" w:ascii="宋体" w:hAnsi="宋体" w:eastAsia="宋体"/>
          <w:szCs w:val="22"/>
        </w:rPr>
        <w:t>应符合</w:t>
      </w:r>
      <w:r>
        <w:rPr>
          <w:rFonts w:hint="eastAsia" w:ascii="宋体" w:hAnsi="宋体" w:eastAsia="宋体"/>
          <w:szCs w:val="22"/>
          <w:lang w:val="en-US" w:eastAsia="zh-CN"/>
        </w:rPr>
        <w:t xml:space="preserve"> </w:t>
      </w:r>
      <w:r>
        <w:rPr>
          <w:rFonts w:hint="eastAsia" w:ascii="宋体" w:hAnsi="宋体" w:eastAsia="宋体"/>
          <w:szCs w:val="22"/>
        </w:rPr>
        <w:t>DL/T 14</w:t>
      </w:r>
      <w:r>
        <w:rPr>
          <w:rFonts w:hint="eastAsia" w:ascii="宋体" w:hAnsi="宋体" w:eastAsia="宋体"/>
          <w:szCs w:val="22"/>
          <w:lang w:val="en-US" w:eastAsia="zh-CN"/>
        </w:rPr>
        <w:t>85—2024</w:t>
      </w:r>
      <w:r>
        <w:rPr>
          <w:rFonts w:hint="eastAsia" w:ascii="宋体" w:hAnsi="宋体" w:eastAsia="宋体"/>
          <w:szCs w:val="22"/>
        </w:rPr>
        <w:t xml:space="preserve"> 中</w:t>
      </w:r>
      <w:r>
        <w:rPr>
          <w:rFonts w:hint="eastAsia" w:ascii="宋体" w:hAnsi="宋体" w:eastAsia="宋体"/>
          <w:szCs w:val="22"/>
          <w:lang w:val="en-US" w:eastAsia="zh-CN"/>
        </w:rPr>
        <w:t xml:space="preserve"> 4</w:t>
      </w:r>
      <w:r>
        <w:rPr>
          <w:rFonts w:hint="eastAsia" w:ascii="宋体" w:hAnsi="宋体" w:eastAsia="宋体"/>
          <w:szCs w:val="22"/>
        </w:rPr>
        <w:t>.</w:t>
      </w:r>
      <w:r>
        <w:rPr>
          <w:rFonts w:hint="eastAsia" w:ascii="宋体" w:hAnsi="宋体" w:eastAsia="宋体"/>
          <w:szCs w:val="22"/>
          <w:lang w:val="en-US" w:eastAsia="zh-CN"/>
        </w:rPr>
        <w:t>6</w:t>
      </w:r>
      <w:r>
        <w:rPr>
          <w:rFonts w:hint="eastAsia" w:ascii="宋体" w:hAnsi="宋体" w:eastAsia="宋体"/>
          <w:szCs w:val="22"/>
        </w:rPr>
        <w:t>.1</w:t>
      </w:r>
      <w:r>
        <w:rPr>
          <w:rFonts w:hint="eastAsia" w:ascii="宋体" w:hAnsi="宋体" w:eastAsia="宋体"/>
          <w:szCs w:val="22"/>
          <w:lang w:val="en-US" w:eastAsia="zh-CN"/>
        </w:rPr>
        <w:t xml:space="preserve"> </w:t>
      </w:r>
      <w:r>
        <w:rPr>
          <w:rFonts w:hint="eastAsia" w:ascii="宋体" w:hAnsi="宋体" w:eastAsia="宋体"/>
          <w:szCs w:val="22"/>
        </w:rPr>
        <w:t>的</w:t>
      </w:r>
      <w:r>
        <w:rPr>
          <w:rFonts w:hint="eastAsia" w:ascii="宋体" w:hAnsi="宋体" w:eastAsia="宋体"/>
          <w:szCs w:val="22"/>
          <w:lang w:val="en-US" w:eastAsia="zh-CN"/>
        </w:rPr>
        <w:t>规定</w:t>
      </w:r>
      <w:r>
        <w:rPr>
          <w:rFonts w:hint="eastAsia" w:ascii="宋体" w:hAnsi="宋体" w:eastAsia="宋体"/>
          <w:szCs w:val="22"/>
        </w:rPr>
        <w:t>。</w:t>
      </w:r>
    </w:p>
    <w:p w14:paraId="48CFF982">
      <w:pPr>
        <w:pStyle w:val="108"/>
        <w:numPr>
          <w:ilvl w:val="2"/>
          <w:numId w:val="0"/>
        </w:numPr>
        <w:spacing w:before="120" w:after="120"/>
        <w:rPr>
          <w:rFonts w:hint="eastAsia"/>
          <w:b w:val="0"/>
          <w:bCs w:val="0"/>
          <w:szCs w:val="22"/>
          <w:lang w:val="en-US" w:eastAsia="zh-CN"/>
        </w:rPr>
      </w:pPr>
      <w:r>
        <w:rPr>
          <w:rFonts w:hint="eastAsia"/>
          <w:b w:val="0"/>
          <w:bCs w:val="0"/>
          <w:szCs w:val="22"/>
          <w:lang w:val="en-US" w:eastAsia="zh-CN"/>
        </w:rPr>
        <w:t>4.7.2  绝缘</w:t>
      </w:r>
    </w:p>
    <w:p w14:paraId="7869E44F">
      <w:pPr>
        <w:pStyle w:val="59"/>
        <w:ind w:left="0" w:leftChars="0" w:firstLine="420" w:firstLineChars="200"/>
      </w:pPr>
      <w:r>
        <w:rPr>
          <w:rFonts w:hint="eastAsia" w:ascii="宋体" w:hAnsi="宋体" w:eastAsia="宋体"/>
          <w:szCs w:val="22"/>
        </w:rPr>
        <w:t>应符合</w:t>
      </w:r>
      <w:r>
        <w:rPr>
          <w:rFonts w:hint="eastAsia" w:ascii="宋体" w:hAnsi="宋体" w:eastAsia="宋体"/>
          <w:szCs w:val="22"/>
          <w:lang w:val="en-US" w:eastAsia="zh-CN"/>
        </w:rPr>
        <w:t xml:space="preserve"> </w:t>
      </w:r>
      <w:r>
        <w:rPr>
          <w:rFonts w:hint="eastAsia"/>
          <w:szCs w:val="22"/>
        </w:rPr>
        <w:t>DL/T 14</w:t>
      </w:r>
      <w:r>
        <w:rPr>
          <w:rFonts w:hint="eastAsia"/>
          <w:szCs w:val="22"/>
          <w:lang w:val="en-US" w:eastAsia="zh-CN"/>
        </w:rPr>
        <w:t>85—2024</w:t>
      </w:r>
      <w:r>
        <w:rPr>
          <w:rFonts w:hint="eastAsia" w:hAnsi="宋体"/>
          <w:szCs w:val="22"/>
          <w:lang w:val="en-US" w:eastAsia="zh-CN"/>
        </w:rPr>
        <w:t xml:space="preserve"> </w:t>
      </w:r>
      <w:r>
        <w:rPr>
          <w:rFonts w:hint="eastAsia" w:ascii="宋体" w:hAnsi="宋体" w:eastAsia="宋体"/>
          <w:szCs w:val="22"/>
        </w:rPr>
        <w:t>中</w:t>
      </w:r>
      <w:r>
        <w:rPr>
          <w:rFonts w:hint="eastAsia" w:hAnsi="宋体"/>
          <w:szCs w:val="22"/>
          <w:lang w:val="en-US" w:eastAsia="zh-CN"/>
        </w:rPr>
        <w:t xml:space="preserve"> 4.7 </w:t>
      </w:r>
      <w:r>
        <w:rPr>
          <w:rFonts w:hint="eastAsia" w:ascii="宋体" w:hAnsi="宋体" w:eastAsia="宋体"/>
          <w:szCs w:val="22"/>
        </w:rPr>
        <w:t>的</w:t>
      </w:r>
      <w:r>
        <w:rPr>
          <w:rFonts w:hint="eastAsia" w:ascii="宋体" w:hAnsi="宋体" w:eastAsia="宋体"/>
          <w:szCs w:val="22"/>
          <w:lang w:val="en-US" w:eastAsia="zh-CN"/>
        </w:rPr>
        <w:t>规定</w:t>
      </w:r>
      <w:r>
        <w:rPr>
          <w:rFonts w:hint="eastAsia" w:ascii="宋体" w:hAnsi="宋体" w:eastAsia="宋体"/>
          <w:szCs w:val="22"/>
        </w:rPr>
        <w:t>。</w:t>
      </w:r>
    </w:p>
    <w:p w14:paraId="2343EDA0">
      <w:pPr>
        <w:pStyle w:val="108"/>
        <w:numPr>
          <w:ilvl w:val="2"/>
          <w:numId w:val="0"/>
        </w:numPr>
        <w:spacing w:before="120" w:after="120"/>
        <w:rPr>
          <w:rFonts w:hint="eastAsia"/>
          <w:b w:val="0"/>
          <w:bCs w:val="0"/>
          <w:szCs w:val="22"/>
          <w:lang w:val="en-US" w:eastAsia="zh-CN"/>
        </w:rPr>
      </w:pPr>
      <w:r>
        <w:rPr>
          <w:rFonts w:hint="eastAsia"/>
          <w:b w:val="0"/>
          <w:bCs w:val="0"/>
          <w:szCs w:val="22"/>
          <w:lang w:val="en-US" w:eastAsia="zh-CN"/>
        </w:rPr>
        <w:t>4.7.3  爬电距离</w:t>
      </w:r>
    </w:p>
    <w:p w14:paraId="27A2DF7E">
      <w:pPr>
        <w:pStyle w:val="59"/>
        <w:ind w:firstLine="420"/>
      </w:pPr>
      <w:r>
        <w:rPr>
          <w:rFonts w:hint="eastAsia"/>
        </w:rPr>
        <w:t>应符合</w:t>
      </w:r>
      <w:r>
        <w:rPr>
          <w:rFonts w:hint="eastAsia"/>
          <w:lang w:val="en-US" w:eastAsia="zh-CN"/>
        </w:rPr>
        <w:t xml:space="preserve"> </w:t>
      </w:r>
      <w:r>
        <w:t>GB/T</w:t>
      </w:r>
      <w:r>
        <w:rPr>
          <w:rFonts w:hint="eastAsia"/>
        </w:rPr>
        <w:t xml:space="preserve"> 7251.1-2023 中</w:t>
      </w:r>
      <w:r>
        <w:rPr>
          <w:rFonts w:hint="eastAsia"/>
          <w:lang w:val="en-US" w:eastAsia="zh-CN"/>
        </w:rPr>
        <w:t xml:space="preserve"> </w:t>
      </w:r>
      <w:r>
        <w:rPr>
          <w:rFonts w:hint="eastAsia"/>
        </w:rPr>
        <w:t>8.3.3</w:t>
      </w:r>
      <w:r>
        <w:rPr>
          <w:rFonts w:hint="eastAsia"/>
          <w:lang w:val="en-US" w:eastAsia="zh-CN"/>
        </w:rPr>
        <w:t xml:space="preserve"> </w:t>
      </w:r>
      <w:r>
        <w:rPr>
          <w:rFonts w:hint="eastAsia"/>
        </w:rPr>
        <w:t>的</w:t>
      </w:r>
      <w:r>
        <w:rPr>
          <w:rFonts w:hint="eastAsia"/>
          <w:lang w:val="en-US" w:eastAsia="zh-CN"/>
        </w:rPr>
        <w:t>规定</w:t>
      </w:r>
      <w:r>
        <w:rPr>
          <w:rFonts w:hint="eastAsia"/>
        </w:rPr>
        <w:t>。</w:t>
      </w:r>
    </w:p>
    <w:p w14:paraId="36F0AF74">
      <w:pPr>
        <w:pStyle w:val="108"/>
        <w:numPr>
          <w:ilvl w:val="2"/>
          <w:numId w:val="0"/>
        </w:numPr>
        <w:spacing w:before="120" w:after="120"/>
        <w:rPr>
          <w:rFonts w:hint="eastAsia"/>
          <w:b w:val="0"/>
          <w:bCs w:val="0"/>
          <w:szCs w:val="22"/>
          <w:lang w:val="en-US" w:eastAsia="zh-CN"/>
        </w:rPr>
      </w:pPr>
      <w:r>
        <w:rPr>
          <w:rFonts w:hint="eastAsia"/>
          <w:b w:val="0"/>
          <w:bCs w:val="0"/>
          <w:szCs w:val="22"/>
          <w:lang w:val="en-US" w:eastAsia="zh-CN"/>
        </w:rPr>
        <w:t>4.8  电磁兼容要求</w:t>
      </w:r>
    </w:p>
    <w:p w14:paraId="7162B9B4">
      <w:pPr>
        <w:pStyle w:val="59"/>
        <w:ind w:firstLine="420"/>
        <w:rPr>
          <w:rFonts w:hint="default" w:eastAsia="宋体"/>
          <w:lang w:val="en-US" w:eastAsia="zh-CN"/>
        </w:rPr>
      </w:pPr>
      <w:r>
        <w:rPr>
          <w:rFonts w:hint="eastAsia"/>
        </w:rPr>
        <w:t>应符合</w:t>
      </w:r>
      <w:r>
        <w:rPr>
          <w:rFonts w:hint="eastAsia"/>
          <w:lang w:val="en-US" w:eastAsia="zh-CN"/>
        </w:rPr>
        <w:t xml:space="preserve"> </w:t>
      </w:r>
      <w:r>
        <w:rPr>
          <w:rFonts w:hint="eastAsia"/>
          <w:szCs w:val="22"/>
        </w:rPr>
        <w:t>DL/T 14</w:t>
      </w:r>
      <w:r>
        <w:rPr>
          <w:rFonts w:hint="eastAsia"/>
          <w:szCs w:val="22"/>
          <w:lang w:val="en-US" w:eastAsia="zh-CN"/>
        </w:rPr>
        <w:t>85—2024</w:t>
      </w:r>
      <w:r>
        <w:rPr>
          <w:rFonts w:hint="eastAsia" w:hAnsi="宋体"/>
          <w:szCs w:val="22"/>
          <w:lang w:val="en-US" w:eastAsia="zh-CN"/>
        </w:rPr>
        <w:t xml:space="preserve"> </w:t>
      </w:r>
      <w:r>
        <w:rPr>
          <w:rFonts w:hint="eastAsia" w:ascii="宋体" w:hAnsi="宋体" w:eastAsia="宋体"/>
          <w:szCs w:val="22"/>
        </w:rPr>
        <w:t>中</w:t>
      </w:r>
      <w:r>
        <w:rPr>
          <w:rFonts w:hint="eastAsia" w:hAnsi="宋体"/>
          <w:szCs w:val="22"/>
          <w:lang w:val="en-US" w:eastAsia="zh-CN"/>
        </w:rPr>
        <w:t xml:space="preserve"> 4.5.12 </w:t>
      </w:r>
      <w:r>
        <w:rPr>
          <w:rFonts w:hint="eastAsia"/>
          <w:lang w:val="en-US" w:eastAsia="zh-CN"/>
        </w:rPr>
        <w:t>的规定。</w:t>
      </w:r>
    </w:p>
    <w:p w14:paraId="681DC60E">
      <w:pPr>
        <w:pStyle w:val="107"/>
        <w:keepNext w:val="0"/>
        <w:keepLines w:val="0"/>
        <w:pageBreakBefore w:val="0"/>
        <w:widowControl/>
        <w:numPr>
          <w:ilvl w:val="1"/>
          <w:numId w:val="0"/>
        </w:numPr>
        <w:kinsoku/>
        <w:wordWrap/>
        <w:overflowPunct/>
        <w:topLinePunct w:val="0"/>
        <w:bidi w:val="0"/>
        <w:adjustRightInd/>
        <w:snapToGrid/>
        <w:spacing w:before="240" w:after="240" w:line="360" w:lineRule="auto"/>
        <w:textAlignment w:val="auto"/>
        <w:rPr>
          <w:rFonts w:hint="eastAsia"/>
          <w:b w:val="0"/>
          <w:bCs w:val="0"/>
        </w:rPr>
      </w:pPr>
      <w:r>
        <w:rPr>
          <w:rFonts w:hint="eastAsia"/>
          <w:b w:val="0"/>
          <w:bCs w:val="0"/>
        </w:rPr>
        <w:t>5 试验方法</w:t>
      </w:r>
    </w:p>
    <w:p w14:paraId="6E81CF0B">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b w:val="0"/>
          <w:bCs w:val="0"/>
          <w:szCs w:val="22"/>
          <w:lang w:val="en-US" w:eastAsia="zh-CN"/>
        </w:rPr>
      </w:pPr>
      <w:r>
        <w:rPr>
          <w:rFonts w:hint="eastAsia"/>
          <w:b w:val="0"/>
          <w:bCs w:val="0"/>
          <w:szCs w:val="22"/>
          <w:lang w:val="en-US" w:eastAsia="zh-CN"/>
        </w:rPr>
        <w:t>5.1  环境试验</w:t>
      </w:r>
    </w:p>
    <w:p w14:paraId="56F87430">
      <w:pPr>
        <w:pStyle w:val="59"/>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lang w:val="en-US" w:eastAsia="zh-CN"/>
        </w:rPr>
      </w:pPr>
      <w:r>
        <w:rPr>
          <w:rFonts w:hint="eastAsia"/>
          <w:lang w:val="en-US" w:eastAsia="zh-CN"/>
        </w:rPr>
        <w:t xml:space="preserve">5.1.1 低温试验按照 </w:t>
      </w:r>
      <w:r>
        <w:rPr>
          <w:rFonts w:hint="eastAsia"/>
        </w:rPr>
        <w:t>GB/T 2423.</w:t>
      </w:r>
      <w:r>
        <w:rPr>
          <w:rFonts w:hint="eastAsia"/>
          <w:lang w:val="en-US" w:eastAsia="zh-CN"/>
        </w:rPr>
        <w:t>1</w:t>
      </w:r>
      <w:r>
        <w:rPr>
          <w:rFonts w:hint="eastAsia"/>
          <w:lang w:eastAsia="zh-CN"/>
        </w:rPr>
        <w:t>—</w:t>
      </w:r>
      <w:r>
        <w:rPr>
          <w:rFonts w:hint="eastAsia"/>
          <w:lang w:val="en-US" w:eastAsia="zh-CN"/>
        </w:rPr>
        <w:t xml:space="preserve">2008 规定的方法进行,高温试验按照 </w:t>
      </w:r>
      <w:r>
        <w:rPr>
          <w:rFonts w:hint="eastAsia"/>
        </w:rPr>
        <w:t>GB/T 2423.2</w:t>
      </w:r>
      <w:r>
        <w:rPr>
          <w:rFonts w:hint="eastAsia"/>
          <w:lang w:eastAsia="zh-CN"/>
        </w:rPr>
        <w:t>—</w:t>
      </w:r>
      <w:r>
        <w:rPr>
          <w:rFonts w:hint="eastAsia"/>
          <w:lang w:val="en-US" w:eastAsia="zh-CN"/>
        </w:rPr>
        <w:t>2008 规定的方法进行。</w:t>
      </w:r>
    </w:p>
    <w:p w14:paraId="78BBEDD4">
      <w:pPr>
        <w:pStyle w:val="59"/>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lang w:val="en-US" w:eastAsia="zh-CN"/>
        </w:rPr>
      </w:pPr>
      <w:r>
        <w:rPr>
          <w:rFonts w:hint="eastAsia"/>
          <w:lang w:val="en-US" w:eastAsia="zh-CN"/>
        </w:rPr>
        <w:t xml:space="preserve">5.1.2 </w:t>
      </w:r>
      <w:r>
        <w:rPr>
          <w:rFonts w:hint="eastAsia"/>
        </w:rPr>
        <w:t>相对湿度</w:t>
      </w:r>
      <w:r>
        <w:rPr>
          <w:rFonts w:hint="eastAsia"/>
          <w:lang w:val="en-US" w:eastAsia="zh-CN"/>
        </w:rPr>
        <w:t xml:space="preserve">试验按照 </w:t>
      </w:r>
      <w:r>
        <w:rPr>
          <w:rFonts w:hint="eastAsia"/>
        </w:rPr>
        <w:t>GB/T 2423.</w:t>
      </w:r>
      <w:r>
        <w:rPr>
          <w:rFonts w:hint="eastAsia"/>
          <w:lang w:val="en-US" w:eastAsia="zh-CN"/>
        </w:rPr>
        <w:t>4</w:t>
      </w:r>
      <w:r>
        <w:rPr>
          <w:rFonts w:hint="eastAsia"/>
          <w:lang w:eastAsia="zh-CN"/>
        </w:rPr>
        <w:t>—</w:t>
      </w:r>
      <w:r>
        <w:rPr>
          <w:rFonts w:hint="eastAsia"/>
          <w:lang w:val="en-US" w:eastAsia="zh-CN"/>
        </w:rPr>
        <w:t>2008 规定的方法进行。。</w:t>
      </w:r>
    </w:p>
    <w:p w14:paraId="6BA641C3">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default"/>
          <w:b w:val="0"/>
          <w:bCs w:val="0"/>
          <w:szCs w:val="22"/>
          <w:lang w:val="en-US" w:eastAsia="zh-CN"/>
        </w:rPr>
      </w:pPr>
      <w:r>
        <w:rPr>
          <w:rFonts w:hint="eastAsia"/>
          <w:b w:val="0"/>
          <w:bCs w:val="0"/>
          <w:szCs w:val="22"/>
          <w:lang w:val="en-US" w:eastAsia="zh-CN"/>
        </w:rPr>
        <w:t>5.2  规格试验</w:t>
      </w:r>
    </w:p>
    <w:p w14:paraId="1C03FBDE">
      <w:pPr>
        <w:pStyle w:val="59"/>
        <w:keepNext w:val="0"/>
        <w:keepLines w:val="0"/>
        <w:pageBreakBefore w:val="0"/>
        <w:widowControl/>
        <w:kinsoku/>
        <w:wordWrap/>
        <w:overflowPunct/>
        <w:topLinePunct w:val="0"/>
        <w:bidi w:val="0"/>
        <w:adjustRightInd/>
        <w:snapToGrid/>
        <w:spacing w:line="360" w:lineRule="auto"/>
        <w:ind w:left="0" w:leftChars="0" w:firstLine="420" w:firstLineChars="200"/>
        <w:textAlignment w:val="auto"/>
        <w:rPr>
          <w:rFonts w:hint="eastAsia"/>
          <w:lang w:val="en-US" w:eastAsia="zh-CN"/>
        </w:rPr>
      </w:pPr>
      <w:r>
        <w:rPr>
          <w:rFonts w:hint="eastAsia"/>
          <w:lang w:val="en-US" w:eastAsia="zh-CN"/>
        </w:rPr>
        <w:t>按照 DL/T 1485—2024 中 5.3.4 规定的方法进行。</w:t>
      </w:r>
    </w:p>
    <w:p w14:paraId="44F82A0A">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default"/>
          <w:b w:val="0"/>
          <w:bCs w:val="0"/>
          <w:szCs w:val="22"/>
          <w:lang w:val="en-US" w:eastAsia="zh-CN"/>
        </w:rPr>
      </w:pPr>
      <w:r>
        <w:rPr>
          <w:rFonts w:hint="eastAsia"/>
          <w:b w:val="0"/>
          <w:bCs w:val="0"/>
          <w:szCs w:val="22"/>
          <w:lang w:val="en-US" w:eastAsia="zh-CN"/>
        </w:rPr>
        <w:t>5.3  结构与外观试验</w:t>
      </w:r>
    </w:p>
    <w:p w14:paraId="1A661F7A">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b w:val="0"/>
          <w:bCs w:val="0"/>
          <w:szCs w:val="22"/>
          <w:lang w:val="en-US" w:eastAsia="zh-CN"/>
        </w:rPr>
      </w:pPr>
      <w:r>
        <w:rPr>
          <w:rFonts w:hint="eastAsia"/>
          <w:b w:val="0"/>
          <w:bCs w:val="0"/>
          <w:szCs w:val="22"/>
          <w:lang w:val="en-US" w:eastAsia="zh-CN"/>
        </w:rPr>
        <w:t xml:space="preserve">5.3.1  外壳 </w:t>
      </w:r>
    </w:p>
    <w:p w14:paraId="6E0E4235">
      <w:pPr>
        <w:pStyle w:val="59"/>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hAnsi="宋体" w:cs="宋体"/>
          <w:kern w:val="2"/>
          <w:szCs w:val="21"/>
          <w:lang w:val="en-US" w:eastAsia="zh-CN"/>
        </w:rPr>
      </w:pPr>
      <w:r>
        <w:rPr>
          <w:rFonts w:hint="eastAsia" w:hAnsi="宋体" w:cs="宋体"/>
          <w:kern w:val="2"/>
          <w:szCs w:val="21"/>
          <w:lang w:val="en-US" w:eastAsia="zh-CN"/>
        </w:rPr>
        <w:t>5.3.1.1 目测法检查外壳与标志的完整性。</w:t>
      </w:r>
    </w:p>
    <w:p w14:paraId="0906DDDC">
      <w:pPr>
        <w:pStyle w:val="59"/>
        <w:ind w:left="0" w:leftChars="0" w:firstLine="0" w:firstLineChars="0"/>
        <w:rPr>
          <w:rFonts w:hint="default"/>
          <w:lang w:val="en-US" w:eastAsia="zh-CN"/>
        </w:rPr>
      </w:pPr>
      <w:r>
        <w:rPr>
          <w:rFonts w:hint="eastAsia"/>
          <w:lang w:val="en-US" w:eastAsia="zh-CN"/>
        </w:rPr>
        <w:t>5.3.1.2 通过直径为 2.5mm 的测试棒检查外壳上的空隙是否满足安全防护的要求。</w:t>
      </w:r>
    </w:p>
    <w:p w14:paraId="386D2B36">
      <w:pPr>
        <w:pStyle w:val="108"/>
        <w:numPr>
          <w:ilvl w:val="2"/>
          <w:numId w:val="0"/>
        </w:numPr>
        <w:spacing w:before="120" w:after="120"/>
        <w:rPr>
          <w:rFonts w:hint="eastAsia"/>
          <w:b w:val="0"/>
          <w:bCs w:val="0"/>
          <w:szCs w:val="22"/>
          <w:lang w:val="en-US" w:eastAsia="zh-CN"/>
        </w:rPr>
      </w:pPr>
      <w:r>
        <w:rPr>
          <w:rFonts w:hint="eastAsia"/>
          <w:b w:val="0"/>
          <w:bCs w:val="0"/>
          <w:szCs w:val="22"/>
          <w:lang w:val="en-US" w:eastAsia="zh-CN"/>
        </w:rPr>
        <w:t>5.3.2  铭牌</w:t>
      </w:r>
    </w:p>
    <w:p w14:paraId="34A84D77">
      <w:pPr>
        <w:pStyle w:val="59"/>
        <w:ind w:left="0" w:leftChars="0" w:firstLine="420" w:firstLineChars="200"/>
        <w:rPr>
          <w:rFonts w:hint="eastAsia" w:hAnsi="宋体" w:cs="宋体"/>
          <w:kern w:val="2"/>
          <w:szCs w:val="21"/>
          <w:lang w:val="en-US" w:eastAsia="zh-CN"/>
        </w:rPr>
      </w:pPr>
      <w:r>
        <w:rPr>
          <w:rFonts w:hint="eastAsia" w:hAnsi="宋体" w:cs="宋体"/>
          <w:kern w:val="2"/>
          <w:szCs w:val="21"/>
          <w:lang w:val="en-US" w:eastAsia="zh-CN"/>
        </w:rPr>
        <w:t>目测法。</w:t>
      </w:r>
    </w:p>
    <w:p w14:paraId="7D9496A6">
      <w:pPr>
        <w:pStyle w:val="108"/>
        <w:numPr>
          <w:ilvl w:val="2"/>
          <w:numId w:val="0"/>
        </w:numPr>
        <w:spacing w:before="120" w:after="120"/>
        <w:rPr>
          <w:rFonts w:hint="eastAsia"/>
          <w:b w:val="0"/>
          <w:bCs w:val="0"/>
          <w:szCs w:val="22"/>
          <w:lang w:val="en-US" w:eastAsia="zh-CN"/>
        </w:rPr>
      </w:pPr>
      <w:r>
        <w:rPr>
          <w:rFonts w:hint="eastAsia"/>
          <w:b w:val="0"/>
          <w:bCs w:val="0"/>
          <w:szCs w:val="22"/>
          <w:lang w:val="en-US" w:eastAsia="zh-CN"/>
        </w:rPr>
        <w:t>5.3.3  端子和接口</w:t>
      </w:r>
    </w:p>
    <w:p w14:paraId="0CAC6FF5">
      <w:pPr>
        <w:pStyle w:val="59"/>
        <w:ind w:left="0" w:leftChars="0" w:firstLine="420" w:firstLineChars="200"/>
        <w:rPr>
          <w:rFonts w:hint="eastAsia" w:hAnsi="宋体" w:cs="宋体"/>
          <w:kern w:val="2"/>
          <w:szCs w:val="21"/>
          <w:lang w:val="en-US" w:eastAsia="zh-CN"/>
        </w:rPr>
      </w:pPr>
      <w:r>
        <w:rPr>
          <w:rFonts w:hint="eastAsia" w:hAnsi="宋体" w:cs="宋体"/>
          <w:kern w:val="2"/>
          <w:szCs w:val="21"/>
          <w:lang w:val="en-US" w:eastAsia="zh-CN"/>
        </w:rPr>
        <w:t>目测和手动检查法。</w:t>
      </w:r>
    </w:p>
    <w:p w14:paraId="22A6FC06">
      <w:pPr>
        <w:pStyle w:val="108"/>
        <w:numPr>
          <w:ilvl w:val="2"/>
          <w:numId w:val="0"/>
        </w:numPr>
        <w:spacing w:before="120" w:after="120"/>
        <w:rPr>
          <w:rFonts w:hint="default"/>
          <w:b w:val="0"/>
          <w:bCs w:val="0"/>
          <w:szCs w:val="22"/>
          <w:lang w:val="en-US" w:eastAsia="zh-CN"/>
        </w:rPr>
      </w:pPr>
      <w:r>
        <w:rPr>
          <w:rFonts w:hint="eastAsia"/>
          <w:b w:val="0"/>
          <w:bCs w:val="0"/>
          <w:szCs w:val="22"/>
          <w:lang w:val="en-US" w:eastAsia="zh-CN"/>
        </w:rPr>
        <w:t>5.3.4  信息显示和指示</w:t>
      </w:r>
    </w:p>
    <w:p w14:paraId="5D11B6FC">
      <w:pPr>
        <w:pStyle w:val="59"/>
        <w:ind w:left="0" w:leftChars="0" w:firstLine="420" w:firstLineChars="200"/>
        <w:rPr>
          <w:rFonts w:hint="eastAsia" w:hAnsi="宋体" w:cs="宋体"/>
          <w:kern w:val="2"/>
          <w:szCs w:val="21"/>
          <w:lang w:val="en-US" w:eastAsia="zh-CN"/>
        </w:rPr>
      </w:pPr>
      <w:r>
        <w:rPr>
          <w:rFonts w:hint="eastAsia" w:hAnsi="宋体" w:cs="宋体"/>
          <w:kern w:val="2"/>
          <w:szCs w:val="21"/>
          <w:lang w:val="en-US" w:eastAsia="zh-CN"/>
        </w:rPr>
        <w:t>目测法。</w:t>
      </w:r>
    </w:p>
    <w:p w14:paraId="699A2E57">
      <w:pPr>
        <w:pStyle w:val="108"/>
        <w:numPr>
          <w:ilvl w:val="2"/>
          <w:numId w:val="0"/>
        </w:numPr>
        <w:spacing w:before="120" w:after="120"/>
        <w:rPr>
          <w:rFonts w:hint="default"/>
          <w:b w:val="0"/>
          <w:bCs w:val="0"/>
          <w:szCs w:val="22"/>
          <w:lang w:val="en-US" w:eastAsia="zh-CN"/>
        </w:rPr>
      </w:pPr>
      <w:r>
        <w:rPr>
          <w:rFonts w:hint="eastAsia"/>
          <w:b w:val="0"/>
          <w:bCs w:val="0"/>
          <w:szCs w:val="22"/>
          <w:lang w:val="en-US" w:eastAsia="zh-CN"/>
        </w:rPr>
        <w:t>5.4  功能试验</w:t>
      </w:r>
    </w:p>
    <w:p w14:paraId="6CD83415">
      <w:pPr>
        <w:pStyle w:val="59"/>
        <w:ind w:left="0" w:leftChars="0" w:firstLine="420" w:firstLineChars="200"/>
        <w:rPr>
          <w:rFonts w:hint="eastAsia"/>
          <w:b w:val="0"/>
          <w:bCs w:val="0"/>
          <w:szCs w:val="22"/>
          <w:lang w:val="en-US" w:eastAsia="zh-CN"/>
        </w:rPr>
      </w:pPr>
      <w:r>
        <w:rPr>
          <w:rFonts w:hint="eastAsia"/>
          <w:b w:val="0"/>
          <w:bCs w:val="0"/>
          <w:szCs w:val="22"/>
          <w:lang w:val="en-US" w:eastAsia="zh-CN"/>
        </w:rPr>
        <w:t>目测法。</w:t>
      </w:r>
    </w:p>
    <w:p w14:paraId="20274921">
      <w:pPr>
        <w:pStyle w:val="108"/>
        <w:numPr>
          <w:ilvl w:val="2"/>
          <w:numId w:val="0"/>
        </w:numPr>
        <w:spacing w:before="120" w:after="120"/>
        <w:rPr>
          <w:rFonts w:hint="default"/>
          <w:b w:val="0"/>
          <w:bCs w:val="0"/>
          <w:szCs w:val="22"/>
          <w:lang w:val="en-US" w:eastAsia="zh-CN"/>
        </w:rPr>
      </w:pPr>
      <w:r>
        <w:rPr>
          <w:rFonts w:hint="eastAsia"/>
          <w:b w:val="0"/>
          <w:bCs w:val="0"/>
          <w:szCs w:val="22"/>
          <w:lang w:val="en-US" w:eastAsia="zh-CN"/>
        </w:rPr>
        <w:t>5.5  准确度试验</w:t>
      </w:r>
    </w:p>
    <w:p w14:paraId="7F5E4CE1">
      <w:pPr>
        <w:pStyle w:val="108"/>
        <w:numPr>
          <w:ilvl w:val="2"/>
          <w:numId w:val="0"/>
        </w:numPr>
        <w:spacing w:before="120" w:after="120"/>
        <w:rPr>
          <w:rFonts w:hint="eastAsia"/>
          <w:b w:val="0"/>
          <w:bCs w:val="0"/>
          <w:szCs w:val="22"/>
          <w:lang w:val="en-US" w:eastAsia="zh-CN"/>
        </w:rPr>
      </w:pPr>
      <w:r>
        <w:rPr>
          <w:rFonts w:hint="eastAsia"/>
          <w:b w:val="0"/>
          <w:bCs w:val="0"/>
          <w:szCs w:val="22"/>
          <w:lang w:val="en-US" w:eastAsia="zh-CN"/>
        </w:rPr>
        <w:t>5.5.1  电能计量准确度验证</w:t>
      </w:r>
    </w:p>
    <w:p w14:paraId="61F57609">
      <w:pPr>
        <w:pStyle w:val="59"/>
        <w:ind w:firstLine="420" w:firstLineChars="200"/>
      </w:pPr>
      <w:r>
        <w:rPr>
          <w:rFonts w:hint="eastAsia"/>
        </w:rPr>
        <w:t>按照</w:t>
      </w:r>
      <w:r>
        <w:rPr>
          <w:rFonts w:hint="eastAsia"/>
          <w:lang w:val="en-US" w:eastAsia="zh-CN"/>
        </w:rPr>
        <w:t xml:space="preserve"> </w:t>
      </w:r>
      <w:r>
        <w:rPr>
          <w:rFonts w:hint="eastAsia"/>
        </w:rPr>
        <w:t>GB/T 17215.211—2021</w:t>
      </w:r>
      <w:r>
        <w:rPr>
          <w:rFonts w:hint="eastAsia"/>
          <w:lang w:val="en-US" w:eastAsia="zh-CN"/>
        </w:rPr>
        <w:t xml:space="preserve"> </w:t>
      </w:r>
      <w:r>
        <w:rPr>
          <w:rFonts w:hint="eastAsia"/>
        </w:rPr>
        <w:t>中</w:t>
      </w:r>
      <w:r>
        <w:rPr>
          <w:rFonts w:hint="eastAsia"/>
          <w:lang w:val="en-US" w:eastAsia="zh-CN"/>
        </w:rPr>
        <w:t xml:space="preserve"> </w:t>
      </w:r>
      <w:r>
        <w:rPr>
          <w:rFonts w:hint="eastAsia"/>
        </w:rPr>
        <w:t>7.2</w:t>
      </w:r>
      <w:r>
        <w:rPr>
          <w:rFonts w:hint="eastAsia"/>
          <w:lang w:val="en-US" w:eastAsia="zh-CN"/>
        </w:rPr>
        <w:t xml:space="preserve"> </w:t>
      </w:r>
      <w:r>
        <w:rPr>
          <w:rFonts w:hint="eastAsia"/>
        </w:rPr>
        <w:t>规定的方法进行。</w:t>
      </w:r>
    </w:p>
    <w:p w14:paraId="456D4751">
      <w:pPr>
        <w:pStyle w:val="108"/>
        <w:numPr>
          <w:ilvl w:val="2"/>
          <w:numId w:val="0"/>
        </w:numPr>
        <w:spacing w:before="120" w:after="120"/>
        <w:rPr>
          <w:rFonts w:hint="default"/>
          <w:b w:val="0"/>
          <w:bCs w:val="0"/>
          <w:color w:val="auto"/>
          <w:szCs w:val="22"/>
          <w:lang w:val="en-US" w:eastAsia="zh-CN"/>
        </w:rPr>
      </w:pPr>
      <w:r>
        <w:rPr>
          <w:rFonts w:hint="eastAsia"/>
          <w:b w:val="0"/>
          <w:bCs w:val="0"/>
          <w:color w:val="auto"/>
          <w:szCs w:val="22"/>
          <w:lang w:val="en-US" w:eastAsia="zh-CN"/>
        </w:rPr>
        <w:t>5.5.2  电碳排放量计量准确度验证</w:t>
      </w:r>
    </w:p>
    <w:p w14:paraId="16077812">
      <w:pPr>
        <w:pStyle w:val="108"/>
        <w:numPr>
          <w:ilvl w:val="2"/>
          <w:numId w:val="0"/>
        </w:numPr>
        <w:spacing w:before="120" w:after="120"/>
        <w:rPr>
          <w:rFonts w:hint="eastAsia"/>
          <w:b w:val="0"/>
          <w:bCs w:val="0"/>
          <w:color w:val="auto"/>
          <w:szCs w:val="22"/>
          <w:lang w:val="en-US" w:eastAsia="zh-CN"/>
        </w:rPr>
      </w:pPr>
      <w:r>
        <w:rPr>
          <w:rFonts w:hint="eastAsia"/>
          <w:b w:val="0"/>
          <w:bCs w:val="0"/>
          <w:color w:val="auto"/>
          <w:szCs w:val="22"/>
          <w:lang w:val="en-US" w:eastAsia="zh-CN"/>
        </w:rPr>
        <w:t>5.5.2.1  负载点</w:t>
      </w:r>
    </w:p>
    <w:p w14:paraId="417B8813">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color w:val="auto"/>
        </w:rPr>
      </w:pPr>
      <w:r>
        <w:rPr>
          <w:rFonts w:hint="eastAsia"/>
          <w:color w:val="auto"/>
        </w:rPr>
        <w:t>在参比频率和参比电压下，按照表</w:t>
      </w:r>
      <w:r>
        <w:rPr>
          <w:rFonts w:hint="eastAsia"/>
          <w:color w:val="auto"/>
          <w:lang w:val="en-US" w:eastAsia="zh-CN"/>
        </w:rPr>
        <w:t>1</w:t>
      </w:r>
      <w:r>
        <w:rPr>
          <w:rFonts w:hint="eastAsia"/>
          <w:color w:val="auto"/>
        </w:rPr>
        <w:t>规定的调定负载点。在不同电</w:t>
      </w:r>
      <w:r>
        <w:rPr>
          <w:rFonts w:hint="eastAsia"/>
          <w:color w:val="auto"/>
          <w:lang w:val="en-US" w:eastAsia="zh-CN"/>
        </w:rPr>
        <w:t>力</w:t>
      </w:r>
      <w:r>
        <w:rPr>
          <w:rFonts w:hint="eastAsia"/>
          <w:color w:val="auto"/>
        </w:rPr>
        <w:t>碳</w:t>
      </w:r>
      <w:r>
        <w:rPr>
          <w:rFonts w:hint="eastAsia"/>
          <w:color w:val="auto"/>
          <w:lang w:val="en-US" w:eastAsia="zh-CN"/>
        </w:rPr>
        <w:t>排放</w:t>
      </w:r>
      <w:r>
        <w:rPr>
          <w:rFonts w:hint="eastAsia"/>
          <w:color w:val="auto"/>
        </w:rPr>
        <w:t>因子下，按照负载电流逐次减小的顺序测量示值误差。根据需要， 可以增加电</w:t>
      </w:r>
      <w:r>
        <w:rPr>
          <w:rFonts w:hint="eastAsia"/>
          <w:color w:val="auto"/>
          <w:lang w:val="en-US" w:eastAsia="zh-CN"/>
        </w:rPr>
        <w:t>力</w:t>
      </w:r>
      <w:r>
        <w:rPr>
          <w:rFonts w:hint="eastAsia"/>
          <w:color w:val="auto"/>
        </w:rPr>
        <w:t>碳</w:t>
      </w:r>
      <w:r>
        <w:rPr>
          <w:rFonts w:hint="eastAsia"/>
          <w:color w:val="auto"/>
          <w:lang w:val="en-US" w:eastAsia="zh-CN"/>
        </w:rPr>
        <w:t>排放</w:t>
      </w:r>
      <w:r>
        <w:rPr>
          <w:rFonts w:hint="eastAsia"/>
          <w:color w:val="auto"/>
        </w:rPr>
        <w:t>因子测量点。</w:t>
      </w:r>
    </w:p>
    <w:p w14:paraId="6C2A94C8">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color w:val="auto"/>
        </w:rPr>
      </w:pPr>
      <w:r>
        <w:rPr>
          <w:rFonts w:hint="eastAsia"/>
          <w:color w:val="auto"/>
        </w:rPr>
        <w:t>若电碳表适用于多个标称电压， 应采用实际使用的标称电压， 如不确定的应测量每一个可能用到的标称电压。</w:t>
      </w:r>
    </w:p>
    <w:p w14:paraId="4891263E">
      <w:pPr>
        <w:widowControl/>
        <w:numPr>
          <w:ilvl w:val="0"/>
          <w:numId w:val="0"/>
        </w:numPr>
        <w:tabs>
          <w:tab w:val="left" w:pos="360"/>
        </w:tabs>
        <w:adjustRightInd/>
        <w:spacing w:before="156" w:beforeLines="50" w:after="156" w:afterLines="50" w:line="240" w:lineRule="auto"/>
        <w:ind w:leftChars="0"/>
        <w:jc w:val="center"/>
        <w:rPr>
          <w:rFonts w:hint="eastAsia" w:ascii="宋体" w:hAnsi="宋体" w:eastAsia="黑体" w:cs="Times New Roman"/>
          <w:color w:val="auto"/>
          <w:kern w:val="0"/>
          <w:sz w:val="21"/>
          <w:szCs w:val="21"/>
          <w:highlight w:val="none"/>
          <w:lang w:val="en-US" w:eastAsia="zh-CN" w:bidi="ar-SA"/>
        </w:rPr>
      </w:pPr>
      <w:r>
        <w:rPr>
          <w:rFonts w:hint="eastAsia" w:ascii="宋体" w:hAnsi="宋体" w:eastAsia="黑体" w:cs="Times New Roman"/>
          <w:color w:val="auto"/>
          <w:kern w:val="0"/>
          <w:sz w:val="21"/>
          <w:szCs w:val="21"/>
          <w:highlight w:val="none"/>
          <w:lang w:val="en-US" w:eastAsia="zh-CN" w:bidi="ar-SA"/>
        </w:rPr>
        <w:t>表1 电碳表在电碳排放量误差试验应调定的负载点</w:t>
      </w:r>
    </w:p>
    <w:tbl>
      <w:tblPr>
        <w:tblStyle w:val="2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2784"/>
        <w:gridCol w:w="2126"/>
        <w:gridCol w:w="2368"/>
      </w:tblGrid>
      <w:tr w14:paraId="01D2E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843" w:type="dxa"/>
          </w:tcPr>
          <w:p w14:paraId="398BF683">
            <w:pPr>
              <w:pStyle w:val="243"/>
              <w:spacing w:before="136" w:line="243" w:lineRule="exact"/>
              <w:jc w:val="center"/>
              <w:rPr>
                <w:rFonts w:eastAsia="宋体"/>
                <w:color w:val="auto"/>
                <w:sz w:val="21"/>
                <w:lang w:eastAsia="zh-CN"/>
              </w:rPr>
            </w:pPr>
            <w:r>
              <w:rPr>
                <w:rFonts w:hint="eastAsia" w:eastAsia="宋体"/>
                <w:color w:val="auto"/>
                <w:sz w:val="21"/>
                <w:lang w:eastAsia="zh-CN"/>
              </w:rPr>
              <w:t>负载条件</w:t>
            </w:r>
          </w:p>
        </w:tc>
        <w:tc>
          <w:tcPr>
            <w:tcW w:w="2784" w:type="dxa"/>
          </w:tcPr>
          <w:p w14:paraId="1AC4C844">
            <w:pPr>
              <w:pStyle w:val="243"/>
              <w:spacing w:before="136" w:line="243" w:lineRule="exact"/>
              <w:ind w:left="160" w:right="158"/>
              <w:jc w:val="center"/>
              <w:rPr>
                <w:rFonts w:eastAsia="宋体"/>
                <w:color w:val="auto"/>
                <w:sz w:val="21"/>
                <w:lang w:eastAsia="zh-CN"/>
              </w:rPr>
            </w:pPr>
            <w:r>
              <w:rPr>
                <w:rFonts w:hint="eastAsia" w:eastAsia="宋体"/>
                <w:color w:val="auto"/>
                <w:sz w:val="21"/>
                <w:lang w:eastAsia="zh-CN"/>
              </w:rPr>
              <w:t>电</w:t>
            </w:r>
            <w:r>
              <w:rPr>
                <w:rFonts w:hint="eastAsia"/>
                <w:color w:val="auto"/>
                <w:sz w:val="21"/>
                <w:lang w:val="en-US" w:eastAsia="zh-CN"/>
              </w:rPr>
              <w:t>力</w:t>
            </w:r>
            <w:r>
              <w:rPr>
                <w:rFonts w:hint="eastAsia" w:eastAsia="宋体"/>
                <w:color w:val="auto"/>
                <w:sz w:val="21"/>
                <w:lang w:eastAsia="zh-CN"/>
              </w:rPr>
              <w:t>碳</w:t>
            </w:r>
            <w:r>
              <w:rPr>
                <w:rFonts w:hint="eastAsia"/>
                <w:color w:val="auto"/>
                <w:sz w:val="21"/>
                <w:lang w:val="en-US" w:eastAsia="zh-CN"/>
              </w:rPr>
              <w:t>排放</w:t>
            </w:r>
            <w:r>
              <w:rPr>
                <w:rFonts w:hint="eastAsia" w:eastAsia="宋体"/>
                <w:color w:val="auto"/>
                <w:sz w:val="21"/>
                <w:lang w:eastAsia="zh-CN"/>
              </w:rPr>
              <w:t>因子</w:t>
            </w:r>
          </w:p>
        </w:tc>
        <w:tc>
          <w:tcPr>
            <w:tcW w:w="2126" w:type="dxa"/>
          </w:tcPr>
          <w:p w14:paraId="24D4D6A4">
            <w:pPr>
              <w:pStyle w:val="243"/>
              <w:spacing w:before="136" w:line="243" w:lineRule="exact"/>
              <w:ind w:right="345"/>
              <w:jc w:val="center"/>
              <w:rPr>
                <w:rFonts w:eastAsia="宋体"/>
                <w:color w:val="auto"/>
                <w:sz w:val="21"/>
                <w:lang w:eastAsia="zh-CN"/>
              </w:rPr>
            </w:pPr>
            <w:r>
              <w:rPr>
                <w:rFonts w:hint="eastAsia" w:eastAsia="宋体"/>
                <w:color w:val="auto"/>
                <w:sz w:val="21"/>
                <w:lang w:eastAsia="zh-CN"/>
              </w:rPr>
              <w:t>功率因数</w:t>
            </w:r>
          </w:p>
        </w:tc>
        <w:tc>
          <w:tcPr>
            <w:tcW w:w="2368" w:type="dxa"/>
          </w:tcPr>
          <w:p w14:paraId="0C396E50">
            <w:pPr>
              <w:pStyle w:val="243"/>
              <w:spacing w:before="141" w:line="238" w:lineRule="exact"/>
              <w:jc w:val="center"/>
              <w:rPr>
                <w:rFonts w:eastAsia="宋体"/>
                <w:color w:val="auto"/>
                <w:sz w:val="21"/>
                <w:lang w:eastAsia="zh-CN"/>
              </w:rPr>
            </w:pPr>
            <w:r>
              <w:rPr>
                <w:rFonts w:hint="eastAsia" w:eastAsia="宋体"/>
                <w:color w:val="auto"/>
                <w:sz w:val="21"/>
                <w:lang w:eastAsia="zh-CN"/>
              </w:rPr>
              <w:t>负载电流</w:t>
            </w:r>
          </w:p>
        </w:tc>
      </w:tr>
      <w:tr w14:paraId="02A12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843" w:type="dxa"/>
            <w:vAlign w:val="center"/>
          </w:tcPr>
          <w:p w14:paraId="03841CDB">
            <w:pPr>
              <w:pStyle w:val="243"/>
              <w:spacing w:before="8" w:line="404" w:lineRule="exact"/>
              <w:ind w:right="361"/>
              <w:jc w:val="center"/>
              <w:rPr>
                <w:rFonts w:eastAsia="宋体"/>
                <w:color w:val="auto"/>
                <w:sz w:val="21"/>
                <w:lang w:eastAsia="zh-CN"/>
              </w:rPr>
            </w:pPr>
            <w:r>
              <w:rPr>
                <w:rFonts w:hint="eastAsia" w:eastAsia="宋体"/>
                <w:color w:val="auto"/>
                <w:sz w:val="21"/>
                <w:lang w:eastAsia="zh-CN"/>
              </w:rPr>
              <w:t>平衡负载，</w:t>
            </w:r>
          </w:p>
          <w:p w14:paraId="38102F38">
            <w:pPr>
              <w:pStyle w:val="243"/>
              <w:spacing w:before="8" w:line="404" w:lineRule="exact"/>
              <w:ind w:right="361"/>
              <w:jc w:val="center"/>
              <w:rPr>
                <w:rFonts w:eastAsia="宋体"/>
                <w:color w:val="auto"/>
                <w:sz w:val="21"/>
                <w:lang w:eastAsia="zh-CN"/>
              </w:rPr>
            </w:pPr>
            <w:r>
              <w:rPr>
                <w:rFonts w:hint="eastAsia" w:eastAsia="宋体"/>
                <w:color w:val="auto"/>
                <w:sz w:val="21"/>
                <w:lang w:eastAsia="zh-CN"/>
              </w:rPr>
              <w:t>不平衡负载</w:t>
            </w:r>
          </w:p>
        </w:tc>
        <w:tc>
          <w:tcPr>
            <w:tcW w:w="2784" w:type="dxa"/>
          </w:tcPr>
          <w:p w14:paraId="52600FD6">
            <w:pPr>
              <w:pStyle w:val="243"/>
              <w:spacing w:before="137"/>
              <w:ind w:right="158"/>
              <w:jc w:val="center"/>
              <w:rPr>
                <w:rFonts w:eastAsia="宋体"/>
                <w:color w:val="auto"/>
                <w:sz w:val="21"/>
                <w:lang w:eastAsia="zh-CN"/>
              </w:rPr>
            </w:pPr>
            <w:r>
              <w:rPr>
                <w:rFonts w:hint="eastAsia" w:eastAsia="宋体"/>
                <w:color w:val="auto"/>
                <w:sz w:val="21"/>
                <w:lang w:eastAsia="zh-CN"/>
              </w:rPr>
              <w:t>0.1</w:t>
            </w:r>
            <w:r>
              <w:rPr>
                <w:rFonts w:eastAsia="宋体"/>
                <w:color w:val="auto"/>
                <w:sz w:val="21"/>
                <w:lang w:eastAsia="zh-CN"/>
              </w:rPr>
              <w:t xml:space="preserve">, </w:t>
            </w:r>
            <w:r>
              <w:rPr>
                <w:rFonts w:hint="eastAsia" w:eastAsia="宋体"/>
                <w:color w:val="auto"/>
                <w:sz w:val="21"/>
                <w:lang w:eastAsia="zh-CN"/>
              </w:rPr>
              <w:t>0.2</w:t>
            </w:r>
            <w:r>
              <w:rPr>
                <w:rFonts w:eastAsia="宋体"/>
                <w:color w:val="auto"/>
                <w:sz w:val="21"/>
                <w:lang w:eastAsia="zh-CN"/>
              </w:rPr>
              <w:t xml:space="preserve">, </w:t>
            </w:r>
            <w:r>
              <w:rPr>
                <w:rFonts w:hint="eastAsia" w:eastAsia="宋体"/>
                <w:color w:val="auto"/>
                <w:sz w:val="21"/>
                <w:lang w:eastAsia="zh-CN"/>
              </w:rPr>
              <w:t>0.5</w:t>
            </w:r>
            <w:r>
              <w:rPr>
                <w:rFonts w:eastAsia="宋体"/>
                <w:color w:val="auto"/>
                <w:sz w:val="21"/>
                <w:lang w:eastAsia="zh-CN"/>
              </w:rPr>
              <w:t xml:space="preserve"> , </w:t>
            </w:r>
            <w:r>
              <w:rPr>
                <w:rFonts w:hint="eastAsia" w:eastAsia="宋体"/>
                <w:color w:val="auto"/>
                <w:sz w:val="21"/>
                <w:lang w:eastAsia="zh-CN"/>
              </w:rPr>
              <w:t>1.0</w:t>
            </w:r>
          </w:p>
        </w:tc>
        <w:tc>
          <w:tcPr>
            <w:tcW w:w="2126" w:type="dxa"/>
          </w:tcPr>
          <w:p w14:paraId="7F09B5C6">
            <w:pPr>
              <w:pStyle w:val="243"/>
              <w:spacing w:before="147"/>
              <w:ind w:right="345"/>
              <w:jc w:val="center"/>
              <w:rPr>
                <w:rFonts w:eastAsia="宋体"/>
                <w:color w:val="auto"/>
                <w:sz w:val="21"/>
                <w:lang w:eastAsia="zh-CN"/>
              </w:rPr>
            </w:pPr>
            <w:r>
              <w:rPr>
                <w:rFonts w:eastAsia="宋体"/>
                <w:color w:val="auto"/>
                <w:sz w:val="21"/>
                <w:lang w:eastAsia="zh-CN"/>
              </w:rPr>
              <w:t>1. 0. 5L, 0. 8C</w:t>
            </w:r>
          </w:p>
        </w:tc>
        <w:tc>
          <w:tcPr>
            <w:tcW w:w="2368" w:type="dxa"/>
          </w:tcPr>
          <w:p w14:paraId="0D96E778">
            <w:pPr>
              <w:pStyle w:val="243"/>
              <w:spacing w:before="151"/>
              <w:jc w:val="center"/>
              <w:rPr>
                <w:rFonts w:eastAsia="宋体"/>
                <w:color w:val="auto"/>
                <w:sz w:val="21"/>
                <w:lang w:eastAsia="zh-CN"/>
              </w:rPr>
            </w:pPr>
            <w:r>
              <w:rPr>
                <w:rFonts w:hint="eastAsia" w:eastAsia="宋体"/>
                <w:i/>
                <w:color w:val="auto"/>
                <w:sz w:val="21"/>
                <w:lang w:eastAsia="zh-CN"/>
              </w:rPr>
              <w:t>I</w:t>
            </w:r>
            <w:r>
              <w:rPr>
                <w:rFonts w:hint="eastAsia" w:eastAsia="宋体"/>
                <w:color w:val="auto"/>
                <w:sz w:val="21"/>
                <w:lang w:eastAsia="zh-CN"/>
              </w:rPr>
              <w:t>max</w:t>
            </w:r>
            <w:r>
              <w:rPr>
                <w:rFonts w:eastAsia="宋体"/>
                <w:color w:val="auto"/>
                <w:sz w:val="21"/>
                <w:lang w:eastAsia="zh-CN"/>
              </w:rPr>
              <w:t xml:space="preserve"> ,</w:t>
            </w:r>
            <w:r>
              <w:rPr>
                <w:rFonts w:hint="eastAsia" w:eastAsia="宋体"/>
                <w:color w:val="auto"/>
                <w:sz w:val="21"/>
                <w:lang w:eastAsia="zh-CN"/>
              </w:rPr>
              <w:t xml:space="preserve">（ </w:t>
            </w:r>
            <w:r>
              <w:rPr>
                <w:rFonts w:eastAsia="宋体"/>
                <w:color w:val="auto"/>
                <w:sz w:val="21"/>
                <w:lang w:eastAsia="zh-CN"/>
              </w:rPr>
              <w:t>0. 5</w:t>
            </w:r>
            <w:r>
              <w:rPr>
                <w:rFonts w:hint="eastAsia" w:eastAsia="宋体"/>
                <w:i/>
                <w:color w:val="auto"/>
                <w:sz w:val="21"/>
                <w:lang w:eastAsia="zh-CN"/>
              </w:rPr>
              <w:t>I</w:t>
            </w:r>
            <w:r>
              <w:rPr>
                <w:rFonts w:hint="eastAsia" w:eastAsia="宋体"/>
                <w:color w:val="auto"/>
                <w:sz w:val="21"/>
                <w:lang w:eastAsia="zh-CN"/>
              </w:rPr>
              <w:t>max</w:t>
            </w:r>
            <w:r>
              <w:rPr>
                <w:rFonts w:eastAsia="宋体"/>
                <w:color w:val="auto"/>
                <w:sz w:val="21"/>
                <w:lang w:eastAsia="zh-CN"/>
              </w:rPr>
              <w:t xml:space="preserve"> ) ,</w:t>
            </w:r>
          </w:p>
          <w:p w14:paraId="1DBBA1F1">
            <w:pPr>
              <w:pStyle w:val="243"/>
              <w:spacing w:line="175" w:lineRule="exact"/>
              <w:ind w:firstLine="105" w:firstLineChars="50"/>
              <w:jc w:val="center"/>
              <w:rPr>
                <w:rFonts w:eastAsia="宋体"/>
                <w:color w:val="auto"/>
                <w:sz w:val="21"/>
                <w:lang w:eastAsia="zh-CN"/>
              </w:rPr>
            </w:pPr>
            <w:r>
              <w:rPr>
                <w:rFonts w:hint="eastAsia" w:eastAsia="宋体"/>
                <w:color w:val="auto"/>
                <w:sz w:val="21"/>
                <w:lang w:eastAsia="zh-CN"/>
              </w:rPr>
              <w:t>10</w:t>
            </w:r>
            <w:r>
              <w:rPr>
                <w:rFonts w:eastAsia="宋体"/>
                <w:i/>
                <w:color w:val="auto"/>
                <w:sz w:val="21"/>
                <w:lang w:eastAsia="zh-CN"/>
              </w:rPr>
              <w:t>I</w:t>
            </w:r>
            <w:r>
              <w:rPr>
                <w:rFonts w:hint="eastAsia" w:eastAsia="宋体"/>
                <w:color w:val="auto"/>
                <w:sz w:val="21"/>
                <w:lang w:eastAsia="zh-CN"/>
              </w:rPr>
              <w:t xml:space="preserve">tr， </w:t>
            </w:r>
            <w:r>
              <w:rPr>
                <w:rFonts w:eastAsia="宋体"/>
                <w:i/>
                <w:color w:val="auto"/>
                <w:sz w:val="21"/>
                <w:lang w:eastAsia="zh-CN"/>
              </w:rPr>
              <w:t>I</w:t>
            </w:r>
            <w:r>
              <w:rPr>
                <w:rFonts w:hint="eastAsia" w:eastAsia="宋体"/>
                <w:color w:val="auto"/>
                <w:sz w:val="21"/>
                <w:lang w:eastAsia="zh-CN"/>
              </w:rPr>
              <w:t>tr,</w:t>
            </w:r>
            <w:r>
              <w:rPr>
                <w:rFonts w:eastAsia="宋体"/>
                <w:color w:val="auto"/>
                <w:sz w:val="21"/>
                <w:lang w:eastAsia="zh-CN"/>
              </w:rPr>
              <w:t xml:space="preserve">   </w:t>
            </w:r>
            <w:r>
              <w:rPr>
                <w:rFonts w:hint="eastAsia" w:eastAsia="宋体"/>
                <w:i/>
                <w:color w:val="auto"/>
                <w:sz w:val="21"/>
                <w:lang w:eastAsia="zh-CN"/>
              </w:rPr>
              <w:t>I</w:t>
            </w:r>
            <w:r>
              <w:rPr>
                <w:rFonts w:hint="eastAsia" w:eastAsia="宋体"/>
                <w:color w:val="auto"/>
                <w:sz w:val="21"/>
                <w:lang w:eastAsia="zh-CN"/>
              </w:rPr>
              <w:t>min</w:t>
            </w:r>
          </w:p>
        </w:tc>
      </w:tr>
    </w:tbl>
    <w:p w14:paraId="33B58ECA">
      <w:pPr>
        <w:pStyle w:val="59"/>
        <w:ind w:firstLine="420"/>
        <w:rPr>
          <w:color w:val="auto"/>
        </w:rPr>
      </w:pPr>
    </w:p>
    <w:p w14:paraId="0D6659B4">
      <w:pPr>
        <w:pStyle w:val="108"/>
        <w:numPr>
          <w:ilvl w:val="2"/>
          <w:numId w:val="0"/>
        </w:numPr>
        <w:spacing w:before="120" w:after="120"/>
        <w:rPr>
          <w:rFonts w:hint="eastAsia"/>
          <w:b w:val="0"/>
          <w:bCs w:val="0"/>
          <w:color w:val="auto"/>
          <w:szCs w:val="22"/>
          <w:lang w:val="en-US" w:eastAsia="zh-CN"/>
        </w:rPr>
      </w:pPr>
      <w:r>
        <w:rPr>
          <w:rFonts w:hint="eastAsia"/>
          <w:b w:val="0"/>
          <w:bCs w:val="0"/>
          <w:color w:val="auto"/>
          <w:szCs w:val="22"/>
          <w:lang w:val="en-US" w:eastAsia="zh-CN"/>
        </w:rPr>
        <w:t>5.5.2.2  固定电力碳排放因子法</w:t>
      </w:r>
    </w:p>
    <w:p w14:paraId="742495C0">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color w:val="auto"/>
        </w:rPr>
      </w:pPr>
      <w:r>
        <w:rPr>
          <w:rFonts w:hint="eastAsia"/>
          <w:color w:val="auto"/>
        </w:rPr>
        <w:t>校准装置的标准电碳表在与</w:t>
      </w:r>
      <w:r>
        <w:rPr>
          <w:rFonts w:hint="eastAsia"/>
          <w:color w:val="auto"/>
          <w:lang w:val="en-US" w:eastAsia="zh-CN"/>
        </w:rPr>
        <w:t>被测</w:t>
      </w:r>
      <w:r>
        <w:rPr>
          <w:rFonts w:hint="eastAsia"/>
          <w:color w:val="auto"/>
        </w:rPr>
        <w:t>电碳表都在连续工作的情况下，用</w:t>
      </w:r>
      <w:r>
        <w:rPr>
          <w:rFonts w:hint="eastAsia"/>
          <w:color w:val="auto"/>
          <w:lang w:val="en-US" w:eastAsia="zh-CN"/>
        </w:rPr>
        <w:t>被测</w:t>
      </w:r>
      <w:r>
        <w:rPr>
          <w:rFonts w:hint="eastAsia"/>
          <w:color w:val="auto"/>
        </w:rPr>
        <w:t>电碳表输出的脉冲控制标准电碳表计数来确定</w:t>
      </w:r>
      <w:r>
        <w:rPr>
          <w:rFonts w:hint="eastAsia"/>
          <w:color w:val="auto"/>
          <w:lang w:val="en-US" w:eastAsia="zh-CN"/>
        </w:rPr>
        <w:t>被测</w:t>
      </w:r>
      <w:r>
        <w:rPr>
          <w:rFonts w:hint="eastAsia"/>
          <w:color w:val="auto"/>
        </w:rPr>
        <w:t>电碳表的误差。</w:t>
      </w:r>
      <w:r>
        <w:rPr>
          <w:rFonts w:hint="eastAsia"/>
          <w:color w:val="auto"/>
          <w:lang w:val="en-US" w:eastAsia="zh-CN"/>
        </w:rPr>
        <w:t>选择</w:t>
      </w:r>
      <w:r>
        <w:rPr>
          <w:rFonts w:hint="eastAsia"/>
          <w:color w:val="auto"/>
        </w:rPr>
        <w:t>固定电</w:t>
      </w:r>
      <w:r>
        <w:rPr>
          <w:rFonts w:hint="eastAsia"/>
          <w:color w:val="auto"/>
          <w:lang w:val="en-US" w:eastAsia="zh-CN"/>
        </w:rPr>
        <w:t>力</w:t>
      </w:r>
      <w:r>
        <w:rPr>
          <w:rFonts w:hint="eastAsia"/>
          <w:color w:val="auto"/>
        </w:rPr>
        <w:t>碳</w:t>
      </w:r>
      <w:r>
        <w:rPr>
          <w:rFonts w:hint="eastAsia"/>
          <w:color w:val="auto"/>
          <w:lang w:val="en-US" w:eastAsia="zh-CN"/>
        </w:rPr>
        <w:t>排放</w:t>
      </w:r>
      <w:r>
        <w:rPr>
          <w:rFonts w:hint="eastAsia"/>
          <w:color w:val="auto"/>
        </w:rPr>
        <w:t>因子值</w:t>
      </w:r>
      <w:r>
        <w:rPr>
          <w:rFonts w:hint="eastAsia"/>
          <w:color w:val="auto"/>
          <w:lang w:eastAsia="zh-CN"/>
        </w:rPr>
        <w:t>、</w:t>
      </w:r>
      <w:r>
        <w:rPr>
          <w:rFonts w:hint="eastAsia"/>
          <w:color w:val="auto"/>
        </w:rPr>
        <w:t>设定每个负载点电流值每2分钟变化1次，直至所有负载点测量完毕，得到</w:t>
      </w:r>
      <w:r>
        <w:rPr>
          <w:rFonts w:hint="eastAsia"/>
          <w:color w:val="auto"/>
          <w:lang w:val="en-US" w:eastAsia="zh-CN"/>
        </w:rPr>
        <w:t>电</w:t>
      </w:r>
      <w:r>
        <w:rPr>
          <w:rFonts w:hint="eastAsia"/>
          <w:color w:val="auto"/>
        </w:rPr>
        <w:t>碳排放量的误差。</w:t>
      </w:r>
    </w:p>
    <w:p w14:paraId="0ED05A42">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color w:val="auto"/>
        </w:rPr>
      </w:pPr>
      <w:r>
        <w:rPr>
          <w:rFonts w:hint="eastAsia"/>
          <w:color w:val="auto"/>
        </w:rPr>
        <w:t>被测电碳表的相对误差按照式（2）计算。</w:t>
      </w:r>
    </w:p>
    <w:p w14:paraId="6361C9C9">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color w:val="auto"/>
        </w:rPr>
      </w:pPr>
    </w:p>
    <w:p w14:paraId="0994B306">
      <w:pPr>
        <w:pStyle w:val="59"/>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color w:val="auto"/>
        </w:rPr>
      </w:pPr>
      <m:oMath>
        <m:r>
          <m:rPr/>
          <w:rPr>
            <w:rFonts w:ascii="Cambria Math" w:hAnsi="Cambria Math"/>
            <w:color w:val="auto"/>
            <w:szCs w:val="22"/>
          </w:rPr>
          <m:t>ε</m:t>
        </m:r>
        <m:r>
          <m:rPr>
            <m:sty m:val="p"/>
          </m:rPr>
          <w:rPr>
            <w:rFonts w:ascii="Cambria Math" w:hAnsi="Cambria Math"/>
            <w:color w:val="auto"/>
            <w:szCs w:val="22"/>
          </w:rPr>
          <m:t>=</m:t>
        </m:r>
        <m:f>
          <m:fPr>
            <m:ctrlPr>
              <w:rPr>
                <w:rFonts w:ascii="Cambria Math" w:hAnsi="Cambria Math"/>
                <w:i/>
                <w:color w:val="auto"/>
                <w:szCs w:val="22"/>
              </w:rPr>
            </m:ctrlPr>
          </m:fPr>
          <m:num>
            <m:r>
              <m:rPr/>
              <w:rPr>
                <w:rFonts w:ascii="Cambria Math" w:hAnsi="Cambria Math"/>
                <w:color w:val="auto"/>
                <w:szCs w:val="22"/>
              </w:rPr>
              <m:t>C−</m:t>
            </m:r>
            <m:sSub>
              <m:sSubPr>
                <m:ctrlPr>
                  <w:rPr>
                    <w:rFonts w:ascii="Cambria Math" w:hAnsi="Cambria Math"/>
                    <w:i/>
                    <w:color w:val="auto"/>
                    <w:szCs w:val="22"/>
                  </w:rPr>
                </m:ctrlPr>
              </m:sSubPr>
              <m:e>
                <m:r>
                  <m:rPr/>
                  <w:rPr>
                    <w:rFonts w:ascii="Cambria Math" w:hAnsi="Cambria Math"/>
                    <w:color w:val="auto"/>
                    <w:szCs w:val="22"/>
                  </w:rPr>
                  <m:t>C</m:t>
                </m:r>
                <m:ctrlPr>
                  <w:rPr>
                    <w:rFonts w:ascii="Cambria Math" w:hAnsi="Cambria Math"/>
                    <w:i/>
                    <w:color w:val="auto"/>
                    <w:szCs w:val="22"/>
                  </w:rPr>
                </m:ctrlPr>
              </m:e>
              <m:sub>
                <m:r>
                  <m:rPr/>
                  <w:rPr>
                    <w:rFonts w:ascii="Cambria Math" w:hAnsi="Cambria Math"/>
                    <w:color w:val="auto"/>
                    <w:szCs w:val="22"/>
                  </w:rPr>
                  <m:t>0</m:t>
                </m:r>
                <m:ctrlPr>
                  <w:rPr>
                    <w:rFonts w:ascii="Cambria Math" w:hAnsi="Cambria Math"/>
                    <w:i/>
                    <w:color w:val="auto"/>
                    <w:szCs w:val="22"/>
                  </w:rPr>
                </m:ctrlPr>
              </m:sub>
            </m:sSub>
            <m:ctrlPr>
              <w:rPr>
                <w:rFonts w:ascii="Cambria Math" w:hAnsi="Cambria Math"/>
                <w:i/>
                <w:color w:val="auto"/>
                <w:szCs w:val="22"/>
              </w:rPr>
            </m:ctrlPr>
          </m:num>
          <m:den>
            <m:sSub>
              <m:sSubPr>
                <m:ctrlPr>
                  <w:rPr>
                    <w:rFonts w:ascii="Cambria Math" w:hAnsi="Cambria Math"/>
                    <w:i/>
                    <w:color w:val="auto"/>
                    <w:szCs w:val="22"/>
                  </w:rPr>
                </m:ctrlPr>
              </m:sSubPr>
              <m:e>
                <m:r>
                  <m:rPr/>
                  <w:rPr>
                    <w:rFonts w:ascii="Cambria Math" w:hAnsi="Cambria Math"/>
                    <w:color w:val="auto"/>
                    <w:szCs w:val="22"/>
                  </w:rPr>
                  <m:t>C</m:t>
                </m:r>
                <m:ctrlPr>
                  <w:rPr>
                    <w:rFonts w:ascii="Cambria Math" w:hAnsi="Cambria Math"/>
                    <w:i/>
                    <w:color w:val="auto"/>
                    <w:szCs w:val="22"/>
                  </w:rPr>
                </m:ctrlPr>
              </m:e>
              <m:sub>
                <m:r>
                  <m:rPr/>
                  <w:rPr>
                    <w:rFonts w:ascii="Cambria Math" w:hAnsi="Cambria Math"/>
                    <w:color w:val="auto"/>
                    <w:szCs w:val="22"/>
                  </w:rPr>
                  <m:t>0</m:t>
                </m:r>
                <m:ctrlPr>
                  <w:rPr>
                    <w:rFonts w:ascii="Cambria Math" w:hAnsi="Cambria Math"/>
                    <w:i/>
                    <w:color w:val="auto"/>
                    <w:szCs w:val="22"/>
                  </w:rPr>
                </m:ctrlPr>
              </m:sub>
            </m:sSub>
            <m:ctrlPr>
              <w:rPr>
                <w:rFonts w:ascii="Cambria Math" w:hAnsi="Cambria Math"/>
                <w:i/>
                <w:color w:val="auto"/>
                <w:szCs w:val="22"/>
              </w:rPr>
            </m:ctrlPr>
          </m:den>
        </m:f>
        <m:r>
          <m:rPr>
            <m:sty m:val="p"/>
          </m:rPr>
          <w:rPr>
            <w:rFonts w:ascii="Cambria Math" w:hAnsi="Cambria Math"/>
            <w:color w:val="auto"/>
            <w:szCs w:val="22"/>
          </w:rPr>
          <m:t>×100%</m:t>
        </m:r>
      </m:oMath>
      <w:r>
        <w:rPr>
          <w:rFonts w:hint="eastAsia"/>
          <w:color w:val="auto"/>
          <w:szCs w:val="22"/>
        </w:rPr>
        <w:t xml:space="preserve"> .........................................（2）</w:t>
      </w:r>
    </w:p>
    <w:p w14:paraId="4A7F7F30">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color w:val="auto"/>
        </w:rPr>
      </w:pPr>
      <w:r>
        <w:rPr>
          <w:rFonts w:hint="eastAsia"/>
          <w:color w:val="auto"/>
        </w:rPr>
        <w:t>式中：</w:t>
      </w:r>
    </w:p>
    <w:p w14:paraId="4E7226A3">
      <w:pPr>
        <w:pStyle w:val="59"/>
        <w:keepNext w:val="0"/>
        <w:keepLines w:val="0"/>
        <w:pageBreakBefore w:val="0"/>
        <w:widowControl/>
        <w:kinsoku/>
        <w:wordWrap/>
        <w:overflowPunct/>
        <w:topLinePunct w:val="0"/>
        <w:autoSpaceDE w:val="0"/>
        <w:autoSpaceDN w:val="0"/>
        <w:bidi w:val="0"/>
        <w:adjustRightInd/>
        <w:snapToGrid/>
        <w:spacing w:line="360" w:lineRule="auto"/>
        <w:ind w:firstLine="409" w:firstLineChars="195"/>
        <w:textAlignment w:val="auto"/>
        <w:rPr>
          <w:color w:val="auto"/>
        </w:rPr>
      </w:pPr>
      <w:r>
        <w:rPr>
          <w:rFonts w:hint="eastAsia"/>
          <w:i/>
          <w:color w:val="auto"/>
        </w:rPr>
        <w:t>ε</w:t>
      </w:r>
      <w:r>
        <w:rPr>
          <w:rFonts w:hint="eastAsia"/>
          <w:color w:val="auto"/>
        </w:rPr>
        <w:t>——示值误差；</w:t>
      </w:r>
    </w:p>
    <w:p w14:paraId="0AAEABA5">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color w:val="auto"/>
        </w:rPr>
      </w:pPr>
      <w:r>
        <w:rPr>
          <w:rFonts w:hint="eastAsia"/>
          <w:i/>
          <w:color w:val="auto"/>
        </w:rPr>
        <w:t xml:space="preserve">C </w:t>
      </w:r>
      <w:r>
        <w:rPr>
          <w:rFonts w:hint="eastAsia"/>
          <w:color w:val="auto"/>
        </w:rPr>
        <w:t>——</w:t>
      </w:r>
      <w:r>
        <w:rPr>
          <w:rFonts w:hint="eastAsia"/>
          <w:color w:val="auto"/>
          <w:lang w:val="en-US" w:eastAsia="zh-CN"/>
        </w:rPr>
        <w:t>被测</w:t>
      </w:r>
      <w:r>
        <w:rPr>
          <w:rFonts w:hint="eastAsia"/>
          <w:color w:val="auto"/>
        </w:rPr>
        <w:t>电碳表显示的电碳排放量，</w:t>
      </w:r>
      <w:r>
        <w:rPr>
          <w:rFonts w:hint="eastAsia"/>
          <w:color w:val="auto"/>
          <w:lang w:val="en-US" w:eastAsia="zh-CN"/>
        </w:rPr>
        <w:t>单位为</w:t>
      </w:r>
      <w:r>
        <w:rPr>
          <w:rFonts w:hint="eastAsia"/>
          <w:color w:val="auto"/>
        </w:rPr>
        <w:t>kgCO2；</w:t>
      </w:r>
    </w:p>
    <w:p w14:paraId="3A1299C0">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color w:val="auto"/>
        </w:rPr>
      </w:pPr>
      <w:r>
        <w:rPr>
          <w:rFonts w:hint="eastAsia"/>
          <w:i/>
          <w:color w:val="auto"/>
        </w:rPr>
        <w:t>C</w:t>
      </w:r>
      <w:r>
        <w:rPr>
          <w:rFonts w:hint="eastAsia"/>
          <w:i/>
          <w:color w:val="auto"/>
          <w:vertAlign w:val="subscript"/>
        </w:rPr>
        <w:t>0</w:t>
      </w:r>
      <w:r>
        <w:rPr>
          <w:rFonts w:hint="eastAsia"/>
          <w:color w:val="auto"/>
        </w:rPr>
        <w:t>——标准电碳表显示的电碳排放量</w:t>
      </w:r>
      <w:r>
        <w:rPr>
          <w:rFonts w:hint="eastAsia"/>
          <w:color w:val="auto"/>
          <w:lang w:eastAsia="zh-CN"/>
        </w:rPr>
        <w:t>，</w:t>
      </w:r>
      <w:r>
        <w:rPr>
          <w:rFonts w:hint="eastAsia"/>
          <w:color w:val="auto"/>
          <w:lang w:val="en-US" w:eastAsia="zh-CN"/>
        </w:rPr>
        <w:t>单位为</w:t>
      </w:r>
      <w:r>
        <w:rPr>
          <w:rFonts w:hint="eastAsia"/>
          <w:color w:val="auto"/>
        </w:rPr>
        <w:t>kgCO2。</w:t>
      </w:r>
    </w:p>
    <w:p w14:paraId="7584FAC6">
      <w:pPr>
        <w:pStyle w:val="59"/>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color w:val="auto"/>
        </w:rPr>
      </w:pPr>
    </w:p>
    <w:p w14:paraId="517D1F95">
      <w:pPr>
        <w:pStyle w:val="59"/>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color w:val="auto"/>
        </w:rPr>
      </w:pPr>
      <w:r>
        <w:rPr>
          <w:rFonts w:hint="eastAsia"/>
          <w:color w:val="auto"/>
        </w:rPr>
        <w:t>此时</w:t>
      </w:r>
    </w:p>
    <w:p w14:paraId="0B2E19CE">
      <w:pPr>
        <w:pStyle w:val="59"/>
        <w:keepNext w:val="0"/>
        <w:keepLines w:val="0"/>
        <w:pageBreakBefore w:val="0"/>
        <w:widowControl/>
        <w:kinsoku/>
        <w:wordWrap/>
        <w:overflowPunct/>
        <w:topLinePunct w:val="0"/>
        <w:autoSpaceDE w:val="0"/>
        <w:autoSpaceDN w:val="0"/>
        <w:bidi w:val="0"/>
        <w:adjustRightInd/>
        <w:snapToGrid/>
        <w:spacing w:line="360" w:lineRule="auto"/>
        <w:ind w:firstLine="1575" w:firstLineChars="750"/>
        <w:textAlignment w:val="auto"/>
        <w:rPr>
          <w:color w:val="auto"/>
          <w:sz w:val="24"/>
          <w:szCs w:val="24"/>
        </w:rPr>
      </w:pPr>
      <w:r>
        <w:rPr>
          <w:rFonts w:hint="eastAsia"/>
          <w:i/>
          <w:color w:val="auto"/>
          <w:szCs w:val="21"/>
        </w:rPr>
        <w:t>C</w:t>
      </w:r>
      <w:r>
        <w:rPr>
          <w:rFonts w:hint="eastAsia"/>
          <w:color w:val="auto"/>
        </w:rPr>
        <w:t xml:space="preserve"> </w:t>
      </w:r>
      <m:oMath>
        <m:r>
          <m:rPr>
            <m:sty m:val="p"/>
          </m:rPr>
          <w:rPr>
            <w:rFonts w:ascii="Cambria Math" w:hAnsi="Cambria Math"/>
            <w:color w:val="auto"/>
            <w:sz w:val="28"/>
            <w:szCs w:val="28"/>
          </w:rPr>
          <m:t xml:space="preserve">= </m:t>
        </m:r>
        <m:f>
          <m:fPr>
            <m:ctrlPr>
              <w:rPr>
                <w:rFonts w:ascii="Cambria Math" w:hAnsi="Cambria Math"/>
                <w:i/>
                <w:color w:val="auto"/>
                <w:sz w:val="28"/>
                <w:szCs w:val="28"/>
              </w:rPr>
            </m:ctrlPr>
          </m:fPr>
          <m:num>
            <m:r>
              <m:rPr/>
              <w:rPr>
                <w:rFonts w:ascii="Cambria Math" w:hAnsi="Cambria Math"/>
                <w:color w:val="auto"/>
                <w:sz w:val="28"/>
                <w:szCs w:val="28"/>
              </w:rPr>
              <m:t>2δ</m:t>
            </m:r>
            <m:nary>
              <m:naryPr>
                <m:chr m:val="∑"/>
                <m:ctrlPr>
                  <w:rPr>
                    <w:rFonts w:ascii="Cambria Math" w:hAnsi="Cambria Math"/>
                    <w:i/>
                    <w:color w:val="auto"/>
                    <w:sz w:val="28"/>
                    <w:szCs w:val="28"/>
                  </w:rPr>
                </m:ctrlPr>
              </m:naryPr>
              <m:sub>
                <m:r>
                  <m:rPr/>
                  <w:rPr>
                    <w:rFonts w:ascii="Cambria Math" w:hAnsi="Cambria Math"/>
                    <w:color w:val="auto"/>
                    <w:sz w:val="28"/>
                    <w:szCs w:val="28"/>
                  </w:rPr>
                  <m:t>i=1</m:t>
                </m:r>
                <m:ctrlPr>
                  <w:rPr>
                    <w:rFonts w:ascii="Cambria Math" w:hAnsi="Cambria Math"/>
                    <w:i/>
                    <w:color w:val="auto"/>
                    <w:sz w:val="28"/>
                    <w:szCs w:val="28"/>
                  </w:rPr>
                </m:ctrlPr>
              </m:sub>
              <m:sup>
                <m:r>
                  <m:rPr/>
                  <w:rPr>
                    <w:rFonts w:ascii="Cambria Math" w:hAnsi="Cambria Math"/>
                    <w:color w:val="auto"/>
                    <w:sz w:val="28"/>
                    <w:szCs w:val="28"/>
                  </w:rPr>
                  <m:t>n</m:t>
                </m:r>
                <m:ctrlPr>
                  <w:rPr>
                    <w:rFonts w:ascii="Cambria Math" w:hAnsi="Cambria Math"/>
                    <w:i/>
                    <w:color w:val="auto"/>
                    <w:sz w:val="28"/>
                    <w:szCs w:val="28"/>
                  </w:rPr>
                </m:ctrlPr>
              </m:sup>
              <m:e>
                <m:r>
                  <m:rPr/>
                  <w:rPr>
                    <w:rFonts w:ascii="Cambria Math" w:hAnsi="Cambria Math"/>
                    <w:color w:val="auto"/>
                    <w:sz w:val="28"/>
                    <w:szCs w:val="28"/>
                  </w:rPr>
                  <m:t>Pi</m:t>
                </m:r>
                <m:ctrlPr>
                  <w:rPr>
                    <w:rFonts w:ascii="Cambria Math" w:hAnsi="Cambria Math"/>
                    <w:i/>
                    <w:color w:val="auto"/>
                    <w:sz w:val="28"/>
                    <w:szCs w:val="28"/>
                  </w:rPr>
                </m:ctrlPr>
              </m:e>
            </m:nary>
            <m:ctrlPr>
              <w:rPr>
                <w:rFonts w:ascii="Cambria Math" w:hAnsi="Cambria Math"/>
                <w:i/>
                <w:color w:val="auto"/>
                <w:sz w:val="28"/>
                <w:szCs w:val="28"/>
              </w:rPr>
            </m:ctrlPr>
          </m:num>
          <m:den>
            <m:r>
              <m:rPr/>
              <w:rPr>
                <w:rFonts w:ascii="Cambria Math" w:hAnsi="Cambria Math"/>
                <w:color w:val="auto"/>
                <w:sz w:val="28"/>
                <w:szCs w:val="28"/>
              </w:rPr>
              <m:t>60</m:t>
            </m:r>
            <m:ctrlPr>
              <w:rPr>
                <w:rFonts w:ascii="Cambria Math" w:hAnsi="Cambria Math"/>
                <w:i/>
                <w:color w:val="auto"/>
                <w:sz w:val="28"/>
                <w:szCs w:val="28"/>
              </w:rPr>
            </m:ctrlPr>
          </m:den>
        </m:f>
        <m:r>
          <m:rPr>
            <m:sty m:val="p"/>
          </m:rPr>
          <w:rPr>
            <w:rFonts w:ascii="Cambria Math" w:hAnsi="Cambria Math"/>
            <w:color w:val="auto"/>
            <w:sz w:val="28"/>
            <w:szCs w:val="28"/>
          </w:rPr>
          <m:t xml:space="preserve">   </m:t>
        </m:r>
        <m:r>
          <m:rPr>
            <m:sty m:val="p"/>
          </m:rPr>
          <w:rPr>
            <w:rFonts w:hint="eastAsia" w:ascii="Cambria Math" w:hAnsi="Cambria Math"/>
            <w:color w:val="auto"/>
            <w:sz w:val="28"/>
            <w:szCs w:val="28"/>
          </w:rPr>
          <m:t>...............................................</m:t>
        </m:r>
        <m:r>
          <m:rPr>
            <m:sty m:val="p"/>
          </m:rPr>
          <w:rPr>
            <w:rFonts w:hint="eastAsia" w:ascii="Cambria Math" w:hAnsi="Cambria Math"/>
            <w:color w:val="auto"/>
            <w:szCs w:val="22"/>
          </w:rPr>
          <m:t>（</m:t>
        </m:r>
        <m:r>
          <m:rPr>
            <m:sty m:val="p"/>
          </m:rPr>
          <w:rPr>
            <w:rFonts w:ascii="Cambria Math" w:hAnsi="Cambria Math"/>
            <w:color w:val="auto"/>
            <w:szCs w:val="22"/>
          </w:rPr>
          <m:t>3</m:t>
        </m:r>
        <m:r>
          <m:rPr>
            <m:sty m:val="p"/>
          </m:rPr>
          <w:rPr>
            <w:rFonts w:hint="eastAsia" w:ascii="Cambria Math" w:hAnsi="Cambria Math"/>
            <w:color w:val="auto"/>
            <w:szCs w:val="22"/>
          </w:rPr>
          <m:t>）</m:t>
        </m:r>
      </m:oMath>
    </w:p>
    <w:p w14:paraId="1804CEAF">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color w:val="auto"/>
        </w:rPr>
      </w:pPr>
      <w:r>
        <w:rPr>
          <w:rFonts w:hint="eastAsia"/>
          <w:color w:val="auto"/>
        </w:rPr>
        <w:t>式中：</w:t>
      </w:r>
    </w:p>
    <w:p w14:paraId="27918E96">
      <w:pPr>
        <w:pStyle w:val="59"/>
        <w:keepNext w:val="0"/>
        <w:keepLines w:val="0"/>
        <w:pageBreakBefore w:val="0"/>
        <w:widowControl/>
        <w:kinsoku/>
        <w:wordWrap/>
        <w:overflowPunct/>
        <w:topLinePunct w:val="0"/>
        <w:autoSpaceDE w:val="0"/>
        <w:autoSpaceDN w:val="0"/>
        <w:bidi w:val="0"/>
        <w:adjustRightInd/>
        <w:snapToGrid/>
        <w:spacing w:line="360" w:lineRule="auto"/>
        <w:ind w:firstLine="525" w:firstLineChars="250"/>
        <w:textAlignment w:val="auto"/>
        <w:rPr>
          <w:color w:val="auto"/>
        </w:rPr>
      </w:pPr>
      <w:r>
        <w:rPr>
          <w:rFonts w:hint="eastAsia"/>
          <w:color w:val="auto"/>
        </w:rPr>
        <w:t>δ—— 电</w:t>
      </w:r>
      <w:r>
        <w:rPr>
          <w:rFonts w:hint="eastAsia"/>
          <w:color w:val="auto"/>
          <w:lang w:val="en-US" w:eastAsia="zh-CN"/>
        </w:rPr>
        <w:t>力</w:t>
      </w:r>
      <w:r>
        <w:rPr>
          <w:rFonts w:hint="eastAsia"/>
          <w:color w:val="auto"/>
        </w:rPr>
        <w:t>碳</w:t>
      </w:r>
      <w:r>
        <w:rPr>
          <w:rFonts w:hint="eastAsia"/>
          <w:color w:val="auto"/>
          <w:lang w:val="en-US" w:eastAsia="zh-CN"/>
        </w:rPr>
        <w:t>排放</w:t>
      </w:r>
      <w:r>
        <w:rPr>
          <w:rFonts w:hint="eastAsia"/>
          <w:color w:val="auto"/>
        </w:rPr>
        <w:t>因子值，</w:t>
      </w:r>
      <w:r>
        <w:rPr>
          <w:rFonts w:hint="eastAsia"/>
          <w:color w:val="auto"/>
          <w:lang w:val="en-US" w:eastAsia="zh-CN"/>
        </w:rPr>
        <w:t>单位为</w:t>
      </w:r>
      <w:r>
        <w:rPr>
          <w:rFonts w:hint="eastAsia"/>
          <w:color w:val="auto"/>
        </w:rPr>
        <w:t>kgCO2/kWh；</w:t>
      </w:r>
    </w:p>
    <w:p w14:paraId="60DD4C10">
      <w:pPr>
        <w:pStyle w:val="59"/>
        <w:keepNext w:val="0"/>
        <w:keepLines w:val="0"/>
        <w:pageBreakBefore w:val="0"/>
        <w:widowControl/>
        <w:kinsoku/>
        <w:wordWrap/>
        <w:overflowPunct/>
        <w:topLinePunct w:val="0"/>
        <w:autoSpaceDE w:val="0"/>
        <w:autoSpaceDN w:val="0"/>
        <w:bidi w:val="0"/>
        <w:adjustRightInd/>
        <w:snapToGrid/>
        <w:spacing w:line="360" w:lineRule="auto"/>
        <w:ind w:firstLine="525" w:firstLineChars="250"/>
        <w:textAlignment w:val="auto"/>
        <w:rPr>
          <w:color w:val="auto"/>
        </w:rPr>
      </w:pPr>
      <w:r>
        <w:rPr>
          <w:rFonts w:hint="eastAsia"/>
          <w:color w:val="auto"/>
        </w:rPr>
        <w:t>P</w:t>
      </w:r>
      <w:r>
        <w:rPr>
          <w:rFonts w:hint="eastAsia"/>
          <w:color w:val="auto"/>
          <w:vertAlign w:val="subscript"/>
        </w:rPr>
        <w:t>i</w:t>
      </w:r>
      <w:r>
        <w:rPr>
          <w:rFonts w:hint="eastAsia"/>
          <w:color w:val="auto"/>
        </w:rPr>
        <w:t xml:space="preserve">—— </w:t>
      </w:r>
      <w:r>
        <w:rPr>
          <w:rFonts w:hint="eastAsia"/>
          <w:color w:val="auto"/>
          <w:lang w:val="en-US" w:eastAsia="zh-CN"/>
        </w:rPr>
        <w:t>被测</w:t>
      </w:r>
      <w:r>
        <w:rPr>
          <w:rFonts w:hint="eastAsia"/>
          <w:color w:val="auto"/>
        </w:rPr>
        <w:t>电碳表在第i时刻的功率，</w:t>
      </w:r>
      <w:r>
        <w:rPr>
          <w:rFonts w:hint="eastAsia"/>
          <w:color w:val="auto"/>
          <w:lang w:val="en-US" w:eastAsia="zh-CN"/>
        </w:rPr>
        <w:t>单位为</w:t>
      </w:r>
      <w:r>
        <w:rPr>
          <w:rFonts w:hint="eastAsia"/>
          <w:color w:val="auto"/>
        </w:rPr>
        <w:t>kW。</w:t>
      </w:r>
    </w:p>
    <w:p w14:paraId="2B6F14FD">
      <w:pPr>
        <w:pStyle w:val="59"/>
        <w:ind w:firstLine="0" w:firstLineChars="0"/>
        <w:rPr>
          <w:color w:val="auto"/>
        </w:rPr>
      </w:pPr>
    </w:p>
    <w:p w14:paraId="741ACAAF">
      <w:pPr>
        <w:pStyle w:val="108"/>
        <w:numPr>
          <w:ilvl w:val="2"/>
          <w:numId w:val="0"/>
        </w:numPr>
        <w:spacing w:before="120" w:after="120"/>
        <w:rPr>
          <w:rFonts w:hint="eastAsia"/>
          <w:b w:val="0"/>
          <w:bCs w:val="0"/>
          <w:color w:val="auto"/>
          <w:szCs w:val="22"/>
          <w:lang w:val="en-US" w:eastAsia="zh-CN"/>
        </w:rPr>
      </w:pPr>
      <w:r>
        <w:rPr>
          <w:rFonts w:hint="eastAsia"/>
          <w:b w:val="0"/>
          <w:bCs w:val="0"/>
          <w:color w:val="auto"/>
          <w:szCs w:val="22"/>
          <w:lang w:val="en-US" w:eastAsia="zh-CN"/>
        </w:rPr>
        <w:t>5.5.2.3  动态电力碳排放因子法</w:t>
      </w:r>
    </w:p>
    <w:p w14:paraId="14599199">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color w:val="auto"/>
        </w:rPr>
      </w:pPr>
      <w:r>
        <w:rPr>
          <w:rFonts w:hint="eastAsia"/>
          <w:color w:val="auto"/>
        </w:rPr>
        <w:t>在动态电</w:t>
      </w:r>
      <w:r>
        <w:rPr>
          <w:rFonts w:hint="eastAsia"/>
          <w:color w:val="auto"/>
          <w:lang w:val="en-US" w:eastAsia="zh-CN"/>
        </w:rPr>
        <w:t>力</w:t>
      </w:r>
      <w:r>
        <w:rPr>
          <w:rFonts w:hint="eastAsia"/>
          <w:color w:val="auto"/>
        </w:rPr>
        <w:t>碳</w:t>
      </w:r>
      <w:r>
        <w:rPr>
          <w:rFonts w:hint="eastAsia"/>
          <w:color w:val="auto"/>
          <w:lang w:val="en-US" w:eastAsia="zh-CN"/>
        </w:rPr>
        <w:t>排放</w:t>
      </w:r>
      <w:r>
        <w:rPr>
          <w:rFonts w:hint="eastAsia"/>
          <w:color w:val="auto"/>
        </w:rPr>
        <w:t>因子值的情况下，电流值保待不变，</w:t>
      </w:r>
      <w:r>
        <w:rPr>
          <w:rFonts w:hint="eastAsia"/>
          <w:color w:val="auto"/>
          <w:lang w:val="en-US" w:eastAsia="zh-CN"/>
        </w:rPr>
        <w:t>选择</w:t>
      </w:r>
      <w:r>
        <w:rPr>
          <w:rFonts w:hint="eastAsia"/>
          <w:color w:val="auto"/>
        </w:rPr>
        <w:t>每个电</w:t>
      </w:r>
      <w:r>
        <w:rPr>
          <w:rFonts w:hint="eastAsia"/>
          <w:color w:val="auto"/>
          <w:lang w:val="en-US" w:eastAsia="zh-CN"/>
        </w:rPr>
        <w:t>力</w:t>
      </w:r>
      <w:r>
        <w:rPr>
          <w:rFonts w:hint="eastAsia"/>
          <w:color w:val="auto"/>
        </w:rPr>
        <w:t>碳</w:t>
      </w:r>
      <w:r>
        <w:rPr>
          <w:rFonts w:hint="eastAsia"/>
          <w:color w:val="auto"/>
          <w:lang w:val="en-US" w:eastAsia="zh-CN"/>
        </w:rPr>
        <w:t>排放</w:t>
      </w:r>
      <w:r>
        <w:rPr>
          <w:rFonts w:hint="eastAsia"/>
          <w:color w:val="auto"/>
        </w:rPr>
        <w:t>因子值</w:t>
      </w:r>
      <w:r>
        <w:rPr>
          <w:rFonts w:hint="eastAsia"/>
          <w:color w:val="auto"/>
          <w:lang w:eastAsia="zh-CN"/>
        </w:rPr>
        <w:t>、</w:t>
      </w:r>
      <w:r>
        <w:rPr>
          <w:rFonts w:hint="eastAsia"/>
          <w:color w:val="auto"/>
        </w:rPr>
        <w:t>每个调定负载点运行2分钟，直至所有电</w:t>
      </w:r>
      <w:r>
        <w:rPr>
          <w:rFonts w:hint="eastAsia"/>
          <w:color w:val="auto"/>
          <w:lang w:val="en-US" w:eastAsia="zh-CN"/>
        </w:rPr>
        <w:t>力</w:t>
      </w:r>
      <w:r>
        <w:rPr>
          <w:rFonts w:hint="eastAsia"/>
          <w:color w:val="auto"/>
        </w:rPr>
        <w:t>碳</w:t>
      </w:r>
      <w:r>
        <w:rPr>
          <w:rFonts w:hint="eastAsia"/>
          <w:color w:val="auto"/>
          <w:lang w:val="en-US" w:eastAsia="zh-CN"/>
        </w:rPr>
        <w:t>排放</w:t>
      </w:r>
      <w:r>
        <w:rPr>
          <w:rFonts w:hint="eastAsia"/>
          <w:color w:val="auto"/>
        </w:rPr>
        <w:t>因子值测量完毕，得到</w:t>
      </w:r>
      <w:r>
        <w:rPr>
          <w:rFonts w:hint="eastAsia"/>
          <w:color w:val="auto"/>
          <w:lang w:val="en-US" w:eastAsia="zh-CN"/>
        </w:rPr>
        <w:t>电</w:t>
      </w:r>
      <w:r>
        <w:rPr>
          <w:rFonts w:hint="eastAsia"/>
          <w:color w:val="auto"/>
        </w:rPr>
        <w:t>碳排放量的误差。</w:t>
      </w:r>
    </w:p>
    <w:p w14:paraId="06C581EC">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color w:val="auto"/>
        </w:rPr>
      </w:pPr>
      <w:r>
        <w:rPr>
          <w:rFonts w:hint="eastAsia"/>
          <w:color w:val="auto"/>
          <w:lang w:val="en-US" w:eastAsia="zh-CN"/>
        </w:rPr>
        <w:t>被测</w:t>
      </w:r>
      <w:r>
        <w:rPr>
          <w:rFonts w:hint="eastAsia"/>
          <w:color w:val="auto"/>
        </w:rPr>
        <w:t>电碳表的</w:t>
      </w:r>
      <w:r>
        <w:rPr>
          <w:rFonts w:hint="eastAsia"/>
          <w:color w:val="auto"/>
          <w:lang w:val="en-US" w:eastAsia="zh-CN"/>
        </w:rPr>
        <w:t>电</w:t>
      </w:r>
      <w:r>
        <w:rPr>
          <w:rFonts w:hint="eastAsia"/>
          <w:color w:val="auto"/>
        </w:rPr>
        <w:t>碳排放量示值误差按公式（4）计算。</w:t>
      </w:r>
    </w:p>
    <w:p w14:paraId="7158ADF5">
      <w:pPr>
        <w:pStyle w:val="59"/>
        <w:keepNext w:val="0"/>
        <w:keepLines w:val="0"/>
        <w:pageBreakBefore w:val="0"/>
        <w:widowControl/>
        <w:kinsoku/>
        <w:wordWrap/>
        <w:overflowPunct/>
        <w:topLinePunct w:val="0"/>
        <w:bidi w:val="0"/>
        <w:adjustRightInd/>
        <w:snapToGrid/>
        <w:spacing w:line="360" w:lineRule="auto"/>
        <w:ind w:firstLine="1575" w:firstLineChars="750"/>
        <w:textAlignment w:val="auto"/>
        <w:rPr>
          <w:color w:val="auto"/>
          <w:sz w:val="24"/>
          <w:szCs w:val="24"/>
        </w:rPr>
      </w:pPr>
      <w:r>
        <w:rPr>
          <w:rFonts w:hint="eastAsia"/>
          <w:i/>
          <w:color w:val="auto"/>
          <w:szCs w:val="21"/>
        </w:rPr>
        <w:t>C</w:t>
      </w:r>
      <w:r>
        <w:rPr>
          <w:rFonts w:hint="eastAsia"/>
          <w:color w:val="auto"/>
        </w:rPr>
        <w:t xml:space="preserve"> </w:t>
      </w:r>
      <m:oMath>
        <m:r>
          <m:rPr>
            <m:sty m:val="p"/>
          </m:rPr>
          <w:rPr>
            <w:rFonts w:ascii="Cambria Math" w:hAnsi="Cambria Math"/>
            <w:color w:val="auto"/>
            <w:sz w:val="28"/>
            <w:szCs w:val="28"/>
          </w:rPr>
          <m:t xml:space="preserve">= </m:t>
        </m:r>
        <m:f>
          <m:fPr>
            <m:ctrlPr>
              <w:rPr>
                <w:rFonts w:ascii="Cambria Math" w:hAnsi="Cambria Math"/>
                <w:i/>
                <w:color w:val="auto"/>
                <w:sz w:val="28"/>
                <w:szCs w:val="28"/>
              </w:rPr>
            </m:ctrlPr>
          </m:fPr>
          <m:num>
            <m:r>
              <m:rPr/>
              <w:rPr>
                <w:rFonts w:ascii="Cambria Math" w:hAnsi="Cambria Math"/>
                <w:color w:val="auto"/>
                <w:sz w:val="28"/>
                <w:szCs w:val="28"/>
              </w:rPr>
              <m:t>2P</m:t>
            </m:r>
            <m:nary>
              <m:naryPr>
                <m:chr m:val="∑"/>
                <m:ctrlPr>
                  <w:rPr>
                    <w:rFonts w:ascii="Cambria Math" w:hAnsi="Cambria Math"/>
                    <w:i/>
                    <w:color w:val="auto"/>
                    <w:sz w:val="28"/>
                    <w:szCs w:val="28"/>
                  </w:rPr>
                </m:ctrlPr>
              </m:naryPr>
              <m:sub>
                <m:r>
                  <m:rPr/>
                  <w:rPr>
                    <w:rFonts w:ascii="Cambria Math" w:hAnsi="Cambria Math"/>
                    <w:color w:val="auto"/>
                    <w:sz w:val="28"/>
                    <w:szCs w:val="28"/>
                  </w:rPr>
                  <m:t>j=1</m:t>
                </m:r>
                <m:ctrlPr>
                  <w:rPr>
                    <w:rFonts w:ascii="Cambria Math" w:hAnsi="Cambria Math"/>
                    <w:i/>
                    <w:color w:val="auto"/>
                    <w:sz w:val="28"/>
                    <w:szCs w:val="28"/>
                  </w:rPr>
                </m:ctrlPr>
              </m:sub>
              <m:sup>
                <m:r>
                  <m:rPr/>
                  <w:rPr>
                    <w:rFonts w:ascii="Cambria Math" w:hAnsi="Cambria Math"/>
                    <w:color w:val="auto"/>
                    <w:sz w:val="28"/>
                    <w:szCs w:val="28"/>
                  </w:rPr>
                  <m:t>n</m:t>
                </m:r>
                <m:ctrlPr>
                  <w:rPr>
                    <w:rFonts w:ascii="Cambria Math" w:hAnsi="Cambria Math"/>
                    <w:i/>
                    <w:color w:val="auto"/>
                    <w:sz w:val="28"/>
                    <w:szCs w:val="28"/>
                  </w:rPr>
                </m:ctrlPr>
              </m:sup>
              <m:e>
                <m:r>
                  <m:rPr/>
                  <w:rPr>
                    <w:rFonts w:hint="eastAsia" w:ascii="Cambria Math" w:hAnsi="Cambria Math"/>
                    <w:color w:val="auto"/>
                    <w:sz w:val="28"/>
                    <w:szCs w:val="28"/>
                  </w:rPr>
                  <m:t>δ</m:t>
                </m:r>
                <m:r>
                  <m:rPr/>
                  <w:rPr>
                    <w:rFonts w:ascii="Cambria Math" w:hAnsi="Cambria Math"/>
                    <w:color w:val="auto"/>
                    <w:sz w:val="28"/>
                    <w:szCs w:val="28"/>
                  </w:rPr>
                  <m:t>j</m:t>
                </m:r>
                <m:ctrlPr>
                  <w:rPr>
                    <w:rFonts w:ascii="Cambria Math" w:hAnsi="Cambria Math"/>
                    <w:i/>
                    <w:color w:val="auto"/>
                    <w:sz w:val="28"/>
                    <w:szCs w:val="28"/>
                  </w:rPr>
                </m:ctrlPr>
              </m:e>
            </m:nary>
            <m:ctrlPr>
              <w:rPr>
                <w:rFonts w:ascii="Cambria Math" w:hAnsi="Cambria Math"/>
                <w:i/>
                <w:color w:val="auto"/>
                <w:sz w:val="28"/>
                <w:szCs w:val="28"/>
              </w:rPr>
            </m:ctrlPr>
          </m:num>
          <m:den>
            <m:r>
              <m:rPr/>
              <w:rPr>
                <w:rFonts w:ascii="Cambria Math" w:hAnsi="Cambria Math"/>
                <w:color w:val="auto"/>
                <w:sz w:val="28"/>
                <w:szCs w:val="28"/>
              </w:rPr>
              <m:t>60</m:t>
            </m:r>
            <m:ctrlPr>
              <w:rPr>
                <w:rFonts w:ascii="Cambria Math" w:hAnsi="Cambria Math"/>
                <w:i/>
                <w:color w:val="auto"/>
                <w:sz w:val="28"/>
                <w:szCs w:val="28"/>
              </w:rPr>
            </m:ctrlPr>
          </m:den>
        </m:f>
        <m:r>
          <m:rPr>
            <m:sty m:val="p"/>
          </m:rPr>
          <w:rPr>
            <w:rFonts w:ascii="Cambria Math" w:hAnsi="Cambria Math"/>
            <w:color w:val="auto"/>
            <w:sz w:val="28"/>
            <w:szCs w:val="28"/>
          </w:rPr>
          <m:t xml:space="preserve">   </m:t>
        </m:r>
        <m:r>
          <m:rPr>
            <m:sty m:val="p"/>
          </m:rPr>
          <w:rPr>
            <w:rFonts w:hint="eastAsia" w:ascii="Cambria Math" w:hAnsi="Cambria Math"/>
            <w:color w:val="auto"/>
            <w:sz w:val="28"/>
            <w:szCs w:val="28"/>
          </w:rPr>
          <m:t>...............................................</m:t>
        </m:r>
        <m:r>
          <m:rPr>
            <m:sty m:val="p"/>
          </m:rPr>
          <w:rPr>
            <w:rFonts w:hint="eastAsia" w:ascii="Cambria Math" w:hAnsi="Cambria Math"/>
            <w:color w:val="auto"/>
            <w:szCs w:val="22"/>
          </w:rPr>
          <m:t>（</m:t>
        </m:r>
        <m:r>
          <m:rPr>
            <m:sty m:val="p"/>
          </m:rPr>
          <w:rPr>
            <w:rFonts w:ascii="Cambria Math" w:hAnsi="Cambria Math"/>
            <w:color w:val="auto"/>
            <w:szCs w:val="22"/>
          </w:rPr>
          <m:t>4</m:t>
        </m:r>
        <m:r>
          <m:rPr>
            <m:sty m:val="p"/>
          </m:rPr>
          <w:rPr>
            <w:rFonts w:hint="eastAsia" w:ascii="Cambria Math" w:hAnsi="Cambria Math"/>
            <w:color w:val="auto"/>
            <w:szCs w:val="22"/>
          </w:rPr>
          <m:t>）</m:t>
        </m:r>
      </m:oMath>
    </w:p>
    <w:p w14:paraId="5BB1E201">
      <w:pPr>
        <w:pStyle w:val="59"/>
        <w:keepNext w:val="0"/>
        <w:keepLines w:val="0"/>
        <w:pageBreakBefore w:val="0"/>
        <w:widowControl/>
        <w:kinsoku/>
        <w:wordWrap/>
        <w:overflowPunct/>
        <w:topLinePunct w:val="0"/>
        <w:bidi w:val="0"/>
        <w:adjustRightInd/>
        <w:snapToGrid/>
        <w:spacing w:line="360" w:lineRule="auto"/>
        <w:ind w:firstLine="420"/>
        <w:textAlignment w:val="auto"/>
        <w:rPr>
          <w:color w:val="auto"/>
        </w:rPr>
      </w:pPr>
      <w:r>
        <w:rPr>
          <w:rFonts w:hint="eastAsia"/>
          <w:color w:val="auto"/>
        </w:rPr>
        <w:t>式中：</w:t>
      </w:r>
    </w:p>
    <w:p w14:paraId="17F4C6D6">
      <w:pPr>
        <w:pStyle w:val="59"/>
        <w:keepNext w:val="0"/>
        <w:keepLines w:val="0"/>
        <w:pageBreakBefore w:val="0"/>
        <w:widowControl/>
        <w:kinsoku/>
        <w:wordWrap/>
        <w:overflowPunct/>
        <w:topLinePunct w:val="0"/>
        <w:bidi w:val="0"/>
        <w:adjustRightInd/>
        <w:snapToGrid/>
        <w:spacing w:line="360" w:lineRule="auto"/>
        <w:ind w:firstLine="420"/>
        <w:textAlignment w:val="auto"/>
        <w:rPr>
          <w:color w:val="auto"/>
        </w:rPr>
      </w:pPr>
      <w:r>
        <w:rPr>
          <w:rFonts w:hint="eastAsia"/>
          <w:i/>
          <w:color w:val="auto"/>
        </w:rPr>
        <w:t>δ</w:t>
      </w:r>
      <w:r>
        <w:rPr>
          <w:rFonts w:hint="eastAsia"/>
          <w:i/>
          <w:color w:val="auto"/>
          <w:vertAlign w:val="subscript"/>
        </w:rPr>
        <w:t>j</w:t>
      </w:r>
      <w:r>
        <w:rPr>
          <w:rFonts w:hint="eastAsia"/>
          <w:color w:val="auto"/>
        </w:rPr>
        <w:t>—— 第j时刻的电</w:t>
      </w:r>
      <w:r>
        <w:rPr>
          <w:rFonts w:hint="eastAsia"/>
          <w:color w:val="auto"/>
          <w:lang w:val="en-US" w:eastAsia="zh-CN"/>
        </w:rPr>
        <w:t>力</w:t>
      </w:r>
      <w:r>
        <w:rPr>
          <w:rFonts w:hint="eastAsia"/>
          <w:color w:val="auto"/>
        </w:rPr>
        <w:t>碳</w:t>
      </w:r>
      <w:r>
        <w:rPr>
          <w:rFonts w:hint="eastAsia"/>
          <w:color w:val="auto"/>
          <w:lang w:val="en-US" w:eastAsia="zh-CN"/>
        </w:rPr>
        <w:t>排放</w:t>
      </w:r>
      <w:r>
        <w:rPr>
          <w:rFonts w:hint="eastAsia"/>
          <w:color w:val="auto"/>
        </w:rPr>
        <w:t>因子</w:t>
      </w:r>
      <w:r>
        <w:rPr>
          <w:rFonts w:hint="eastAsia"/>
          <w:color w:val="auto"/>
          <w:lang w:val="en-US" w:eastAsia="zh-CN"/>
        </w:rPr>
        <w:t>值</w:t>
      </w:r>
      <w:r>
        <w:rPr>
          <w:rFonts w:hint="eastAsia"/>
          <w:color w:val="auto"/>
        </w:rPr>
        <w:t>，</w:t>
      </w:r>
      <w:r>
        <w:rPr>
          <w:rFonts w:hint="eastAsia"/>
          <w:color w:val="auto"/>
          <w:lang w:val="en-US" w:eastAsia="zh-CN"/>
        </w:rPr>
        <w:t>单位为</w:t>
      </w:r>
      <w:r>
        <w:rPr>
          <w:rFonts w:hint="eastAsia"/>
          <w:color w:val="auto"/>
        </w:rPr>
        <w:t>kgCO2/kWh；</w:t>
      </w:r>
    </w:p>
    <w:p w14:paraId="7F59A166">
      <w:pPr>
        <w:pStyle w:val="59"/>
        <w:keepNext w:val="0"/>
        <w:keepLines w:val="0"/>
        <w:pageBreakBefore w:val="0"/>
        <w:widowControl/>
        <w:kinsoku/>
        <w:wordWrap/>
        <w:overflowPunct/>
        <w:topLinePunct w:val="0"/>
        <w:bidi w:val="0"/>
        <w:adjustRightInd/>
        <w:snapToGrid/>
        <w:spacing w:line="360" w:lineRule="auto"/>
        <w:ind w:firstLine="525" w:firstLineChars="250"/>
        <w:textAlignment w:val="auto"/>
        <w:rPr>
          <w:color w:val="auto"/>
        </w:rPr>
      </w:pPr>
      <w:r>
        <w:rPr>
          <w:rFonts w:hint="eastAsia"/>
          <w:i/>
          <w:color w:val="auto"/>
        </w:rPr>
        <w:t xml:space="preserve">P </w:t>
      </w:r>
      <w:r>
        <w:rPr>
          <w:rFonts w:hint="eastAsia"/>
          <w:color w:val="auto"/>
        </w:rPr>
        <w:t xml:space="preserve">—— </w:t>
      </w:r>
      <w:r>
        <w:rPr>
          <w:rFonts w:hint="eastAsia"/>
          <w:color w:val="auto"/>
          <w:lang w:val="en-US" w:eastAsia="zh-CN"/>
        </w:rPr>
        <w:t>被测</w:t>
      </w:r>
      <w:r>
        <w:rPr>
          <w:rFonts w:hint="eastAsia"/>
          <w:color w:val="auto"/>
        </w:rPr>
        <w:t>电碳表的功率，</w:t>
      </w:r>
      <w:r>
        <w:rPr>
          <w:rFonts w:hint="eastAsia"/>
          <w:color w:val="auto"/>
          <w:lang w:val="en-US" w:eastAsia="zh-CN"/>
        </w:rPr>
        <w:t>单位为</w:t>
      </w:r>
      <w:r>
        <w:rPr>
          <w:rFonts w:hint="eastAsia"/>
          <w:color w:val="auto"/>
        </w:rPr>
        <w:t>kW。</w:t>
      </w:r>
    </w:p>
    <w:p w14:paraId="574BB3AE">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default"/>
          <w:b w:val="0"/>
          <w:bCs w:val="0"/>
          <w:color w:val="auto"/>
          <w:szCs w:val="22"/>
          <w:lang w:val="en-US" w:eastAsia="zh-CN"/>
        </w:rPr>
      </w:pPr>
      <w:r>
        <w:rPr>
          <w:rFonts w:hint="eastAsia"/>
          <w:b w:val="0"/>
          <w:bCs w:val="0"/>
          <w:color w:val="auto"/>
          <w:szCs w:val="22"/>
          <w:lang w:val="en-US" w:eastAsia="zh-CN"/>
        </w:rPr>
        <w:t>5.5.2.4  重复性测量试验</w:t>
      </w:r>
    </w:p>
    <w:p w14:paraId="6F875036">
      <w:pPr>
        <w:pStyle w:val="59"/>
        <w:keepNext w:val="0"/>
        <w:keepLines w:val="0"/>
        <w:pageBreakBefore w:val="0"/>
        <w:widowControl/>
        <w:kinsoku/>
        <w:wordWrap/>
        <w:overflowPunct/>
        <w:topLinePunct w:val="0"/>
        <w:bidi w:val="0"/>
        <w:adjustRightInd/>
        <w:snapToGrid/>
        <w:spacing w:line="360" w:lineRule="auto"/>
        <w:ind w:firstLine="420"/>
        <w:textAlignment w:val="auto"/>
        <w:rPr>
          <w:color w:val="auto"/>
        </w:rPr>
      </w:pPr>
      <w:r>
        <w:rPr>
          <w:rFonts w:hint="eastAsia"/>
          <w:color w:val="auto"/>
        </w:rPr>
        <w:t>在测量过程中，每个调定负载点或电</w:t>
      </w:r>
      <w:r>
        <w:rPr>
          <w:rFonts w:hint="eastAsia"/>
          <w:color w:val="auto"/>
          <w:lang w:val="en-US" w:eastAsia="zh-CN"/>
        </w:rPr>
        <w:t>力</w:t>
      </w:r>
      <w:r>
        <w:rPr>
          <w:rFonts w:hint="eastAsia"/>
          <w:color w:val="auto"/>
        </w:rPr>
        <w:t>碳</w:t>
      </w:r>
      <w:r>
        <w:rPr>
          <w:rFonts w:hint="eastAsia"/>
          <w:color w:val="auto"/>
          <w:lang w:val="en-US" w:eastAsia="zh-CN"/>
        </w:rPr>
        <w:t>排放</w:t>
      </w:r>
      <w:r>
        <w:rPr>
          <w:rFonts w:hint="eastAsia"/>
          <w:color w:val="auto"/>
        </w:rPr>
        <w:t>因子值条件下，至少记录2次测试数据， 取其平均值作为示值误差。</w:t>
      </w:r>
    </w:p>
    <w:p w14:paraId="3A95D8C2">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default"/>
          <w:b w:val="0"/>
          <w:bCs w:val="0"/>
          <w:szCs w:val="22"/>
          <w:lang w:val="en-US" w:eastAsia="zh-CN"/>
        </w:rPr>
      </w:pPr>
      <w:r>
        <w:rPr>
          <w:rFonts w:hint="eastAsia"/>
          <w:b w:val="0"/>
          <w:bCs w:val="0"/>
          <w:szCs w:val="22"/>
          <w:lang w:val="en-US" w:eastAsia="zh-CN"/>
        </w:rPr>
        <w:t>5.5.3  计时准确度试验</w:t>
      </w:r>
    </w:p>
    <w:p w14:paraId="254C3EF3">
      <w:pPr>
        <w:pStyle w:val="59"/>
        <w:keepNext w:val="0"/>
        <w:keepLines w:val="0"/>
        <w:pageBreakBefore w:val="0"/>
        <w:widowControl/>
        <w:kinsoku/>
        <w:wordWrap/>
        <w:overflowPunct/>
        <w:topLinePunct w:val="0"/>
        <w:bidi w:val="0"/>
        <w:adjustRightInd/>
        <w:snapToGrid/>
        <w:spacing w:line="360" w:lineRule="auto"/>
        <w:ind w:firstLine="420" w:firstLineChars="200"/>
        <w:textAlignment w:val="auto"/>
      </w:pPr>
      <w:r>
        <w:rPr>
          <w:rFonts w:hint="eastAsia"/>
        </w:rPr>
        <w:t>按照</w:t>
      </w:r>
      <w:r>
        <w:rPr>
          <w:rFonts w:hint="eastAsia"/>
          <w:lang w:val="en-US" w:eastAsia="zh-CN"/>
        </w:rPr>
        <w:t xml:space="preserve"> </w:t>
      </w:r>
      <w:r>
        <w:rPr>
          <w:rFonts w:hint="eastAsia"/>
          <w:szCs w:val="22"/>
        </w:rPr>
        <w:t>DL/T 14</w:t>
      </w:r>
      <w:r>
        <w:rPr>
          <w:rFonts w:hint="eastAsia"/>
          <w:szCs w:val="22"/>
          <w:lang w:val="en-US" w:eastAsia="zh-CN"/>
        </w:rPr>
        <w:t>85—2024</w:t>
      </w:r>
      <w:r>
        <w:rPr>
          <w:rFonts w:hint="eastAsia"/>
          <w:szCs w:val="22"/>
        </w:rPr>
        <w:t xml:space="preserve"> </w:t>
      </w:r>
      <w:r>
        <w:rPr>
          <w:rFonts w:hint="eastAsia"/>
        </w:rPr>
        <w:t>中</w:t>
      </w:r>
      <w:r>
        <w:rPr>
          <w:rFonts w:hint="eastAsia"/>
          <w:lang w:val="en-US" w:eastAsia="zh-CN"/>
        </w:rPr>
        <w:t xml:space="preserve"> 5</w:t>
      </w:r>
      <w:r>
        <w:rPr>
          <w:rFonts w:hint="eastAsia"/>
        </w:rPr>
        <w:t>.2</w:t>
      </w:r>
      <w:r>
        <w:rPr>
          <w:rFonts w:hint="eastAsia"/>
          <w:lang w:val="en-US" w:eastAsia="zh-CN"/>
        </w:rPr>
        <w:t xml:space="preserve">.6 </w:t>
      </w:r>
      <w:r>
        <w:rPr>
          <w:rFonts w:hint="eastAsia"/>
        </w:rPr>
        <w:t>规定的方法进行。</w:t>
      </w:r>
    </w:p>
    <w:p w14:paraId="7A20FAAA">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default"/>
          <w:b w:val="0"/>
          <w:bCs w:val="0"/>
          <w:szCs w:val="22"/>
          <w:lang w:val="en-US" w:eastAsia="zh-CN"/>
        </w:rPr>
      </w:pPr>
      <w:r>
        <w:rPr>
          <w:rFonts w:hint="eastAsia"/>
          <w:b w:val="0"/>
          <w:bCs w:val="0"/>
          <w:szCs w:val="22"/>
          <w:lang w:val="en-US" w:eastAsia="zh-CN"/>
        </w:rPr>
        <w:t>5.6  机械性能试验</w:t>
      </w:r>
    </w:p>
    <w:p w14:paraId="0C2663D4">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default"/>
          <w:b w:val="0"/>
          <w:bCs w:val="0"/>
          <w:szCs w:val="22"/>
          <w:lang w:val="en-US" w:eastAsia="zh-CN"/>
        </w:rPr>
      </w:pPr>
      <w:r>
        <w:rPr>
          <w:rFonts w:hint="eastAsia"/>
          <w:b w:val="0"/>
          <w:bCs w:val="0"/>
          <w:szCs w:val="22"/>
          <w:lang w:val="en-US" w:eastAsia="zh-CN"/>
        </w:rPr>
        <w:t>5.6.1  冲击试验</w:t>
      </w:r>
    </w:p>
    <w:p w14:paraId="6E3BF233">
      <w:pPr>
        <w:pStyle w:val="59"/>
        <w:keepNext w:val="0"/>
        <w:keepLines w:val="0"/>
        <w:pageBreakBefore w:val="0"/>
        <w:widowControl/>
        <w:kinsoku/>
        <w:wordWrap/>
        <w:overflowPunct/>
        <w:topLinePunct w:val="0"/>
        <w:bidi w:val="0"/>
        <w:adjustRightInd/>
        <w:snapToGrid/>
        <w:spacing w:line="360" w:lineRule="auto"/>
        <w:ind w:left="0" w:leftChars="0" w:firstLine="420" w:firstLineChars="200"/>
        <w:textAlignment w:val="auto"/>
        <w:rPr>
          <w:rFonts w:hint="eastAsia" w:hAnsi="宋体" w:eastAsia="宋体" w:cs="宋体"/>
          <w:kern w:val="2"/>
          <w:szCs w:val="21"/>
          <w:lang w:val="en-US" w:eastAsia="zh-CN"/>
        </w:rPr>
      </w:pPr>
      <w:r>
        <w:rPr>
          <w:rFonts w:hint="eastAsia"/>
        </w:rPr>
        <w:t>按照</w:t>
      </w:r>
      <w:r>
        <w:rPr>
          <w:rFonts w:hint="eastAsia"/>
          <w:lang w:val="en-US" w:eastAsia="zh-CN"/>
        </w:rPr>
        <w:t xml:space="preserve"> </w:t>
      </w:r>
      <w:r>
        <w:rPr>
          <w:rFonts w:hint="eastAsia"/>
          <w:szCs w:val="22"/>
        </w:rPr>
        <w:t>DL/T 14</w:t>
      </w:r>
      <w:r>
        <w:rPr>
          <w:rFonts w:hint="eastAsia"/>
          <w:szCs w:val="22"/>
          <w:lang w:val="en-US" w:eastAsia="zh-CN"/>
        </w:rPr>
        <w:t>85—2024</w:t>
      </w:r>
      <w:r>
        <w:rPr>
          <w:rFonts w:hint="eastAsia"/>
          <w:szCs w:val="22"/>
        </w:rPr>
        <w:t xml:space="preserve"> </w:t>
      </w:r>
      <w:r>
        <w:rPr>
          <w:rFonts w:hint="eastAsia"/>
        </w:rPr>
        <w:t>中</w:t>
      </w:r>
      <w:r>
        <w:rPr>
          <w:rFonts w:hint="eastAsia"/>
          <w:lang w:val="en-US" w:eastAsia="zh-CN"/>
        </w:rPr>
        <w:t xml:space="preserve"> 5</w:t>
      </w:r>
      <w:r>
        <w:rPr>
          <w:rFonts w:hint="eastAsia"/>
        </w:rPr>
        <w:t>.</w:t>
      </w:r>
      <w:r>
        <w:rPr>
          <w:rFonts w:hint="eastAsia"/>
          <w:lang w:val="en-US" w:eastAsia="zh-CN"/>
        </w:rPr>
        <w:t xml:space="preserve">5.1 </w:t>
      </w:r>
      <w:r>
        <w:rPr>
          <w:rFonts w:hint="eastAsia"/>
        </w:rPr>
        <w:t>规定</w:t>
      </w:r>
      <w:r>
        <w:rPr>
          <w:rFonts w:hint="eastAsia"/>
          <w:lang w:eastAsia="zh-CN"/>
        </w:rPr>
        <w:t>的</w:t>
      </w:r>
      <w:r>
        <w:rPr>
          <w:rFonts w:hint="eastAsia"/>
          <w:lang w:val="en-US" w:eastAsia="zh-CN"/>
        </w:rPr>
        <w:t>方法</w:t>
      </w:r>
      <w:r>
        <w:rPr>
          <w:rFonts w:hint="eastAsia"/>
        </w:rPr>
        <w:t>进行</w:t>
      </w:r>
      <w:r>
        <w:rPr>
          <w:rFonts w:hint="eastAsia"/>
          <w:lang w:eastAsia="zh-CN"/>
        </w:rPr>
        <w:t>。</w:t>
      </w:r>
    </w:p>
    <w:p w14:paraId="6C9C7C54">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default"/>
          <w:b w:val="0"/>
          <w:bCs w:val="0"/>
          <w:szCs w:val="22"/>
          <w:lang w:val="en-US" w:eastAsia="zh-CN"/>
        </w:rPr>
      </w:pPr>
      <w:r>
        <w:rPr>
          <w:rFonts w:hint="eastAsia"/>
          <w:b w:val="0"/>
          <w:bCs w:val="0"/>
          <w:szCs w:val="22"/>
          <w:lang w:val="en-US" w:eastAsia="zh-CN"/>
        </w:rPr>
        <w:t>5.6.2  振动试验</w:t>
      </w:r>
    </w:p>
    <w:p w14:paraId="1C63BBA3">
      <w:pPr>
        <w:pStyle w:val="59"/>
        <w:keepNext w:val="0"/>
        <w:keepLines w:val="0"/>
        <w:pageBreakBefore w:val="0"/>
        <w:widowControl/>
        <w:kinsoku/>
        <w:wordWrap/>
        <w:overflowPunct/>
        <w:topLinePunct w:val="0"/>
        <w:bidi w:val="0"/>
        <w:adjustRightInd/>
        <w:snapToGrid/>
        <w:spacing w:line="360" w:lineRule="auto"/>
        <w:ind w:left="0" w:leftChars="0" w:firstLine="420" w:firstLineChars="200"/>
        <w:textAlignment w:val="auto"/>
        <w:rPr>
          <w:rFonts w:hint="eastAsia" w:hAnsi="宋体" w:eastAsia="宋体" w:cs="宋体"/>
          <w:kern w:val="2"/>
          <w:szCs w:val="21"/>
          <w:lang w:val="en-US" w:eastAsia="zh-CN"/>
        </w:rPr>
      </w:pPr>
      <w:r>
        <w:rPr>
          <w:rFonts w:hint="eastAsia"/>
        </w:rPr>
        <w:t>按照</w:t>
      </w:r>
      <w:r>
        <w:rPr>
          <w:rFonts w:hint="eastAsia"/>
          <w:lang w:val="en-US" w:eastAsia="zh-CN"/>
        </w:rPr>
        <w:t xml:space="preserve"> </w:t>
      </w:r>
      <w:r>
        <w:rPr>
          <w:rFonts w:hint="eastAsia"/>
          <w:szCs w:val="22"/>
        </w:rPr>
        <w:t>DL/T 14</w:t>
      </w:r>
      <w:r>
        <w:rPr>
          <w:rFonts w:hint="eastAsia"/>
          <w:szCs w:val="22"/>
          <w:lang w:val="en-US" w:eastAsia="zh-CN"/>
        </w:rPr>
        <w:t>85—2024</w:t>
      </w:r>
      <w:r>
        <w:rPr>
          <w:rFonts w:hint="eastAsia"/>
          <w:szCs w:val="22"/>
        </w:rPr>
        <w:t xml:space="preserve"> </w:t>
      </w:r>
      <w:r>
        <w:rPr>
          <w:rFonts w:hint="eastAsia"/>
        </w:rPr>
        <w:t>中</w:t>
      </w:r>
      <w:r>
        <w:rPr>
          <w:rFonts w:hint="eastAsia"/>
          <w:lang w:val="en-US" w:eastAsia="zh-CN"/>
        </w:rPr>
        <w:t xml:space="preserve"> 5</w:t>
      </w:r>
      <w:r>
        <w:rPr>
          <w:rFonts w:hint="eastAsia"/>
        </w:rPr>
        <w:t>.</w:t>
      </w:r>
      <w:r>
        <w:rPr>
          <w:rFonts w:hint="eastAsia"/>
          <w:lang w:val="en-US" w:eastAsia="zh-CN"/>
        </w:rPr>
        <w:t xml:space="preserve">5.2 </w:t>
      </w:r>
      <w:r>
        <w:rPr>
          <w:rFonts w:hint="eastAsia"/>
        </w:rPr>
        <w:t>规定</w:t>
      </w:r>
      <w:r>
        <w:rPr>
          <w:rFonts w:hint="eastAsia"/>
          <w:lang w:eastAsia="zh-CN"/>
        </w:rPr>
        <w:t>的</w:t>
      </w:r>
      <w:r>
        <w:rPr>
          <w:rFonts w:hint="eastAsia"/>
          <w:lang w:val="en-US" w:eastAsia="zh-CN"/>
        </w:rPr>
        <w:t>方法</w:t>
      </w:r>
      <w:r>
        <w:rPr>
          <w:rFonts w:hint="eastAsia"/>
        </w:rPr>
        <w:t>进行</w:t>
      </w:r>
      <w:r>
        <w:rPr>
          <w:rFonts w:hint="eastAsia"/>
          <w:lang w:eastAsia="zh-CN"/>
        </w:rPr>
        <w:t>。</w:t>
      </w:r>
    </w:p>
    <w:p w14:paraId="4B9F52A4">
      <w:pPr>
        <w:pStyle w:val="108"/>
        <w:keepNext w:val="0"/>
        <w:keepLines w:val="0"/>
        <w:pageBreakBefore w:val="0"/>
        <w:widowControl/>
        <w:numPr>
          <w:ilvl w:val="2"/>
          <w:numId w:val="0"/>
        </w:numPr>
        <w:kinsoku/>
        <w:wordWrap/>
        <w:overflowPunct/>
        <w:topLinePunct w:val="0"/>
        <w:bidi w:val="0"/>
        <w:adjustRightInd/>
        <w:snapToGrid/>
        <w:spacing w:before="120" w:after="120" w:line="360" w:lineRule="auto"/>
        <w:textAlignment w:val="auto"/>
        <w:rPr>
          <w:rFonts w:hint="eastAsia"/>
          <w:b w:val="0"/>
          <w:bCs w:val="0"/>
          <w:szCs w:val="22"/>
          <w:lang w:val="en-US" w:eastAsia="zh-CN"/>
        </w:rPr>
      </w:pPr>
      <w:r>
        <w:rPr>
          <w:rFonts w:hint="eastAsia"/>
          <w:b w:val="0"/>
          <w:bCs w:val="0"/>
          <w:szCs w:val="22"/>
          <w:lang w:val="en-US" w:eastAsia="zh-CN"/>
        </w:rPr>
        <w:t>5.6.3  防护等级试验</w:t>
      </w:r>
    </w:p>
    <w:p w14:paraId="41E4DDAB">
      <w:pPr>
        <w:pStyle w:val="59"/>
        <w:keepNext w:val="0"/>
        <w:keepLines w:val="0"/>
        <w:pageBreakBefore w:val="0"/>
        <w:widowControl/>
        <w:kinsoku/>
        <w:wordWrap/>
        <w:overflowPunct/>
        <w:topLinePunct w:val="0"/>
        <w:bidi w:val="0"/>
        <w:adjustRightInd/>
        <w:snapToGrid/>
        <w:spacing w:line="360" w:lineRule="auto"/>
        <w:ind w:firstLine="420"/>
        <w:textAlignment w:val="auto"/>
        <w:rPr>
          <w:rFonts w:hint="eastAsia"/>
        </w:rPr>
      </w:pPr>
      <w:r>
        <w:rPr>
          <w:rFonts w:hint="eastAsia"/>
        </w:rPr>
        <w:t>防护等级试验按照下列要求进行：</w:t>
      </w:r>
    </w:p>
    <w:p w14:paraId="40A264A8">
      <w:pPr>
        <w:pStyle w:val="59"/>
        <w:keepNext w:val="0"/>
        <w:keepLines w:val="0"/>
        <w:pageBreakBefore w:val="0"/>
        <w:widowControl/>
        <w:kinsoku/>
        <w:wordWrap/>
        <w:overflowPunct/>
        <w:topLinePunct w:val="0"/>
        <w:bidi w:val="0"/>
        <w:adjustRightInd/>
        <w:snapToGrid/>
        <w:spacing w:line="360" w:lineRule="auto"/>
        <w:ind w:firstLine="420"/>
        <w:textAlignment w:val="auto"/>
        <w:rPr>
          <w:rFonts w:hint="eastAsia"/>
          <w:lang w:eastAsia="zh-CN"/>
        </w:rPr>
      </w:pPr>
      <w:r>
        <w:rPr>
          <w:rFonts w:hint="eastAsia"/>
          <w:lang w:val="en-US" w:eastAsia="zh-CN"/>
        </w:rPr>
        <w:t>a</w:t>
      </w:r>
      <w:r>
        <w:rPr>
          <w:rFonts w:hint="eastAsia"/>
          <w:lang w:eastAsia="zh-CN"/>
        </w:rPr>
        <w:t>）</w:t>
      </w:r>
      <w:r>
        <w:rPr>
          <w:rFonts w:hint="eastAsia"/>
          <w:lang w:val="en-US" w:eastAsia="zh-CN"/>
        </w:rPr>
        <w:t xml:space="preserve"> </w:t>
      </w:r>
      <w:r>
        <w:rPr>
          <w:rFonts w:hint="eastAsia"/>
        </w:rPr>
        <w:t>安装在户内的，在非通电状况下，按照</w:t>
      </w:r>
      <w:r>
        <w:rPr>
          <w:rFonts w:hint="eastAsia"/>
          <w:lang w:val="en-US" w:eastAsia="zh-CN"/>
        </w:rPr>
        <w:t xml:space="preserve"> </w:t>
      </w:r>
      <w:r>
        <w:rPr>
          <w:rFonts w:hint="eastAsia"/>
        </w:rPr>
        <w:t>GB 4208-2017</w:t>
      </w:r>
      <w:r>
        <w:rPr>
          <w:rFonts w:hint="eastAsia"/>
          <w:lang w:val="en-US" w:eastAsia="zh-CN"/>
        </w:rPr>
        <w:t xml:space="preserve"> </w:t>
      </w:r>
      <w:r>
        <w:rPr>
          <w:rFonts w:hint="eastAsia"/>
        </w:rPr>
        <w:t>规定的</w:t>
      </w:r>
      <w:r>
        <w:rPr>
          <w:rFonts w:hint="eastAsia"/>
          <w:lang w:val="en-US" w:eastAsia="zh-CN"/>
        </w:rPr>
        <w:t xml:space="preserve"> </w:t>
      </w:r>
      <w:r>
        <w:rPr>
          <w:rFonts w:hint="eastAsia"/>
        </w:rPr>
        <w:t>IP51</w:t>
      </w:r>
      <w:r>
        <w:rPr>
          <w:rFonts w:hint="eastAsia"/>
          <w:lang w:val="en-US" w:eastAsia="zh-CN"/>
        </w:rPr>
        <w:t xml:space="preserve"> </w:t>
      </w:r>
      <w:r>
        <w:rPr>
          <w:rFonts w:hint="eastAsia"/>
        </w:rPr>
        <w:t>要求进行</w:t>
      </w:r>
      <w:r>
        <w:rPr>
          <w:rFonts w:hint="eastAsia"/>
          <w:lang w:eastAsia="zh-CN"/>
        </w:rPr>
        <w:t>。</w:t>
      </w:r>
    </w:p>
    <w:p w14:paraId="6534E918">
      <w:pPr>
        <w:pStyle w:val="59"/>
        <w:keepNext w:val="0"/>
        <w:keepLines w:val="0"/>
        <w:pageBreakBefore w:val="0"/>
        <w:widowControl/>
        <w:kinsoku/>
        <w:wordWrap/>
        <w:overflowPunct/>
        <w:topLinePunct w:val="0"/>
        <w:bidi w:val="0"/>
        <w:adjustRightInd/>
        <w:snapToGrid/>
        <w:spacing w:line="360" w:lineRule="auto"/>
        <w:ind w:firstLine="420"/>
        <w:textAlignment w:val="auto"/>
        <w:rPr>
          <w:rFonts w:hint="eastAsia" w:eastAsia="宋体"/>
          <w:lang w:val="en-US" w:eastAsia="zh-CN"/>
        </w:rPr>
      </w:pPr>
      <w:r>
        <w:rPr>
          <w:rFonts w:hint="eastAsia"/>
          <w:lang w:val="en-US" w:eastAsia="zh-CN"/>
        </w:rPr>
        <w:t>b</w:t>
      </w:r>
      <w:r>
        <w:rPr>
          <w:rFonts w:hint="eastAsia"/>
          <w:lang w:eastAsia="zh-CN"/>
        </w:rPr>
        <w:t>）</w:t>
      </w:r>
      <w:r>
        <w:rPr>
          <w:rFonts w:hint="eastAsia"/>
          <w:lang w:val="en-US" w:eastAsia="zh-CN"/>
        </w:rPr>
        <w:t xml:space="preserve"> </w:t>
      </w:r>
      <w:r>
        <w:rPr>
          <w:rFonts w:hint="eastAsia"/>
        </w:rPr>
        <w:t>安装在户外有遮挡的，在非通电状况下，按照</w:t>
      </w:r>
      <w:r>
        <w:rPr>
          <w:rFonts w:hint="eastAsia"/>
          <w:lang w:val="en-US" w:eastAsia="zh-CN"/>
        </w:rPr>
        <w:t xml:space="preserve"> </w:t>
      </w:r>
      <w:r>
        <w:rPr>
          <w:rFonts w:hint="eastAsia"/>
        </w:rPr>
        <w:t>GB 4208-2017</w:t>
      </w:r>
      <w:r>
        <w:rPr>
          <w:rFonts w:hint="eastAsia"/>
          <w:lang w:val="en-US" w:eastAsia="zh-CN"/>
        </w:rPr>
        <w:t xml:space="preserve"> </w:t>
      </w:r>
      <w:r>
        <w:rPr>
          <w:rFonts w:hint="eastAsia"/>
        </w:rPr>
        <w:t>规定的</w:t>
      </w:r>
      <w:r>
        <w:rPr>
          <w:rFonts w:hint="eastAsia"/>
          <w:lang w:val="en-US" w:eastAsia="zh-CN"/>
        </w:rPr>
        <w:t xml:space="preserve"> </w:t>
      </w:r>
      <w:r>
        <w:rPr>
          <w:rFonts w:hint="eastAsia"/>
        </w:rPr>
        <w:t>IP66</w:t>
      </w:r>
      <w:r>
        <w:rPr>
          <w:rFonts w:hint="eastAsia"/>
          <w:lang w:val="en-US" w:eastAsia="zh-CN"/>
        </w:rPr>
        <w:t xml:space="preserve"> </w:t>
      </w:r>
      <w:r>
        <w:rPr>
          <w:rFonts w:hint="eastAsia"/>
        </w:rPr>
        <w:t>要求进行</w:t>
      </w:r>
      <w:r>
        <w:rPr>
          <w:rFonts w:hint="eastAsia"/>
          <w:lang w:eastAsia="zh-CN"/>
        </w:rPr>
        <w:t>。</w:t>
      </w:r>
    </w:p>
    <w:p w14:paraId="70478F88">
      <w:pPr>
        <w:pStyle w:val="108"/>
        <w:numPr>
          <w:ilvl w:val="2"/>
          <w:numId w:val="0"/>
        </w:numPr>
        <w:spacing w:before="120" w:after="120"/>
        <w:rPr>
          <w:rFonts w:hint="default"/>
          <w:b w:val="0"/>
          <w:bCs w:val="0"/>
          <w:szCs w:val="22"/>
          <w:lang w:val="en-US" w:eastAsia="zh-CN"/>
        </w:rPr>
      </w:pPr>
      <w:r>
        <w:rPr>
          <w:rFonts w:hint="eastAsia"/>
          <w:b w:val="0"/>
          <w:bCs w:val="0"/>
          <w:szCs w:val="22"/>
          <w:lang w:val="en-US" w:eastAsia="zh-CN"/>
        </w:rPr>
        <w:t>5.6.4  耐热阻燃试验</w:t>
      </w:r>
    </w:p>
    <w:p w14:paraId="0C96E1EA">
      <w:pPr>
        <w:pStyle w:val="59"/>
        <w:ind w:firstLine="420"/>
      </w:pPr>
      <w:r>
        <w:rPr>
          <w:rFonts w:hint="eastAsia"/>
        </w:rPr>
        <w:t>按照</w:t>
      </w:r>
      <w:r>
        <w:rPr>
          <w:rFonts w:hint="eastAsia"/>
          <w:lang w:val="en-US" w:eastAsia="zh-CN"/>
        </w:rPr>
        <w:t xml:space="preserve"> </w:t>
      </w:r>
      <w:r>
        <w:rPr>
          <w:rFonts w:hint="eastAsia"/>
          <w:szCs w:val="22"/>
        </w:rPr>
        <w:t>DL/T 14</w:t>
      </w:r>
      <w:r>
        <w:rPr>
          <w:rFonts w:hint="eastAsia"/>
          <w:szCs w:val="22"/>
          <w:lang w:val="en-US" w:eastAsia="zh-CN"/>
        </w:rPr>
        <w:t>85—2024</w:t>
      </w:r>
      <w:r>
        <w:rPr>
          <w:rFonts w:hint="eastAsia"/>
          <w:szCs w:val="22"/>
        </w:rPr>
        <w:t xml:space="preserve"> </w:t>
      </w:r>
      <w:r>
        <w:rPr>
          <w:rFonts w:hint="eastAsia"/>
        </w:rPr>
        <w:t>中</w:t>
      </w:r>
      <w:r>
        <w:rPr>
          <w:rFonts w:hint="eastAsia"/>
          <w:lang w:val="en-US" w:eastAsia="zh-CN"/>
        </w:rPr>
        <w:t xml:space="preserve"> 5</w:t>
      </w:r>
      <w:r>
        <w:rPr>
          <w:rFonts w:hint="eastAsia"/>
        </w:rPr>
        <w:t>.</w:t>
      </w:r>
      <w:r>
        <w:rPr>
          <w:rFonts w:hint="eastAsia"/>
          <w:lang w:val="en-US" w:eastAsia="zh-CN"/>
        </w:rPr>
        <w:t xml:space="preserve">5.4 和 5.5.5 </w:t>
      </w:r>
      <w:r>
        <w:rPr>
          <w:rFonts w:hint="eastAsia"/>
        </w:rPr>
        <w:t>规定</w:t>
      </w:r>
      <w:r>
        <w:rPr>
          <w:rFonts w:hint="eastAsia"/>
          <w:lang w:eastAsia="zh-CN"/>
        </w:rPr>
        <w:t>的</w:t>
      </w:r>
      <w:r>
        <w:rPr>
          <w:rFonts w:hint="eastAsia"/>
          <w:lang w:val="en-US" w:eastAsia="zh-CN"/>
        </w:rPr>
        <w:t>方法</w:t>
      </w:r>
      <w:r>
        <w:rPr>
          <w:rFonts w:hint="eastAsia"/>
        </w:rPr>
        <w:t>进行</w:t>
      </w:r>
      <w:r>
        <w:rPr>
          <w:rFonts w:hint="eastAsia"/>
          <w:lang w:eastAsia="zh-CN"/>
        </w:rPr>
        <w:t>。</w:t>
      </w:r>
    </w:p>
    <w:p w14:paraId="2AE3CD6B">
      <w:pPr>
        <w:pStyle w:val="108"/>
        <w:numPr>
          <w:ilvl w:val="2"/>
          <w:numId w:val="0"/>
        </w:numPr>
        <w:spacing w:before="120" w:after="120"/>
        <w:rPr>
          <w:rFonts w:hint="eastAsia"/>
          <w:b w:val="0"/>
          <w:bCs w:val="0"/>
          <w:szCs w:val="22"/>
          <w:lang w:val="en-US" w:eastAsia="zh-CN"/>
        </w:rPr>
      </w:pPr>
      <w:r>
        <w:rPr>
          <w:rFonts w:hint="eastAsia"/>
          <w:b w:val="0"/>
          <w:bCs w:val="0"/>
          <w:szCs w:val="22"/>
          <w:lang w:val="en-US" w:eastAsia="zh-CN"/>
        </w:rPr>
        <w:t>5.6.5  盐雾试验</w:t>
      </w:r>
    </w:p>
    <w:p w14:paraId="2E177C23">
      <w:pPr>
        <w:pStyle w:val="59"/>
        <w:ind w:firstLine="420"/>
      </w:pPr>
      <w:r>
        <w:rPr>
          <w:rFonts w:hint="eastAsia"/>
        </w:rPr>
        <w:t>按照</w:t>
      </w:r>
      <w:r>
        <w:rPr>
          <w:rFonts w:hint="eastAsia"/>
          <w:lang w:val="en-US" w:eastAsia="zh-CN"/>
        </w:rPr>
        <w:t xml:space="preserve"> </w:t>
      </w:r>
      <w:r>
        <w:rPr>
          <w:rFonts w:hint="eastAsia"/>
        </w:rPr>
        <w:t>GB/T 2423.17</w:t>
      </w:r>
      <w:r>
        <w:rPr>
          <w:rFonts w:hint="eastAsia"/>
          <w:lang w:eastAsia="zh-CN"/>
        </w:rPr>
        <w:t>—</w:t>
      </w:r>
      <w:r>
        <w:rPr>
          <w:rFonts w:hint="eastAsia"/>
          <w:lang w:val="en-US" w:eastAsia="zh-CN"/>
        </w:rPr>
        <w:t xml:space="preserve">2024 </w:t>
      </w:r>
      <w:r>
        <w:rPr>
          <w:rFonts w:hint="eastAsia"/>
        </w:rPr>
        <w:t>规定</w:t>
      </w:r>
      <w:r>
        <w:rPr>
          <w:rFonts w:hint="eastAsia"/>
          <w:lang w:eastAsia="zh-CN"/>
        </w:rPr>
        <w:t>的</w:t>
      </w:r>
      <w:r>
        <w:rPr>
          <w:rFonts w:hint="eastAsia"/>
          <w:lang w:val="en-US" w:eastAsia="zh-CN"/>
        </w:rPr>
        <w:t>方法</w:t>
      </w:r>
      <w:r>
        <w:rPr>
          <w:rFonts w:hint="eastAsia"/>
        </w:rPr>
        <w:t>进行</w:t>
      </w:r>
      <w:r>
        <w:rPr>
          <w:rFonts w:hint="eastAsia"/>
          <w:lang w:eastAsia="zh-CN"/>
        </w:rPr>
        <w:t>。</w:t>
      </w:r>
    </w:p>
    <w:p w14:paraId="3E8C65A3">
      <w:pPr>
        <w:pStyle w:val="108"/>
        <w:numPr>
          <w:ilvl w:val="2"/>
          <w:numId w:val="0"/>
        </w:numPr>
        <w:spacing w:before="120" w:after="120"/>
        <w:rPr>
          <w:rFonts w:hint="eastAsia"/>
          <w:b w:val="0"/>
          <w:bCs w:val="0"/>
          <w:szCs w:val="22"/>
          <w:lang w:val="en-US" w:eastAsia="zh-CN"/>
        </w:rPr>
      </w:pPr>
      <w:r>
        <w:rPr>
          <w:rFonts w:hint="eastAsia"/>
          <w:b w:val="0"/>
          <w:bCs w:val="0"/>
          <w:szCs w:val="22"/>
          <w:lang w:val="en-US" w:eastAsia="zh-CN"/>
        </w:rPr>
        <w:t>5.7  电气性能试验</w:t>
      </w:r>
    </w:p>
    <w:p w14:paraId="46BAB78A">
      <w:pPr>
        <w:pStyle w:val="108"/>
        <w:numPr>
          <w:ilvl w:val="2"/>
          <w:numId w:val="0"/>
        </w:numPr>
        <w:spacing w:before="120" w:after="120"/>
        <w:rPr>
          <w:rFonts w:hint="eastAsia"/>
          <w:b w:val="0"/>
          <w:bCs w:val="0"/>
          <w:szCs w:val="22"/>
          <w:lang w:val="en-US" w:eastAsia="zh-CN"/>
        </w:rPr>
      </w:pPr>
      <w:r>
        <w:rPr>
          <w:rFonts w:hint="eastAsia"/>
          <w:b w:val="0"/>
          <w:bCs w:val="0"/>
          <w:szCs w:val="22"/>
          <w:lang w:val="en-US" w:eastAsia="zh-CN"/>
        </w:rPr>
        <w:t>5.7.1  功耗试验</w:t>
      </w:r>
    </w:p>
    <w:p w14:paraId="12FBCA0B">
      <w:pPr>
        <w:pStyle w:val="59"/>
        <w:widowControl w:val="0"/>
        <w:ind w:firstLine="420"/>
      </w:pPr>
      <w:r>
        <w:rPr>
          <w:rFonts w:hint="eastAsia"/>
        </w:rPr>
        <w:t>按照 DL/T 148</w:t>
      </w:r>
      <w:r>
        <w:rPr>
          <w:rFonts w:hint="eastAsia"/>
          <w:lang w:val="en-US" w:eastAsia="zh-CN"/>
        </w:rPr>
        <w:t>5</w:t>
      </w:r>
      <w:r>
        <w:rPr>
          <w:rFonts w:hint="eastAsia"/>
        </w:rPr>
        <w:t>—2024 中5.6.1 规定的方法进行。</w:t>
      </w:r>
    </w:p>
    <w:p w14:paraId="2BA225FC">
      <w:pPr>
        <w:pStyle w:val="108"/>
        <w:numPr>
          <w:ilvl w:val="2"/>
          <w:numId w:val="0"/>
        </w:numPr>
        <w:spacing w:before="120" w:after="120"/>
        <w:rPr>
          <w:rFonts w:hint="eastAsia"/>
          <w:b w:val="0"/>
          <w:bCs w:val="0"/>
          <w:szCs w:val="22"/>
          <w:lang w:val="en-US" w:eastAsia="zh-CN"/>
        </w:rPr>
      </w:pPr>
      <w:r>
        <w:rPr>
          <w:rFonts w:hint="eastAsia"/>
          <w:b w:val="0"/>
          <w:bCs w:val="0"/>
          <w:szCs w:val="22"/>
          <w:lang w:val="en-US" w:eastAsia="zh-CN"/>
        </w:rPr>
        <w:t>5.7.2  绝缘试验</w:t>
      </w:r>
    </w:p>
    <w:p w14:paraId="610D6B75">
      <w:pPr>
        <w:pStyle w:val="108"/>
        <w:numPr>
          <w:ilvl w:val="2"/>
          <w:numId w:val="0"/>
        </w:numPr>
        <w:spacing w:before="120" w:after="120"/>
        <w:ind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按照 DL/T 148</w:t>
      </w:r>
      <w:r>
        <w:rPr>
          <w:rFonts w:hint="eastAsia" w:ascii="宋体" w:eastAsia="宋体" w:cs="Times New Roman"/>
          <w:sz w:val="21"/>
          <w:lang w:val="en-US" w:eastAsia="zh-CN" w:bidi="ar-SA"/>
        </w:rPr>
        <w:t>5</w:t>
      </w:r>
      <w:r>
        <w:rPr>
          <w:rFonts w:hint="eastAsia" w:ascii="宋体" w:hAnsi="Times New Roman" w:eastAsia="宋体" w:cs="Times New Roman"/>
          <w:sz w:val="21"/>
          <w:lang w:val="en-US" w:eastAsia="zh-CN" w:bidi="ar-SA"/>
        </w:rPr>
        <w:t>—2024 中 5.</w:t>
      </w:r>
      <w:r>
        <w:rPr>
          <w:rFonts w:hint="eastAsia" w:ascii="宋体" w:eastAsia="宋体" w:cs="Times New Roman"/>
          <w:sz w:val="21"/>
          <w:lang w:val="en-US" w:eastAsia="zh-CN" w:bidi="ar-SA"/>
        </w:rPr>
        <w:t>7</w:t>
      </w:r>
      <w:r>
        <w:rPr>
          <w:rFonts w:hint="eastAsia" w:ascii="宋体" w:hAnsi="Times New Roman" w:eastAsia="宋体" w:cs="Times New Roman"/>
          <w:sz w:val="21"/>
          <w:lang w:val="en-US" w:eastAsia="zh-CN" w:bidi="ar-SA"/>
        </w:rPr>
        <w:t xml:space="preserve"> 规定的方法进行。</w:t>
      </w:r>
    </w:p>
    <w:p w14:paraId="63F94827">
      <w:pPr>
        <w:pStyle w:val="108"/>
        <w:numPr>
          <w:ilvl w:val="2"/>
          <w:numId w:val="0"/>
        </w:numPr>
        <w:spacing w:before="120" w:after="120"/>
        <w:rPr>
          <w:rFonts w:hint="eastAsia"/>
          <w:b w:val="0"/>
          <w:bCs w:val="0"/>
          <w:szCs w:val="22"/>
          <w:lang w:val="en-US" w:eastAsia="zh-CN"/>
        </w:rPr>
      </w:pPr>
      <w:r>
        <w:rPr>
          <w:rFonts w:hint="eastAsia"/>
          <w:b w:val="0"/>
          <w:bCs w:val="0"/>
          <w:szCs w:val="22"/>
          <w:lang w:val="en-US" w:eastAsia="zh-CN"/>
        </w:rPr>
        <w:t>5.7.3  爬电距离试验</w:t>
      </w:r>
    </w:p>
    <w:p w14:paraId="015F5A0A">
      <w:pPr>
        <w:pStyle w:val="59"/>
        <w:ind w:firstLine="420"/>
      </w:pPr>
      <w:r>
        <w:rPr>
          <w:rFonts w:hint="eastAsia"/>
        </w:rPr>
        <w:t>按照</w:t>
      </w:r>
      <w:r>
        <w:rPr>
          <w:rFonts w:hint="eastAsia"/>
          <w:lang w:val="en-US" w:eastAsia="zh-CN"/>
        </w:rPr>
        <w:t xml:space="preserve"> </w:t>
      </w:r>
      <w:r>
        <w:rPr>
          <w:rFonts w:hint="eastAsia"/>
        </w:rPr>
        <w:t>GB/T 7251.1-2023 中</w:t>
      </w:r>
      <w:r>
        <w:rPr>
          <w:rFonts w:hint="eastAsia"/>
          <w:lang w:val="en-US" w:eastAsia="zh-CN"/>
        </w:rPr>
        <w:t xml:space="preserve"> </w:t>
      </w:r>
      <w:r>
        <w:rPr>
          <w:rFonts w:hint="eastAsia"/>
        </w:rPr>
        <w:t>附录F</w:t>
      </w:r>
      <w:r>
        <w:rPr>
          <w:rFonts w:hint="eastAsia"/>
          <w:lang w:val="en-US" w:eastAsia="zh-CN"/>
        </w:rPr>
        <w:t xml:space="preserve"> </w:t>
      </w:r>
      <w:r>
        <w:rPr>
          <w:rFonts w:hint="eastAsia"/>
        </w:rPr>
        <w:t>规定</w:t>
      </w:r>
      <w:r>
        <w:rPr>
          <w:rFonts w:hint="eastAsia"/>
          <w:lang w:eastAsia="zh-CN"/>
        </w:rPr>
        <w:t>的</w:t>
      </w:r>
      <w:r>
        <w:rPr>
          <w:rFonts w:hint="eastAsia"/>
          <w:lang w:val="en-US" w:eastAsia="zh-CN"/>
        </w:rPr>
        <w:t>方法</w:t>
      </w:r>
      <w:r>
        <w:rPr>
          <w:rFonts w:hint="eastAsia"/>
        </w:rPr>
        <w:t>进行。</w:t>
      </w:r>
    </w:p>
    <w:p w14:paraId="3B079F13">
      <w:pPr>
        <w:pStyle w:val="108"/>
        <w:numPr>
          <w:ilvl w:val="2"/>
          <w:numId w:val="0"/>
        </w:numPr>
        <w:spacing w:before="120" w:after="120"/>
        <w:rPr>
          <w:rFonts w:hint="eastAsia"/>
          <w:b w:val="0"/>
          <w:bCs w:val="0"/>
          <w:szCs w:val="22"/>
          <w:lang w:val="en-US" w:eastAsia="zh-CN"/>
        </w:rPr>
      </w:pPr>
      <w:r>
        <w:rPr>
          <w:rFonts w:hint="eastAsia"/>
          <w:b w:val="0"/>
          <w:bCs w:val="0"/>
          <w:szCs w:val="22"/>
          <w:lang w:val="en-US" w:eastAsia="zh-CN"/>
        </w:rPr>
        <w:t xml:space="preserve">5.8 电磁兼容试验 </w:t>
      </w:r>
    </w:p>
    <w:p w14:paraId="6535824E">
      <w:pPr>
        <w:pStyle w:val="59"/>
        <w:ind w:firstLine="420"/>
        <w:rPr>
          <w:rFonts w:hint="default"/>
          <w:lang w:val="en-US" w:eastAsia="zh-CN"/>
        </w:rPr>
      </w:pPr>
      <w:r>
        <w:rPr>
          <w:rFonts w:hint="eastAsia"/>
        </w:rPr>
        <w:t>按照</w:t>
      </w:r>
      <w:r>
        <w:rPr>
          <w:rFonts w:hint="eastAsia"/>
          <w:lang w:val="en-US" w:eastAsia="zh-CN"/>
        </w:rPr>
        <w:t xml:space="preserve"> </w:t>
      </w:r>
      <w:r>
        <w:rPr>
          <w:rFonts w:hint="eastAsia" w:ascii="宋体" w:hAnsi="Times New Roman" w:eastAsia="宋体" w:cs="Times New Roman"/>
          <w:sz w:val="21"/>
          <w:lang w:val="en-US" w:eastAsia="zh-CN" w:bidi="ar-SA"/>
        </w:rPr>
        <w:t>DL/T 148</w:t>
      </w:r>
      <w:r>
        <w:rPr>
          <w:rFonts w:hint="eastAsia" w:cs="Times New Roman"/>
          <w:sz w:val="21"/>
          <w:lang w:val="en-US" w:eastAsia="zh-CN" w:bidi="ar-SA"/>
        </w:rPr>
        <w:t>5</w:t>
      </w:r>
      <w:r>
        <w:rPr>
          <w:rFonts w:hint="eastAsia" w:ascii="宋体" w:hAnsi="Times New Roman" w:eastAsia="宋体" w:cs="Times New Roman"/>
          <w:sz w:val="21"/>
          <w:lang w:val="en-US" w:eastAsia="zh-CN" w:bidi="ar-SA"/>
        </w:rPr>
        <w:t>—2024 中 5.</w:t>
      </w:r>
      <w:r>
        <w:rPr>
          <w:rFonts w:hint="eastAsia" w:cs="Times New Roman"/>
          <w:sz w:val="21"/>
          <w:lang w:val="en-US" w:eastAsia="zh-CN" w:bidi="ar-SA"/>
        </w:rPr>
        <w:t>3.3</w:t>
      </w:r>
      <w:r>
        <w:rPr>
          <w:rFonts w:hint="eastAsia" w:ascii="宋体" w:hAnsi="Times New Roman" w:eastAsia="宋体" w:cs="Times New Roman"/>
          <w:sz w:val="21"/>
          <w:lang w:val="en-US" w:eastAsia="zh-CN" w:bidi="ar-SA"/>
        </w:rPr>
        <w:t xml:space="preserve"> 规定的方法进行。</w:t>
      </w:r>
    </w:p>
    <w:p w14:paraId="1102D5D5">
      <w:pPr>
        <w:pStyle w:val="107"/>
        <w:numPr>
          <w:ilvl w:val="1"/>
          <w:numId w:val="0"/>
        </w:numPr>
        <w:spacing w:before="240" w:after="240"/>
        <w:rPr>
          <w:szCs w:val="22"/>
        </w:rPr>
      </w:pPr>
      <w:r>
        <w:rPr>
          <w:rFonts w:hint="eastAsia"/>
          <w:szCs w:val="22"/>
        </w:rPr>
        <w:t>6  检验规则</w:t>
      </w:r>
    </w:p>
    <w:p w14:paraId="06E1EA39">
      <w:pPr>
        <w:pStyle w:val="107"/>
        <w:numPr>
          <w:ilvl w:val="1"/>
          <w:numId w:val="0"/>
        </w:numPr>
        <w:spacing w:before="240" w:after="240"/>
        <w:rPr>
          <w:rFonts w:hint="eastAsia" w:ascii="黑体" w:hAnsi="黑体" w:eastAsia="黑体" w:cs="黑体"/>
          <w:b w:val="0"/>
          <w:bCs/>
          <w:szCs w:val="22"/>
        </w:rPr>
      </w:pPr>
      <w:r>
        <w:rPr>
          <w:rFonts w:hint="eastAsia" w:ascii="黑体" w:hAnsi="黑体" w:eastAsia="黑体" w:cs="黑体"/>
          <w:b w:val="0"/>
          <w:bCs/>
          <w:szCs w:val="22"/>
        </w:rPr>
        <w:t>6.1  检验分类</w:t>
      </w:r>
    </w:p>
    <w:p w14:paraId="3F98ADB7">
      <w:pPr>
        <w:pStyle w:val="59"/>
        <w:ind w:firstLine="420"/>
      </w:pPr>
      <w:r>
        <w:rPr>
          <w:rFonts w:hint="eastAsia"/>
        </w:rPr>
        <w:t>检验分为出厂检验和型式检验。</w:t>
      </w:r>
    </w:p>
    <w:p w14:paraId="1F86CD5C">
      <w:pPr>
        <w:pStyle w:val="107"/>
        <w:numPr>
          <w:ilvl w:val="1"/>
          <w:numId w:val="0"/>
        </w:numPr>
        <w:spacing w:before="240" w:after="240"/>
        <w:rPr>
          <w:rFonts w:hint="eastAsia" w:ascii="黑体" w:hAnsi="黑体" w:eastAsia="黑体" w:cs="黑体"/>
          <w:b w:val="0"/>
          <w:bCs/>
          <w:szCs w:val="22"/>
          <w:lang w:val="en-US" w:eastAsia="zh-CN"/>
        </w:rPr>
      </w:pPr>
      <w:r>
        <w:rPr>
          <w:rFonts w:hint="eastAsia" w:ascii="黑体" w:hAnsi="黑体" w:eastAsia="黑体" w:cs="黑体"/>
          <w:b w:val="0"/>
          <w:bCs/>
          <w:szCs w:val="22"/>
        </w:rPr>
        <w:t>6.2  检验</w:t>
      </w:r>
      <w:r>
        <w:rPr>
          <w:rFonts w:hint="eastAsia" w:ascii="黑体" w:hAnsi="黑体" w:eastAsia="黑体" w:cs="黑体"/>
          <w:b w:val="0"/>
          <w:bCs/>
          <w:szCs w:val="22"/>
          <w:lang w:val="en-US" w:eastAsia="zh-CN"/>
        </w:rPr>
        <w:t>项目</w:t>
      </w:r>
    </w:p>
    <w:p w14:paraId="4ABF626D">
      <w:pPr>
        <w:pStyle w:val="59"/>
        <w:ind w:firstLine="0" w:firstLineChars="0"/>
        <w:rPr>
          <w:szCs w:val="22"/>
        </w:rPr>
      </w:pPr>
      <w:r>
        <w:rPr>
          <w:rFonts w:hint="eastAsia"/>
          <w:szCs w:val="22"/>
        </w:rPr>
        <w:t xml:space="preserve">  </w:t>
      </w:r>
      <w:r>
        <w:rPr>
          <w:rFonts w:hint="eastAsia"/>
          <w:szCs w:val="22"/>
          <w:lang w:val="en-US" w:eastAsia="zh-CN"/>
        </w:rPr>
        <w:t xml:space="preserve">  </w:t>
      </w:r>
      <w:r>
        <w:rPr>
          <w:rFonts w:hint="eastAsia"/>
          <w:szCs w:val="22"/>
        </w:rPr>
        <w:t>电碳表</w:t>
      </w:r>
      <w:r>
        <w:rPr>
          <w:rFonts w:hint="eastAsia"/>
          <w:szCs w:val="22"/>
          <w:lang w:eastAsia="zh-CN"/>
        </w:rPr>
        <w:t>的</w:t>
      </w:r>
      <w:r>
        <w:rPr>
          <w:rFonts w:hint="eastAsia"/>
          <w:szCs w:val="22"/>
        </w:rPr>
        <w:t>检验项目</w:t>
      </w:r>
      <w:r>
        <w:rPr>
          <w:rFonts w:hint="eastAsia"/>
          <w:szCs w:val="22"/>
          <w:lang w:val="en-US" w:eastAsia="zh-CN"/>
        </w:rPr>
        <w:t>应符合</w:t>
      </w:r>
      <w:r>
        <w:rPr>
          <w:rFonts w:hint="eastAsia"/>
          <w:szCs w:val="22"/>
        </w:rPr>
        <w:t>表</w:t>
      </w:r>
      <w:r>
        <w:rPr>
          <w:rFonts w:hint="eastAsia"/>
          <w:szCs w:val="22"/>
          <w:lang w:val="en-US" w:eastAsia="zh-CN"/>
        </w:rPr>
        <w:t>2</w:t>
      </w:r>
      <w:r>
        <w:rPr>
          <w:rFonts w:hint="eastAsia"/>
          <w:szCs w:val="22"/>
          <w:lang w:eastAsia="zh-CN"/>
        </w:rPr>
        <w:t>的</w:t>
      </w:r>
      <w:r>
        <w:rPr>
          <w:rFonts w:hint="eastAsia"/>
          <w:szCs w:val="22"/>
          <w:lang w:val="en-US" w:eastAsia="zh-CN"/>
        </w:rPr>
        <w:t>规定</w:t>
      </w:r>
      <w:r>
        <w:rPr>
          <w:rFonts w:hint="eastAsia"/>
          <w:szCs w:val="22"/>
        </w:rPr>
        <w:t>。</w:t>
      </w:r>
    </w:p>
    <w:p w14:paraId="403B37AB">
      <w:pPr>
        <w:pStyle w:val="237"/>
        <w:numPr>
          <w:ilvl w:val="1"/>
          <w:numId w:val="0"/>
        </w:numPr>
        <w:tabs>
          <w:tab w:val="clear" w:pos="360"/>
        </w:tabs>
        <w:ind w:leftChars="0"/>
        <w:rPr>
          <w:rFonts w:hint="eastAsia" w:ascii="宋体" w:hAnsi="宋体"/>
          <w:highlight w:val="none"/>
          <w:lang w:val="en-US" w:eastAsia="zh-CN"/>
        </w:rPr>
      </w:pPr>
      <w:r>
        <w:rPr>
          <w:rFonts w:hint="eastAsia" w:ascii="宋体" w:hAnsi="宋体"/>
          <w:highlight w:val="none"/>
          <w:lang w:val="en-US" w:eastAsia="zh-CN"/>
        </w:rPr>
        <w:t>表2  检验项目</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2693"/>
        <w:gridCol w:w="1418"/>
        <w:gridCol w:w="1276"/>
        <w:gridCol w:w="1134"/>
        <w:gridCol w:w="1099"/>
      </w:tblGrid>
      <w:tr w14:paraId="5042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B82E7D1">
            <w:pPr>
              <w:pStyle w:val="59"/>
              <w:ind w:firstLine="0" w:firstLineChars="0"/>
              <w:jc w:val="center"/>
              <w:rPr>
                <w:color w:val="auto"/>
                <w:szCs w:val="22"/>
              </w:rPr>
            </w:pPr>
            <w:r>
              <w:rPr>
                <w:rFonts w:hint="eastAsia"/>
                <w:color w:val="auto"/>
                <w:szCs w:val="22"/>
              </w:rPr>
              <w:t>序号</w:t>
            </w:r>
          </w:p>
        </w:tc>
        <w:tc>
          <w:tcPr>
            <w:tcW w:w="3969" w:type="dxa"/>
            <w:gridSpan w:val="2"/>
            <w:vAlign w:val="center"/>
          </w:tcPr>
          <w:p w14:paraId="488AF004">
            <w:pPr>
              <w:pStyle w:val="59"/>
              <w:ind w:firstLine="0" w:firstLineChars="0"/>
              <w:jc w:val="center"/>
              <w:rPr>
                <w:color w:val="auto"/>
                <w:szCs w:val="22"/>
              </w:rPr>
            </w:pPr>
            <w:r>
              <w:rPr>
                <w:rFonts w:hint="eastAsia"/>
                <w:color w:val="auto"/>
                <w:szCs w:val="22"/>
              </w:rPr>
              <w:t>检验项目</w:t>
            </w:r>
          </w:p>
        </w:tc>
        <w:tc>
          <w:tcPr>
            <w:tcW w:w="1418" w:type="dxa"/>
            <w:vAlign w:val="center"/>
          </w:tcPr>
          <w:p w14:paraId="13430769">
            <w:pPr>
              <w:pStyle w:val="59"/>
              <w:ind w:firstLine="0" w:firstLineChars="0"/>
              <w:jc w:val="center"/>
              <w:rPr>
                <w:color w:val="auto"/>
                <w:szCs w:val="22"/>
              </w:rPr>
            </w:pPr>
            <w:r>
              <w:rPr>
                <w:rFonts w:hint="eastAsia"/>
                <w:color w:val="auto"/>
                <w:szCs w:val="22"/>
              </w:rPr>
              <w:t>要求内容的</w:t>
            </w:r>
          </w:p>
          <w:p w14:paraId="65454A15">
            <w:pPr>
              <w:pStyle w:val="59"/>
              <w:ind w:firstLine="0" w:firstLineChars="0"/>
              <w:jc w:val="center"/>
              <w:rPr>
                <w:color w:val="auto"/>
                <w:szCs w:val="22"/>
              </w:rPr>
            </w:pPr>
            <w:r>
              <w:rPr>
                <w:rFonts w:hint="eastAsia"/>
                <w:color w:val="auto"/>
                <w:szCs w:val="22"/>
              </w:rPr>
              <w:t>章条号</w:t>
            </w:r>
          </w:p>
        </w:tc>
        <w:tc>
          <w:tcPr>
            <w:tcW w:w="1276" w:type="dxa"/>
            <w:vAlign w:val="center"/>
          </w:tcPr>
          <w:p w14:paraId="464983B1">
            <w:pPr>
              <w:pStyle w:val="59"/>
              <w:ind w:firstLine="0" w:firstLineChars="0"/>
              <w:jc w:val="center"/>
              <w:rPr>
                <w:color w:val="auto"/>
                <w:szCs w:val="22"/>
              </w:rPr>
            </w:pPr>
            <w:r>
              <w:rPr>
                <w:rFonts w:hint="eastAsia"/>
                <w:color w:val="auto"/>
                <w:szCs w:val="22"/>
              </w:rPr>
              <w:t>试验方法的</w:t>
            </w:r>
          </w:p>
          <w:p w14:paraId="023BE5FB">
            <w:pPr>
              <w:pStyle w:val="59"/>
              <w:ind w:firstLine="0" w:firstLineChars="0"/>
              <w:jc w:val="center"/>
              <w:rPr>
                <w:color w:val="auto"/>
                <w:szCs w:val="22"/>
              </w:rPr>
            </w:pPr>
            <w:r>
              <w:rPr>
                <w:rFonts w:hint="eastAsia"/>
                <w:color w:val="auto"/>
                <w:szCs w:val="22"/>
              </w:rPr>
              <w:t>章条号</w:t>
            </w:r>
          </w:p>
        </w:tc>
        <w:tc>
          <w:tcPr>
            <w:tcW w:w="1134" w:type="dxa"/>
            <w:vAlign w:val="center"/>
          </w:tcPr>
          <w:p w14:paraId="6F5466E5">
            <w:pPr>
              <w:pStyle w:val="59"/>
              <w:ind w:firstLine="0" w:firstLineChars="0"/>
              <w:jc w:val="center"/>
              <w:rPr>
                <w:color w:val="auto"/>
                <w:szCs w:val="22"/>
              </w:rPr>
            </w:pPr>
            <w:r>
              <w:rPr>
                <w:rFonts w:hint="eastAsia"/>
                <w:color w:val="auto"/>
                <w:szCs w:val="22"/>
              </w:rPr>
              <w:t>出厂检验</w:t>
            </w:r>
          </w:p>
        </w:tc>
        <w:tc>
          <w:tcPr>
            <w:tcW w:w="1099" w:type="dxa"/>
            <w:vAlign w:val="center"/>
          </w:tcPr>
          <w:p w14:paraId="7F39E397">
            <w:pPr>
              <w:pStyle w:val="59"/>
              <w:ind w:firstLine="0" w:firstLineChars="0"/>
              <w:jc w:val="center"/>
              <w:rPr>
                <w:color w:val="auto"/>
                <w:szCs w:val="22"/>
              </w:rPr>
            </w:pPr>
            <w:r>
              <w:rPr>
                <w:rFonts w:hint="eastAsia"/>
                <w:color w:val="auto"/>
                <w:szCs w:val="22"/>
              </w:rPr>
              <w:t>型式检验</w:t>
            </w:r>
          </w:p>
        </w:tc>
      </w:tr>
      <w:tr w14:paraId="0883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restart"/>
            <w:vAlign w:val="center"/>
          </w:tcPr>
          <w:p w14:paraId="3469B9C1">
            <w:pPr>
              <w:pStyle w:val="59"/>
              <w:ind w:firstLine="0" w:firstLineChars="0"/>
              <w:jc w:val="center"/>
              <w:rPr>
                <w:color w:val="auto"/>
                <w:szCs w:val="22"/>
              </w:rPr>
            </w:pPr>
            <w:r>
              <w:rPr>
                <w:rFonts w:hint="eastAsia"/>
                <w:color w:val="auto"/>
                <w:szCs w:val="22"/>
              </w:rPr>
              <w:t>1</w:t>
            </w:r>
          </w:p>
        </w:tc>
        <w:tc>
          <w:tcPr>
            <w:tcW w:w="1276" w:type="dxa"/>
            <w:vMerge w:val="restart"/>
            <w:vAlign w:val="center"/>
          </w:tcPr>
          <w:p w14:paraId="5ECD0053">
            <w:pPr>
              <w:pStyle w:val="59"/>
              <w:ind w:firstLine="0" w:firstLineChars="0"/>
              <w:jc w:val="center"/>
              <w:rPr>
                <w:color w:val="auto"/>
                <w:szCs w:val="22"/>
              </w:rPr>
            </w:pPr>
            <w:r>
              <w:rPr>
                <w:rFonts w:hint="eastAsia"/>
                <w:color w:val="auto"/>
                <w:szCs w:val="22"/>
              </w:rPr>
              <w:t>环境要求</w:t>
            </w:r>
          </w:p>
        </w:tc>
        <w:tc>
          <w:tcPr>
            <w:tcW w:w="2693" w:type="dxa"/>
            <w:vAlign w:val="center"/>
          </w:tcPr>
          <w:p w14:paraId="2F5D7B2E">
            <w:pPr>
              <w:pStyle w:val="59"/>
              <w:ind w:firstLine="0" w:firstLineChars="0"/>
              <w:jc w:val="center"/>
              <w:rPr>
                <w:color w:val="auto"/>
                <w:szCs w:val="22"/>
              </w:rPr>
            </w:pPr>
            <w:r>
              <w:rPr>
                <w:rFonts w:hint="eastAsia"/>
                <w:color w:val="auto"/>
                <w:szCs w:val="22"/>
              </w:rPr>
              <w:t>高低温</w:t>
            </w:r>
          </w:p>
        </w:tc>
        <w:tc>
          <w:tcPr>
            <w:tcW w:w="1418" w:type="dxa"/>
            <w:vMerge w:val="restart"/>
            <w:vAlign w:val="center"/>
          </w:tcPr>
          <w:p w14:paraId="226E7B17">
            <w:pPr>
              <w:pStyle w:val="59"/>
              <w:ind w:firstLine="0" w:firstLineChars="0"/>
              <w:jc w:val="center"/>
              <w:rPr>
                <w:color w:val="auto"/>
                <w:szCs w:val="22"/>
              </w:rPr>
            </w:pPr>
            <w:r>
              <w:rPr>
                <w:rFonts w:hint="eastAsia"/>
                <w:color w:val="auto"/>
                <w:szCs w:val="22"/>
              </w:rPr>
              <w:t>4.1</w:t>
            </w:r>
          </w:p>
        </w:tc>
        <w:tc>
          <w:tcPr>
            <w:tcW w:w="1276" w:type="dxa"/>
            <w:vAlign w:val="center"/>
          </w:tcPr>
          <w:p w14:paraId="5624E6E0">
            <w:pPr>
              <w:pStyle w:val="59"/>
              <w:ind w:firstLine="0" w:firstLineChars="0"/>
              <w:jc w:val="center"/>
              <w:rPr>
                <w:color w:val="auto"/>
                <w:szCs w:val="22"/>
              </w:rPr>
            </w:pPr>
            <w:r>
              <w:rPr>
                <w:rFonts w:hint="eastAsia"/>
                <w:color w:val="auto"/>
                <w:szCs w:val="22"/>
              </w:rPr>
              <w:t>5.1.1</w:t>
            </w:r>
          </w:p>
        </w:tc>
        <w:tc>
          <w:tcPr>
            <w:tcW w:w="1134" w:type="dxa"/>
            <w:vAlign w:val="center"/>
          </w:tcPr>
          <w:p w14:paraId="7BFE2F4C">
            <w:pPr>
              <w:pStyle w:val="59"/>
              <w:ind w:firstLine="0" w:firstLineChars="0"/>
              <w:jc w:val="center"/>
              <w:rPr>
                <w:color w:val="auto"/>
                <w:szCs w:val="22"/>
              </w:rPr>
            </w:pPr>
            <w:r>
              <w:rPr>
                <w:rFonts w:hint="eastAsia" w:hAnsi="宋体"/>
                <w:color w:val="auto"/>
                <w:szCs w:val="22"/>
              </w:rPr>
              <w:t>×</w:t>
            </w:r>
          </w:p>
        </w:tc>
        <w:tc>
          <w:tcPr>
            <w:tcW w:w="1099" w:type="dxa"/>
            <w:vAlign w:val="center"/>
          </w:tcPr>
          <w:p w14:paraId="1EDE0DC6">
            <w:pPr>
              <w:pStyle w:val="59"/>
              <w:ind w:firstLine="0" w:firstLineChars="0"/>
              <w:jc w:val="center"/>
              <w:rPr>
                <w:color w:val="auto"/>
                <w:szCs w:val="22"/>
              </w:rPr>
            </w:pPr>
            <w:r>
              <w:rPr>
                <w:rFonts w:hint="eastAsia"/>
                <w:color w:val="auto"/>
                <w:szCs w:val="22"/>
              </w:rPr>
              <w:t>√</w:t>
            </w:r>
          </w:p>
        </w:tc>
      </w:tr>
      <w:tr w14:paraId="4404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14:paraId="631217BA">
            <w:pPr>
              <w:pStyle w:val="59"/>
              <w:ind w:firstLine="0" w:firstLineChars="0"/>
              <w:jc w:val="center"/>
              <w:rPr>
                <w:rFonts w:hint="eastAsia"/>
                <w:color w:val="auto"/>
                <w:szCs w:val="22"/>
              </w:rPr>
            </w:pPr>
          </w:p>
        </w:tc>
        <w:tc>
          <w:tcPr>
            <w:tcW w:w="1276" w:type="dxa"/>
            <w:vMerge w:val="continue"/>
            <w:vAlign w:val="center"/>
          </w:tcPr>
          <w:p w14:paraId="001E1C24">
            <w:pPr>
              <w:pStyle w:val="59"/>
              <w:ind w:firstLine="0" w:firstLineChars="0"/>
              <w:jc w:val="center"/>
              <w:rPr>
                <w:rFonts w:hint="eastAsia"/>
                <w:color w:val="auto"/>
                <w:szCs w:val="22"/>
              </w:rPr>
            </w:pPr>
          </w:p>
        </w:tc>
        <w:tc>
          <w:tcPr>
            <w:tcW w:w="2693" w:type="dxa"/>
            <w:vAlign w:val="center"/>
          </w:tcPr>
          <w:p w14:paraId="2235FA3F">
            <w:pPr>
              <w:pStyle w:val="59"/>
              <w:ind w:firstLine="0" w:firstLineChars="0"/>
              <w:jc w:val="center"/>
              <w:rPr>
                <w:rFonts w:hint="eastAsia"/>
                <w:color w:val="auto"/>
                <w:szCs w:val="22"/>
              </w:rPr>
            </w:pPr>
            <w:r>
              <w:rPr>
                <w:rFonts w:hint="eastAsia"/>
                <w:color w:val="auto"/>
                <w:szCs w:val="22"/>
              </w:rPr>
              <w:t>相对湿度</w:t>
            </w:r>
          </w:p>
        </w:tc>
        <w:tc>
          <w:tcPr>
            <w:tcW w:w="1418" w:type="dxa"/>
            <w:vMerge w:val="continue"/>
            <w:vAlign w:val="center"/>
          </w:tcPr>
          <w:p w14:paraId="3D59DF2D">
            <w:pPr>
              <w:pStyle w:val="59"/>
              <w:ind w:firstLine="0" w:firstLineChars="0"/>
              <w:jc w:val="center"/>
              <w:rPr>
                <w:rFonts w:hint="eastAsia"/>
                <w:color w:val="auto"/>
                <w:szCs w:val="22"/>
              </w:rPr>
            </w:pPr>
          </w:p>
        </w:tc>
        <w:tc>
          <w:tcPr>
            <w:tcW w:w="1276" w:type="dxa"/>
            <w:vAlign w:val="center"/>
          </w:tcPr>
          <w:p w14:paraId="23FF71B4">
            <w:pPr>
              <w:pStyle w:val="59"/>
              <w:ind w:firstLine="0" w:firstLineChars="0"/>
              <w:jc w:val="center"/>
              <w:rPr>
                <w:rFonts w:hint="eastAsia"/>
                <w:color w:val="auto"/>
                <w:szCs w:val="22"/>
              </w:rPr>
            </w:pPr>
            <w:r>
              <w:rPr>
                <w:rFonts w:hint="eastAsia"/>
                <w:color w:val="auto"/>
                <w:szCs w:val="22"/>
              </w:rPr>
              <w:t>5.1.2</w:t>
            </w:r>
          </w:p>
        </w:tc>
        <w:tc>
          <w:tcPr>
            <w:tcW w:w="1134" w:type="dxa"/>
            <w:vAlign w:val="center"/>
          </w:tcPr>
          <w:p w14:paraId="0C3D2A31">
            <w:pPr>
              <w:pStyle w:val="59"/>
              <w:ind w:firstLine="0" w:firstLineChars="0"/>
              <w:jc w:val="center"/>
              <w:rPr>
                <w:rFonts w:hint="eastAsia" w:hAnsi="宋体"/>
                <w:color w:val="auto"/>
                <w:szCs w:val="22"/>
              </w:rPr>
            </w:pPr>
            <w:r>
              <w:rPr>
                <w:rFonts w:hint="eastAsia" w:hAnsi="宋体"/>
                <w:color w:val="auto"/>
                <w:szCs w:val="22"/>
              </w:rPr>
              <w:t>×</w:t>
            </w:r>
          </w:p>
        </w:tc>
        <w:tc>
          <w:tcPr>
            <w:tcW w:w="1099" w:type="dxa"/>
            <w:vAlign w:val="center"/>
          </w:tcPr>
          <w:p w14:paraId="60BC1316">
            <w:pPr>
              <w:pStyle w:val="59"/>
              <w:ind w:firstLine="0" w:firstLineChars="0"/>
              <w:jc w:val="center"/>
              <w:rPr>
                <w:rFonts w:hint="eastAsia"/>
                <w:color w:val="auto"/>
                <w:szCs w:val="22"/>
              </w:rPr>
            </w:pPr>
            <w:r>
              <w:rPr>
                <w:rFonts w:hint="eastAsia"/>
                <w:color w:val="auto"/>
                <w:szCs w:val="22"/>
              </w:rPr>
              <w:t>√</w:t>
            </w:r>
          </w:p>
        </w:tc>
      </w:tr>
      <w:tr w14:paraId="0520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2E660E">
            <w:pPr>
              <w:pStyle w:val="59"/>
              <w:ind w:firstLine="0" w:firstLineChars="0"/>
              <w:jc w:val="center"/>
              <w:rPr>
                <w:rFonts w:hint="eastAsia"/>
                <w:color w:val="auto"/>
                <w:szCs w:val="22"/>
              </w:rPr>
            </w:pPr>
            <w:r>
              <w:rPr>
                <w:rFonts w:hint="eastAsia"/>
                <w:color w:val="auto"/>
                <w:szCs w:val="22"/>
              </w:rPr>
              <w:t>2</w:t>
            </w:r>
          </w:p>
        </w:tc>
        <w:tc>
          <w:tcPr>
            <w:tcW w:w="3969" w:type="dxa"/>
            <w:gridSpan w:val="2"/>
            <w:vAlign w:val="center"/>
          </w:tcPr>
          <w:p w14:paraId="036BCFAE">
            <w:pPr>
              <w:pStyle w:val="59"/>
              <w:ind w:firstLine="0" w:firstLineChars="0"/>
              <w:jc w:val="center"/>
              <w:rPr>
                <w:rFonts w:hint="eastAsia"/>
                <w:color w:val="auto"/>
                <w:szCs w:val="22"/>
              </w:rPr>
            </w:pPr>
            <w:r>
              <w:rPr>
                <w:rFonts w:hint="eastAsia"/>
                <w:color w:val="auto"/>
                <w:szCs w:val="22"/>
              </w:rPr>
              <w:t>规格要求</w:t>
            </w:r>
          </w:p>
        </w:tc>
        <w:tc>
          <w:tcPr>
            <w:tcW w:w="1418" w:type="dxa"/>
            <w:vAlign w:val="center"/>
          </w:tcPr>
          <w:p w14:paraId="4DA4D1E8">
            <w:pPr>
              <w:pStyle w:val="59"/>
              <w:ind w:firstLine="0" w:firstLineChars="0"/>
              <w:jc w:val="center"/>
              <w:rPr>
                <w:rFonts w:hint="eastAsia"/>
                <w:color w:val="auto"/>
                <w:szCs w:val="22"/>
              </w:rPr>
            </w:pPr>
            <w:r>
              <w:rPr>
                <w:rFonts w:hint="eastAsia"/>
                <w:color w:val="auto"/>
                <w:szCs w:val="22"/>
              </w:rPr>
              <w:t>4.2</w:t>
            </w:r>
          </w:p>
        </w:tc>
        <w:tc>
          <w:tcPr>
            <w:tcW w:w="1276" w:type="dxa"/>
            <w:vAlign w:val="center"/>
          </w:tcPr>
          <w:p w14:paraId="6AD440ED">
            <w:pPr>
              <w:pStyle w:val="59"/>
              <w:ind w:firstLine="0" w:firstLineChars="0"/>
              <w:jc w:val="center"/>
              <w:rPr>
                <w:rFonts w:hint="eastAsia"/>
                <w:color w:val="auto"/>
                <w:szCs w:val="22"/>
              </w:rPr>
            </w:pPr>
            <w:r>
              <w:rPr>
                <w:rFonts w:hint="eastAsia"/>
                <w:color w:val="auto"/>
                <w:szCs w:val="22"/>
              </w:rPr>
              <w:t>5.2</w:t>
            </w:r>
          </w:p>
        </w:tc>
        <w:tc>
          <w:tcPr>
            <w:tcW w:w="1134" w:type="dxa"/>
            <w:vAlign w:val="center"/>
          </w:tcPr>
          <w:p w14:paraId="5E1A5603">
            <w:pPr>
              <w:pStyle w:val="59"/>
              <w:ind w:firstLine="0" w:firstLineChars="0"/>
              <w:jc w:val="center"/>
              <w:rPr>
                <w:rFonts w:hint="eastAsia" w:hAnsi="宋体"/>
                <w:color w:val="auto"/>
                <w:szCs w:val="22"/>
              </w:rPr>
            </w:pPr>
            <w:r>
              <w:rPr>
                <w:rFonts w:hint="eastAsia" w:hAnsi="宋体"/>
                <w:color w:val="auto"/>
                <w:szCs w:val="22"/>
              </w:rPr>
              <w:t>×</w:t>
            </w:r>
          </w:p>
        </w:tc>
        <w:tc>
          <w:tcPr>
            <w:tcW w:w="1099" w:type="dxa"/>
            <w:vAlign w:val="center"/>
          </w:tcPr>
          <w:p w14:paraId="08B5146F">
            <w:pPr>
              <w:pStyle w:val="59"/>
              <w:ind w:firstLine="0" w:firstLineChars="0"/>
              <w:jc w:val="center"/>
              <w:rPr>
                <w:rFonts w:hint="eastAsia"/>
                <w:color w:val="auto"/>
                <w:szCs w:val="22"/>
              </w:rPr>
            </w:pPr>
            <w:r>
              <w:rPr>
                <w:rFonts w:hint="eastAsia"/>
                <w:color w:val="auto"/>
                <w:szCs w:val="22"/>
              </w:rPr>
              <w:t>√</w:t>
            </w:r>
          </w:p>
        </w:tc>
      </w:tr>
      <w:tr w14:paraId="0578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ECA69C9">
            <w:pPr>
              <w:pStyle w:val="59"/>
              <w:ind w:firstLine="0" w:firstLineChars="0"/>
              <w:jc w:val="center"/>
              <w:rPr>
                <w:color w:val="auto"/>
                <w:szCs w:val="22"/>
              </w:rPr>
            </w:pPr>
            <w:r>
              <w:rPr>
                <w:rFonts w:hint="eastAsia"/>
                <w:color w:val="auto"/>
                <w:szCs w:val="22"/>
              </w:rPr>
              <w:t>3</w:t>
            </w:r>
          </w:p>
        </w:tc>
        <w:tc>
          <w:tcPr>
            <w:tcW w:w="1276" w:type="dxa"/>
            <w:vMerge w:val="restart"/>
            <w:vAlign w:val="center"/>
          </w:tcPr>
          <w:p w14:paraId="48C1F737">
            <w:pPr>
              <w:pStyle w:val="59"/>
              <w:ind w:firstLine="0" w:firstLineChars="0"/>
              <w:jc w:val="center"/>
              <w:rPr>
                <w:color w:val="auto"/>
                <w:szCs w:val="22"/>
              </w:rPr>
            </w:pPr>
            <w:r>
              <w:rPr>
                <w:rFonts w:hint="eastAsia"/>
                <w:color w:val="auto"/>
                <w:szCs w:val="22"/>
              </w:rPr>
              <w:t>结构与外观</w:t>
            </w:r>
          </w:p>
        </w:tc>
        <w:tc>
          <w:tcPr>
            <w:tcW w:w="2693" w:type="dxa"/>
            <w:vAlign w:val="center"/>
          </w:tcPr>
          <w:p w14:paraId="6C83E3FC">
            <w:pPr>
              <w:pStyle w:val="59"/>
              <w:ind w:firstLine="0" w:firstLineChars="0"/>
              <w:jc w:val="center"/>
              <w:rPr>
                <w:color w:val="auto"/>
                <w:szCs w:val="22"/>
              </w:rPr>
            </w:pPr>
            <w:r>
              <w:rPr>
                <w:rFonts w:hint="eastAsia"/>
                <w:color w:val="auto"/>
                <w:szCs w:val="22"/>
              </w:rPr>
              <w:t>外壳</w:t>
            </w:r>
          </w:p>
        </w:tc>
        <w:tc>
          <w:tcPr>
            <w:tcW w:w="1418" w:type="dxa"/>
            <w:vAlign w:val="center"/>
          </w:tcPr>
          <w:p w14:paraId="62416E92">
            <w:pPr>
              <w:pStyle w:val="59"/>
              <w:ind w:firstLine="0" w:firstLineChars="0"/>
              <w:jc w:val="center"/>
              <w:rPr>
                <w:color w:val="auto"/>
                <w:szCs w:val="22"/>
              </w:rPr>
            </w:pPr>
            <w:r>
              <w:rPr>
                <w:rFonts w:hint="eastAsia"/>
                <w:color w:val="auto"/>
                <w:szCs w:val="22"/>
              </w:rPr>
              <w:t>4.3.1</w:t>
            </w:r>
          </w:p>
        </w:tc>
        <w:tc>
          <w:tcPr>
            <w:tcW w:w="1276" w:type="dxa"/>
            <w:vAlign w:val="center"/>
          </w:tcPr>
          <w:p w14:paraId="521B034A">
            <w:pPr>
              <w:pStyle w:val="59"/>
              <w:ind w:firstLine="0" w:firstLineChars="0"/>
              <w:jc w:val="center"/>
              <w:rPr>
                <w:color w:val="auto"/>
                <w:szCs w:val="22"/>
              </w:rPr>
            </w:pPr>
            <w:r>
              <w:rPr>
                <w:rFonts w:hint="eastAsia"/>
                <w:color w:val="auto"/>
                <w:szCs w:val="22"/>
              </w:rPr>
              <w:t>5.3.1</w:t>
            </w:r>
          </w:p>
        </w:tc>
        <w:tc>
          <w:tcPr>
            <w:tcW w:w="1134" w:type="dxa"/>
            <w:vAlign w:val="center"/>
          </w:tcPr>
          <w:p w14:paraId="7BA7764A">
            <w:pPr>
              <w:pStyle w:val="59"/>
              <w:ind w:firstLine="0" w:firstLineChars="0"/>
              <w:jc w:val="center"/>
              <w:rPr>
                <w:color w:val="auto"/>
                <w:szCs w:val="22"/>
              </w:rPr>
            </w:pPr>
            <w:r>
              <w:rPr>
                <w:rFonts w:hint="eastAsia"/>
                <w:color w:val="auto"/>
                <w:szCs w:val="22"/>
              </w:rPr>
              <w:t>√</w:t>
            </w:r>
          </w:p>
        </w:tc>
        <w:tc>
          <w:tcPr>
            <w:tcW w:w="1099" w:type="dxa"/>
            <w:vAlign w:val="center"/>
          </w:tcPr>
          <w:p w14:paraId="2385AB3F">
            <w:pPr>
              <w:pStyle w:val="59"/>
              <w:ind w:firstLine="0" w:firstLineChars="0"/>
              <w:jc w:val="center"/>
              <w:rPr>
                <w:color w:val="auto"/>
                <w:szCs w:val="22"/>
              </w:rPr>
            </w:pPr>
            <w:r>
              <w:rPr>
                <w:rFonts w:hint="eastAsia"/>
                <w:color w:val="auto"/>
                <w:szCs w:val="22"/>
              </w:rPr>
              <w:t>√</w:t>
            </w:r>
          </w:p>
        </w:tc>
      </w:tr>
      <w:tr w14:paraId="1A21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00ADF7">
            <w:pPr>
              <w:pStyle w:val="59"/>
              <w:ind w:firstLine="0" w:firstLineChars="0"/>
              <w:jc w:val="center"/>
              <w:rPr>
                <w:color w:val="auto"/>
                <w:szCs w:val="22"/>
              </w:rPr>
            </w:pPr>
            <w:r>
              <w:rPr>
                <w:rFonts w:hint="eastAsia"/>
                <w:color w:val="auto"/>
                <w:szCs w:val="22"/>
              </w:rPr>
              <w:t>4</w:t>
            </w:r>
          </w:p>
        </w:tc>
        <w:tc>
          <w:tcPr>
            <w:tcW w:w="1276" w:type="dxa"/>
            <w:vMerge w:val="continue"/>
            <w:vAlign w:val="center"/>
          </w:tcPr>
          <w:p w14:paraId="15255822">
            <w:pPr>
              <w:pStyle w:val="59"/>
              <w:ind w:firstLine="0" w:firstLineChars="0"/>
              <w:jc w:val="center"/>
              <w:rPr>
                <w:color w:val="auto"/>
                <w:szCs w:val="22"/>
              </w:rPr>
            </w:pPr>
          </w:p>
        </w:tc>
        <w:tc>
          <w:tcPr>
            <w:tcW w:w="2693" w:type="dxa"/>
            <w:vAlign w:val="center"/>
          </w:tcPr>
          <w:p w14:paraId="0ED15491">
            <w:pPr>
              <w:pStyle w:val="59"/>
              <w:ind w:firstLine="0" w:firstLineChars="0"/>
              <w:jc w:val="center"/>
              <w:rPr>
                <w:color w:val="auto"/>
                <w:szCs w:val="22"/>
              </w:rPr>
            </w:pPr>
            <w:r>
              <w:rPr>
                <w:rFonts w:hint="eastAsia"/>
                <w:color w:val="auto"/>
                <w:szCs w:val="22"/>
              </w:rPr>
              <w:t>铭牌</w:t>
            </w:r>
          </w:p>
        </w:tc>
        <w:tc>
          <w:tcPr>
            <w:tcW w:w="1418" w:type="dxa"/>
            <w:vAlign w:val="center"/>
          </w:tcPr>
          <w:p w14:paraId="6023E226">
            <w:pPr>
              <w:pStyle w:val="59"/>
              <w:ind w:firstLine="0" w:firstLineChars="0"/>
              <w:jc w:val="center"/>
              <w:rPr>
                <w:color w:val="auto"/>
                <w:szCs w:val="22"/>
              </w:rPr>
            </w:pPr>
            <w:r>
              <w:rPr>
                <w:rFonts w:hint="eastAsia"/>
                <w:color w:val="auto"/>
                <w:szCs w:val="22"/>
              </w:rPr>
              <w:t>4.3.2</w:t>
            </w:r>
          </w:p>
        </w:tc>
        <w:tc>
          <w:tcPr>
            <w:tcW w:w="1276" w:type="dxa"/>
            <w:vAlign w:val="center"/>
          </w:tcPr>
          <w:p w14:paraId="28C18EDC">
            <w:pPr>
              <w:pStyle w:val="59"/>
              <w:ind w:firstLine="0" w:firstLineChars="0"/>
              <w:jc w:val="center"/>
              <w:rPr>
                <w:color w:val="auto"/>
                <w:szCs w:val="22"/>
              </w:rPr>
            </w:pPr>
            <w:r>
              <w:rPr>
                <w:rFonts w:hint="eastAsia"/>
                <w:color w:val="auto"/>
                <w:szCs w:val="22"/>
              </w:rPr>
              <w:t>5.3.2</w:t>
            </w:r>
          </w:p>
        </w:tc>
        <w:tc>
          <w:tcPr>
            <w:tcW w:w="1134" w:type="dxa"/>
            <w:vAlign w:val="center"/>
          </w:tcPr>
          <w:p w14:paraId="668D8F41">
            <w:pPr>
              <w:pStyle w:val="59"/>
              <w:ind w:firstLine="0" w:firstLineChars="0"/>
              <w:jc w:val="center"/>
              <w:rPr>
                <w:color w:val="auto"/>
                <w:szCs w:val="22"/>
              </w:rPr>
            </w:pPr>
            <w:r>
              <w:rPr>
                <w:rFonts w:hint="eastAsia"/>
                <w:color w:val="auto"/>
                <w:szCs w:val="22"/>
              </w:rPr>
              <w:t>√</w:t>
            </w:r>
          </w:p>
        </w:tc>
        <w:tc>
          <w:tcPr>
            <w:tcW w:w="1099" w:type="dxa"/>
            <w:vAlign w:val="center"/>
          </w:tcPr>
          <w:p w14:paraId="481AF822">
            <w:pPr>
              <w:pStyle w:val="59"/>
              <w:ind w:firstLine="0" w:firstLineChars="0"/>
              <w:jc w:val="center"/>
              <w:rPr>
                <w:color w:val="auto"/>
                <w:szCs w:val="22"/>
              </w:rPr>
            </w:pPr>
            <w:r>
              <w:rPr>
                <w:rFonts w:hint="eastAsia"/>
                <w:color w:val="auto"/>
                <w:szCs w:val="22"/>
              </w:rPr>
              <w:t>√</w:t>
            </w:r>
          </w:p>
        </w:tc>
      </w:tr>
      <w:tr w14:paraId="1140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97A9C07">
            <w:pPr>
              <w:pStyle w:val="59"/>
              <w:ind w:firstLine="0" w:firstLineChars="0"/>
              <w:jc w:val="center"/>
              <w:rPr>
                <w:color w:val="auto"/>
                <w:szCs w:val="22"/>
              </w:rPr>
            </w:pPr>
            <w:r>
              <w:rPr>
                <w:rFonts w:hint="eastAsia"/>
                <w:color w:val="auto"/>
                <w:szCs w:val="22"/>
              </w:rPr>
              <w:t>5</w:t>
            </w:r>
          </w:p>
        </w:tc>
        <w:tc>
          <w:tcPr>
            <w:tcW w:w="1276" w:type="dxa"/>
            <w:vMerge w:val="continue"/>
            <w:vAlign w:val="center"/>
          </w:tcPr>
          <w:p w14:paraId="6B21E987">
            <w:pPr>
              <w:pStyle w:val="59"/>
              <w:ind w:firstLine="0" w:firstLineChars="0"/>
              <w:jc w:val="center"/>
              <w:rPr>
                <w:color w:val="auto"/>
                <w:szCs w:val="22"/>
              </w:rPr>
            </w:pPr>
          </w:p>
        </w:tc>
        <w:tc>
          <w:tcPr>
            <w:tcW w:w="2693" w:type="dxa"/>
            <w:vAlign w:val="center"/>
          </w:tcPr>
          <w:p w14:paraId="2401A9DB">
            <w:pPr>
              <w:pStyle w:val="59"/>
              <w:ind w:firstLine="0" w:firstLineChars="0"/>
              <w:jc w:val="center"/>
              <w:rPr>
                <w:color w:val="auto"/>
                <w:szCs w:val="22"/>
              </w:rPr>
            </w:pPr>
            <w:r>
              <w:rPr>
                <w:rFonts w:hint="eastAsia"/>
                <w:color w:val="auto"/>
                <w:szCs w:val="22"/>
              </w:rPr>
              <w:t>端子和接口</w:t>
            </w:r>
          </w:p>
        </w:tc>
        <w:tc>
          <w:tcPr>
            <w:tcW w:w="1418" w:type="dxa"/>
            <w:vAlign w:val="center"/>
          </w:tcPr>
          <w:p w14:paraId="03F4E200">
            <w:pPr>
              <w:pStyle w:val="59"/>
              <w:ind w:firstLine="0" w:firstLineChars="0"/>
              <w:jc w:val="center"/>
              <w:rPr>
                <w:color w:val="auto"/>
                <w:szCs w:val="22"/>
              </w:rPr>
            </w:pPr>
            <w:r>
              <w:rPr>
                <w:rFonts w:hint="eastAsia"/>
                <w:color w:val="auto"/>
                <w:szCs w:val="22"/>
              </w:rPr>
              <w:t>4.3.3</w:t>
            </w:r>
          </w:p>
        </w:tc>
        <w:tc>
          <w:tcPr>
            <w:tcW w:w="1276" w:type="dxa"/>
            <w:vAlign w:val="center"/>
          </w:tcPr>
          <w:p w14:paraId="26673609">
            <w:pPr>
              <w:pStyle w:val="59"/>
              <w:ind w:firstLine="0" w:firstLineChars="0"/>
              <w:jc w:val="center"/>
              <w:rPr>
                <w:color w:val="auto"/>
                <w:szCs w:val="22"/>
              </w:rPr>
            </w:pPr>
            <w:r>
              <w:rPr>
                <w:rFonts w:hint="eastAsia"/>
                <w:color w:val="auto"/>
                <w:szCs w:val="22"/>
              </w:rPr>
              <w:t>5.2.3</w:t>
            </w:r>
          </w:p>
        </w:tc>
        <w:tc>
          <w:tcPr>
            <w:tcW w:w="1134" w:type="dxa"/>
            <w:shd w:val="clear" w:color="auto" w:fill="auto"/>
            <w:vAlign w:val="center"/>
          </w:tcPr>
          <w:p w14:paraId="6300BE8D">
            <w:pPr>
              <w:pStyle w:val="59"/>
              <w:ind w:firstLine="0" w:firstLineChars="0"/>
              <w:jc w:val="center"/>
              <w:rPr>
                <w:color w:val="auto"/>
                <w:szCs w:val="22"/>
              </w:rPr>
            </w:pPr>
            <w:r>
              <w:rPr>
                <w:rFonts w:hint="eastAsia"/>
                <w:color w:val="auto"/>
                <w:szCs w:val="22"/>
              </w:rPr>
              <w:t>√</w:t>
            </w:r>
          </w:p>
        </w:tc>
        <w:tc>
          <w:tcPr>
            <w:tcW w:w="1099" w:type="dxa"/>
            <w:shd w:val="clear" w:color="auto" w:fill="auto"/>
            <w:vAlign w:val="center"/>
          </w:tcPr>
          <w:p w14:paraId="29974DB0">
            <w:pPr>
              <w:pStyle w:val="59"/>
              <w:ind w:firstLine="0" w:firstLineChars="0"/>
              <w:jc w:val="center"/>
              <w:rPr>
                <w:color w:val="auto"/>
                <w:szCs w:val="22"/>
              </w:rPr>
            </w:pPr>
            <w:r>
              <w:rPr>
                <w:rFonts w:hint="eastAsia"/>
                <w:color w:val="auto"/>
                <w:szCs w:val="22"/>
              </w:rPr>
              <w:t>√</w:t>
            </w:r>
          </w:p>
        </w:tc>
      </w:tr>
      <w:tr w14:paraId="3F4F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shd w:val="clear" w:color="auto" w:fill="auto"/>
            <w:vAlign w:val="center"/>
          </w:tcPr>
          <w:p w14:paraId="6D283851">
            <w:pPr>
              <w:pStyle w:val="59"/>
              <w:ind w:firstLine="0" w:firstLineChars="0"/>
              <w:jc w:val="center"/>
              <w:rPr>
                <w:color w:val="auto"/>
                <w:szCs w:val="22"/>
              </w:rPr>
            </w:pPr>
            <w:r>
              <w:rPr>
                <w:rFonts w:hint="eastAsia"/>
                <w:color w:val="auto"/>
                <w:szCs w:val="22"/>
              </w:rPr>
              <w:t>6</w:t>
            </w:r>
          </w:p>
        </w:tc>
        <w:tc>
          <w:tcPr>
            <w:tcW w:w="1276" w:type="dxa"/>
            <w:vMerge w:val="continue"/>
            <w:vAlign w:val="center"/>
          </w:tcPr>
          <w:p w14:paraId="64EFE77D">
            <w:pPr>
              <w:pStyle w:val="59"/>
              <w:ind w:firstLine="0" w:firstLineChars="0"/>
              <w:jc w:val="center"/>
              <w:rPr>
                <w:color w:val="auto"/>
                <w:szCs w:val="22"/>
              </w:rPr>
            </w:pPr>
          </w:p>
        </w:tc>
        <w:tc>
          <w:tcPr>
            <w:tcW w:w="2693" w:type="dxa"/>
            <w:vAlign w:val="center"/>
          </w:tcPr>
          <w:p w14:paraId="6CA3B76E">
            <w:pPr>
              <w:pStyle w:val="59"/>
              <w:ind w:firstLine="0" w:firstLineChars="0"/>
              <w:jc w:val="center"/>
              <w:rPr>
                <w:color w:val="auto"/>
                <w:szCs w:val="22"/>
              </w:rPr>
            </w:pPr>
            <w:r>
              <w:rPr>
                <w:rFonts w:hint="eastAsia"/>
                <w:color w:val="auto"/>
                <w:szCs w:val="22"/>
              </w:rPr>
              <w:t>信息显示和指示</w:t>
            </w:r>
          </w:p>
        </w:tc>
        <w:tc>
          <w:tcPr>
            <w:tcW w:w="1418" w:type="dxa"/>
            <w:vAlign w:val="center"/>
          </w:tcPr>
          <w:p w14:paraId="3E87CB98">
            <w:pPr>
              <w:pStyle w:val="59"/>
              <w:ind w:firstLine="0" w:firstLineChars="0"/>
              <w:jc w:val="center"/>
              <w:rPr>
                <w:color w:val="auto"/>
                <w:szCs w:val="22"/>
              </w:rPr>
            </w:pPr>
            <w:r>
              <w:rPr>
                <w:rFonts w:hint="eastAsia"/>
                <w:color w:val="auto"/>
                <w:szCs w:val="22"/>
              </w:rPr>
              <w:t>4.3.4</w:t>
            </w:r>
          </w:p>
        </w:tc>
        <w:tc>
          <w:tcPr>
            <w:tcW w:w="1276" w:type="dxa"/>
            <w:vAlign w:val="center"/>
          </w:tcPr>
          <w:p w14:paraId="17CB307E">
            <w:pPr>
              <w:pStyle w:val="59"/>
              <w:ind w:firstLine="0" w:firstLineChars="0"/>
              <w:jc w:val="center"/>
              <w:rPr>
                <w:color w:val="auto"/>
                <w:szCs w:val="22"/>
              </w:rPr>
            </w:pPr>
            <w:r>
              <w:rPr>
                <w:rFonts w:hint="eastAsia"/>
                <w:color w:val="auto"/>
                <w:szCs w:val="22"/>
              </w:rPr>
              <w:t>5.3.4</w:t>
            </w:r>
          </w:p>
        </w:tc>
        <w:tc>
          <w:tcPr>
            <w:tcW w:w="1134" w:type="dxa"/>
            <w:shd w:val="clear" w:color="auto" w:fill="auto"/>
            <w:vAlign w:val="center"/>
          </w:tcPr>
          <w:p w14:paraId="7F00B703">
            <w:pPr>
              <w:pStyle w:val="59"/>
              <w:ind w:firstLine="0" w:firstLineChars="0"/>
              <w:jc w:val="center"/>
              <w:rPr>
                <w:color w:val="auto"/>
                <w:szCs w:val="22"/>
              </w:rPr>
            </w:pPr>
            <w:r>
              <w:rPr>
                <w:rFonts w:hint="eastAsia"/>
                <w:color w:val="auto"/>
                <w:szCs w:val="22"/>
              </w:rPr>
              <w:t>√</w:t>
            </w:r>
          </w:p>
        </w:tc>
        <w:tc>
          <w:tcPr>
            <w:tcW w:w="1099" w:type="dxa"/>
            <w:shd w:val="clear" w:color="auto" w:fill="auto"/>
            <w:vAlign w:val="center"/>
          </w:tcPr>
          <w:p w14:paraId="6492FB0C">
            <w:pPr>
              <w:pStyle w:val="59"/>
              <w:ind w:firstLine="0" w:firstLineChars="0"/>
              <w:jc w:val="center"/>
              <w:rPr>
                <w:color w:val="auto"/>
                <w:szCs w:val="22"/>
              </w:rPr>
            </w:pPr>
            <w:r>
              <w:rPr>
                <w:rFonts w:hint="eastAsia"/>
                <w:color w:val="auto"/>
                <w:szCs w:val="22"/>
              </w:rPr>
              <w:t>√</w:t>
            </w:r>
          </w:p>
        </w:tc>
      </w:tr>
      <w:tr w14:paraId="5954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50E7256F">
            <w:pPr>
              <w:pStyle w:val="59"/>
              <w:ind w:firstLine="0" w:firstLineChars="0"/>
              <w:jc w:val="center"/>
              <w:rPr>
                <w:color w:val="auto"/>
                <w:szCs w:val="22"/>
              </w:rPr>
            </w:pPr>
            <w:r>
              <w:rPr>
                <w:rFonts w:hint="eastAsia"/>
                <w:color w:val="auto"/>
                <w:szCs w:val="22"/>
              </w:rPr>
              <w:t>7</w:t>
            </w:r>
          </w:p>
        </w:tc>
        <w:tc>
          <w:tcPr>
            <w:tcW w:w="1276" w:type="dxa"/>
            <w:vMerge w:val="restart"/>
            <w:vAlign w:val="center"/>
          </w:tcPr>
          <w:p w14:paraId="7B9F48EF">
            <w:pPr>
              <w:pStyle w:val="59"/>
              <w:ind w:firstLine="0" w:firstLineChars="0"/>
              <w:jc w:val="center"/>
              <w:rPr>
                <w:color w:val="auto"/>
                <w:szCs w:val="22"/>
              </w:rPr>
            </w:pPr>
            <w:r>
              <w:rPr>
                <w:rFonts w:hint="eastAsia"/>
                <w:color w:val="auto"/>
                <w:szCs w:val="22"/>
              </w:rPr>
              <w:t>功能要求</w:t>
            </w:r>
          </w:p>
        </w:tc>
        <w:tc>
          <w:tcPr>
            <w:tcW w:w="2693" w:type="dxa"/>
            <w:vAlign w:val="center"/>
          </w:tcPr>
          <w:p w14:paraId="755E1C96">
            <w:pPr>
              <w:pStyle w:val="59"/>
              <w:ind w:firstLine="0" w:firstLineChars="0"/>
              <w:jc w:val="center"/>
              <w:rPr>
                <w:color w:val="auto"/>
                <w:szCs w:val="22"/>
              </w:rPr>
            </w:pPr>
            <w:r>
              <w:rPr>
                <w:rFonts w:hint="eastAsia"/>
                <w:color w:val="auto"/>
                <w:szCs w:val="22"/>
              </w:rPr>
              <w:t>电能量计量功能</w:t>
            </w:r>
          </w:p>
        </w:tc>
        <w:tc>
          <w:tcPr>
            <w:tcW w:w="1418" w:type="dxa"/>
            <w:vAlign w:val="center"/>
          </w:tcPr>
          <w:p w14:paraId="3C3CA7F6">
            <w:pPr>
              <w:pStyle w:val="59"/>
              <w:ind w:firstLine="0" w:firstLineChars="0"/>
              <w:jc w:val="center"/>
              <w:rPr>
                <w:color w:val="auto"/>
                <w:szCs w:val="22"/>
              </w:rPr>
            </w:pPr>
            <w:r>
              <w:rPr>
                <w:rFonts w:hint="eastAsia"/>
                <w:color w:val="auto"/>
                <w:szCs w:val="22"/>
              </w:rPr>
              <w:t>4.4.1</w:t>
            </w:r>
          </w:p>
        </w:tc>
        <w:tc>
          <w:tcPr>
            <w:tcW w:w="1276" w:type="dxa"/>
            <w:vAlign w:val="center"/>
          </w:tcPr>
          <w:p w14:paraId="679290AA">
            <w:pPr>
              <w:pStyle w:val="59"/>
              <w:ind w:firstLine="0" w:firstLineChars="0"/>
              <w:jc w:val="center"/>
              <w:rPr>
                <w:color w:val="auto"/>
                <w:szCs w:val="22"/>
              </w:rPr>
            </w:pPr>
            <w:r>
              <w:rPr>
                <w:rFonts w:hint="eastAsia"/>
                <w:color w:val="auto"/>
                <w:szCs w:val="22"/>
              </w:rPr>
              <w:t>5.4</w:t>
            </w:r>
          </w:p>
        </w:tc>
        <w:tc>
          <w:tcPr>
            <w:tcW w:w="1134" w:type="dxa"/>
            <w:vAlign w:val="center"/>
          </w:tcPr>
          <w:p w14:paraId="2CBEA232">
            <w:pPr>
              <w:pStyle w:val="59"/>
              <w:ind w:firstLine="0" w:firstLineChars="0"/>
              <w:jc w:val="center"/>
              <w:rPr>
                <w:color w:val="auto"/>
                <w:szCs w:val="22"/>
              </w:rPr>
            </w:pPr>
            <w:r>
              <w:rPr>
                <w:rFonts w:hint="eastAsia" w:hAnsi="宋体"/>
                <w:color w:val="auto"/>
                <w:szCs w:val="22"/>
              </w:rPr>
              <w:t>√</w:t>
            </w:r>
          </w:p>
        </w:tc>
        <w:tc>
          <w:tcPr>
            <w:tcW w:w="1099" w:type="dxa"/>
            <w:vAlign w:val="center"/>
          </w:tcPr>
          <w:p w14:paraId="703A69F4">
            <w:pPr>
              <w:pStyle w:val="59"/>
              <w:ind w:firstLine="0" w:firstLineChars="0"/>
              <w:jc w:val="center"/>
              <w:rPr>
                <w:color w:val="auto"/>
                <w:szCs w:val="22"/>
              </w:rPr>
            </w:pPr>
            <w:r>
              <w:rPr>
                <w:rFonts w:hint="eastAsia"/>
                <w:color w:val="auto"/>
                <w:szCs w:val="22"/>
              </w:rPr>
              <w:t>√</w:t>
            </w:r>
          </w:p>
        </w:tc>
      </w:tr>
      <w:tr w14:paraId="54DF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4467B21">
            <w:pPr>
              <w:pStyle w:val="59"/>
              <w:ind w:firstLine="0" w:firstLineChars="0"/>
              <w:jc w:val="center"/>
              <w:rPr>
                <w:color w:val="auto"/>
                <w:szCs w:val="22"/>
              </w:rPr>
            </w:pPr>
            <w:r>
              <w:rPr>
                <w:rFonts w:hint="eastAsia"/>
                <w:color w:val="auto"/>
                <w:szCs w:val="22"/>
              </w:rPr>
              <w:t>8</w:t>
            </w:r>
          </w:p>
        </w:tc>
        <w:tc>
          <w:tcPr>
            <w:tcW w:w="1276" w:type="dxa"/>
            <w:vMerge w:val="continue"/>
            <w:vAlign w:val="center"/>
          </w:tcPr>
          <w:p w14:paraId="1043C908">
            <w:pPr>
              <w:pStyle w:val="59"/>
              <w:ind w:firstLine="0" w:firstLineChars="0"/>
              <w:jc w:val="center"/>
              <w:rPr>
                <w:color w:val="auto"/>
                <w:szCs w:val="22"/>
              </w:rPr>
            </w:pPr>
          </w:p>
        </w:tc>
        <w:tc>
          <w:tcPr>
            <w:tcW w:w="2693" w:type="dxa"/>
            <w:vAlign w:val="center"/>
          </w:tcPr>
          <w:p w14:paraId="76765C9E">
            <w:pPr>
              <w:pStyle w:val="59"/>
              <w:ind w:firstLine="0" w:firstLineChars="0"/>
              <w:jc w:val="center"/>
              <w:rPr>
                <w:color w:val="auto"/>
                <w:szCs w:val="22"/>
              </w:rPr>
            </w:pPr>
            <w:r>
              <w:rPr>
                <w:rFonts w:hint="eastAsia"/>
                <w:color w:val="auto"/>
                <w:szCs w:val="22"/>
              </w:rPr>
              <w:t>电碳排放量计量功能</w:t>
            </w:r>
          </w:p>
        </w:tc>
        <w:tc>
          <w:tcPr>
            <w:tcW w:w="1418" w:type="dxa"/>
            <w:vAlign w:val="center"/>
          </w:tcPr>
          <w:p w14:paraId="5FE0BFAA">
            <w:pPr>
              <w:pStyle w:val="59"/>
              <w:ind w:firstLine="0" w:firstLineChars="0"/>
              <w:jc w:val="center"/>
              <w:rPr>
                <w:color w:val="auto"/>
                <w:szCs w:val="22"/>
              </w:rPr>
            </w:pPr>
            <w:r>
              <w:rPr>
                <w:rFonts w:hint="eastAsia"/>
                <w:color w:val="auto"/>
                <w:szCs w:val="22"/>
              </w:rPr>
              <w:t>4.4.2</w:t>
            </w:r>
          </w:p>
        </w:tc>
        <w:tc>
          <w:tcPr>
            <w:tcW w:w="1276" w:type="dxa"/>
            <w:vAlign w:val="center"/>
          </w:tcPr>
          <w:p w14:paraId="4B420513">
            <w:pPr>
              <w:pStyle w:val="59"/>
              <w:ind w:firstLine="0" w:firstLineChars="0"/>
              <w:jc w:val="center"/>
              <w:rPr>
                <w:color w:val="auto"/>
                <w:szCs w:val="22"/>
              </w:rPr>
            </w:pPr>
            <w:r>
              <w:rPr>
                <w:rFonts w:hint="eastAsia"/>
                <w:color w:val="auto"/>
                <w:szCs w:val="22"/>
              </w:rPr>
              <w:t>5.4</w:t>
            </w:r>
          </w:p>
        </w:tc>
        <w:tc>
          <w:tcPr>
            <w:tcW w:w="1134" w:type="dxa"/>
            <w:vAlign w:val="center"/>
          </w:tcPr>
          <w:p w14:paraId="4683E01C">
            <w:pPr>
              <w:pStyle w:val="59"/>
              <w:ind w:firstLine="0" w:firstLineChars="0"/>
              <w:jc w:val="center"/>
              <w:rPr>
                <w:rFonts w:hAnsi="宋体"/>
                <w:color w:val="auto"/>
                <w:szCs w:val="22"/>
              </w:rPr>
            </w:pPr>
            <w:r>
              <w:rPr>
                <w:rFonts w:hint="eastAsia" w:hAnsi="宋体"/>
                <w:color w:val="auto"/>
                <w:szCs w:val="22"/>
              </w:rPr>
              <w:t>√</w:t>
            </w:r>
          </w:p>
        </w:tc>
        <w:tc>
          <w:tcPr>
            <w:tcW w:w="1099" w:type="dxa"/>
            <w:vAlign w:val="center"/>
          </w:tcPr>
          <w:p w14:paraId="4FED6A97">
            <w:pPr>
              <w:pStyle w:val="59"/>
              <w:ind w:firstLine="0" w:firstLineChars="0"/>
              <w:jc w:val="center"/>
              <w:rPr>
                <w:color w:val="auto"/>
                <w:szCs w:val="22"/>
              </w:rPr>
            </w:pPr>
            <w:r>
              <w:rPr>
                <w:rFonts w:hint="eastAsia"/>
                <w:color w:val="auto"/>
                <w:szCs w:val="22"/>
              </w:rPr>
              <w:t>√</w:t>
            </w:r>
          </w:p>
        </w:tc>
      </w:tr>
      <w:tr w14:paraId="08CA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F25D5D7">
            <w:pPr>
              <w:pStyle w:val="59"/>
              <w:ind w:firstLine="0" w:firstLineChars="0"/>
              <w:jc w:val="center"/>
              <w:rPr>
                <w:color w:val="auto"/>
                <w:szCs w:val="22"/>
              </w:rPr>
            </w:pPr>
            <w:r>
              <w:rPr>
                <w:rFonts w:hint="eastAsia"/>
                <w:color w:val="auto"/>
                <w:szCs w:val="22"/>
              </w:rPr>
              <w:t>9</w:t>
            </w:r>
          </w:p>
        </w:tc>
        <w:tc>
          <w:tcPr>
            <w:tcW w:w="1276" w:type="dxa"/>
            <w:vMerge w:val="continue"/>
            <w:vAlign w:val="center"/>
          </w:tcPr>
          <w:p w14:paraId="565B53C1">
            <w:pPr>
              <w:pStyle w:val="59"/>
              <w:ind w:firstLine="0" w:firstLineChars="0"/>
              <w:jc w:val="center"/>
              <w:rPr>
                <w:color w:val="auto"/>
                <w:szCs w:val="22"/>
              </w:rPr>
            </w:pPr>
          </w:p>
        </w:tc>
        <w:tc>
          <w:tcPr>
            <w:tcW w:w="2693" w:type="dxa"/>
            <w:vAlign w:val="center"/>
          </w:tcPr>
          <w:p w14:paraId="271DDB58">
            <w:pPr>
              <w:pStyle w:val="59"/>
              <w:ind w:firstLine="0" w:firstLineChars="0"/>
              <w:jc w:val="center"/>
              <w:rPr>
                <w:color w:val="auto"/>
                <w:szCs w:val="22"/>
              </w:rPr>
            </w:pPr>
            <w:r>
              <w:rPr>
                <w:rFonts w:hint="eastAsia"/>
                <w:color w:val="auto"/>
                <w:szCs w:val="22"/>
              </w:rPr>
              <w:t>电能量冻结功能</w:t>
            </w:r>
          </w:p>
        </w:tc>
        <w:tc>
          <w:tcPr>
            <w:tcW w:w="1418" w:type="dxa"/>
            <w:vAlign w:val="center"/>
          </w:tcPr>
          <w:p w14:paraId="3D4BAE3C">
            <w:pPr>
              <w:pStyle w:val="59"/>
              <w:ind w:firstLine="0" w:firstLineChars="0"/>
              <w:jc w:val="center"/>
              <w:rPr>
                <w:color w:val="auto"/>
                <w:szCs w:val="22"/>
              </w:rPr>
            </w:pPr>
            <w:r>
              <w:rPr>
                <w:rFonts w:hint="eastAsia"/>
                <w:color w:val="auto"/>
                <w:szCs w:val="22"/>
              </w:rPr>
              <w:t>4.4.3</w:t>
            </w:r>
          </w:p>
        </w:tc>
        <w:tc>
          <w:tcPr>
            <w:tcW w:w="1276" w:type="dxa"/>
            <w:vAlign w:val="center"/>
          </w:tcPr>
          <w:p w14:paraId="4D91883C">
            <w:pPr>
              <w:pStyle w:val="59"/>
              <w:ind w:firstLine="0" w:firstLineChars="0"/>
              <w:jc w:val="center"/>
              <w:rPr>
                <w:color w:val="auto"/>
                <w:szCs w:val="22"/>
              </w:rPr>
            </w:pPr>
            <w:r>
              <w:rPr>
                <w:rFonts w:hint="eastAsia"/>
                <w:color w:val="auto"/>
                <w:szCs w:val="22"/>
              </w:rPr>
              <w:t>5.4</w:t>
            </w:r>
          </w:p>
        </w:tc>
        <w:tc>
          <w:tcPr>
            <w:tcW w:w="1134" w:type="dxa"/>
            <w:vAlign w:val="center"/>
          </w:tcPr>
          <w:p w14:paraId="25331B91">
            <w:pPr>
              <w:pStyle w:val="59"/>
              <w:ind w:firstLine="0" w:firstLineChars="0"/>
              <w:jc w:val="center"/>
              <w:rPr>
                <w:rFonts w:hAnsi="宋体"/>
                <w:color w:val="auto"/>
                <w:szCs w:val="22"/>
              </w:rPr>
            </w:pPr>
            <w:r>
              <w:rPr>
                <w:rFonts w:hint="eastAsia" w:hAnsi="宋体"/>
                <w:color w:val="auto"/>
                <w:szCs w:val="22"/>
              </w:rPr>
              <w:t>√</w:t>
            </w:r>
          </w:p>
        </w:tc>
        <w:tc>
          <w:tcPr>
            <w:tcW w:w="1099" w:type="dxa"/>
            <w:vAlign w:val="center"/>
          </w:tcPr>
          <w:p w14:paraId="43A264D5">
            <w:pPr>
              <w:pStyle w:val="59"/>
              <w:ind w:firstLine="0" w:firstLineChars="0"/>
              <w:jc w:val="center"/>
              <w:rPr>
                <w:color w:val="auto"/>
                <w:szCs w:val="22"/>
              </w:rPr>
            </w:pPr>
            <w:r>
              <w:rPr>
                <w:rFonts w:hint="eastAsia"/>
                <w:color w:val="auto"/>
                <w:szCs w:val="22"/>
              </w:rPr>
              <w:t>√</w:t>
            </w:r>
          </w:p>
        </w:tc>
      </w:tr>
      <w:tr w14:paraId="5511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2A59581">
            <w:pPr>
              <w:pStyle w:val="59"/>
              <w:ind w:firstLine="0" w:firstLineChars="0"/>
              <w:jc w:val="center"/>
              <w:rPr>
                <w:color w:val="auto"/>
                <w:szCs w:val="22"/>
              </w:rPr>
            </w:pPr>
            <w:r>
              <w:rPr>
                <w:rFonts w:hint="eastAsia"/>
                <w:color w:val="auto"/>
                <w:szCs w:val="22"/>
              </w:rPr>
              <w:t>10</w:t>
            </w:r>
          </w:p>
        </w:tc>
        <w:tc>
          <w:tcPr>
            <w:tcW w:w="1276" w:type="dxa"/>
            <w:vMerge w:val="continue"/>
            <w:vAlign w:val="center"/>
          </w:tcPr>
          <w:p w14:paraId="1FCCF64E">
            <w:pPr>
              <w:pStyle w:val="59"/>
              <w:ind w:firstLine="0" w:firstLineChars="0"/>
              <w:jc w:val="center"/>
              <w:rPr>
                <w:color w:val="auto"/>
                <w:szCs w:val="22"/>
              </w:rPr>
            </w:pPr>
          </w:p>
        </w:tc>
        <w:tc>
          <w:tcPr>
            <w:tcW w:w="2693" w:type="dxa"/>
            <w:vAlign w:val="center"/>
          </w:tcPr>
          <w:p w14:paraId="7A90466C">
            <w:pPr>
              <w:pStyle w:val="59"/>
              <w:ind w:firstLine="0" w:firstLineChars="0"/>
              <w:jc w:val="center"/>
              <w:rPr>
                <w:color w:val="auto"/>
                <w:szCs w:val="22"/>
              </w:rPr>
            </w:pPr>
            <w:r>
              <w:rPr>
                <w:rFonts w:hint="eastAsia"/>
                <w:color w:val="auto"/>
                <w:szCs w:val="22"/>
              </w:rPr>
              <w:t>电碳排放量冻结功能</w:t>
            </w:r>
          </w:p>
        </w:tc>
        <w:tc>
          <w:tcPr>
            <w:tcW w:w="1418" w:type="dxa"/>
            <w:vAlign w:val="center"/>
          </w:tcPr>
          <w:p w14:paraId="4156C75D">
            <w:pPr>
              <w:pStyle w:val="59"/>
              <w:ind w:firstLine="0" w:firstLineChars="0"/>
              <w:jc w:val="center"/>
              <w:rPr>
                <w:color w:val="auto"/>
                <w:szCs w:val="22"/>
              </w:rPr>
            </w:pPr>
            <w:r>
              <w:rPr>
                <w:rFonts w:hint="eastAsia"/>
                <w:color w:val="auto"/>
                <w:szCs w:val="22"/>
              </w:rPr>
              <w:t>4.4.4</w:t>
            </w:r>
          </w:p>
        </w:tc>
        <w:tc>
          <w:tcPr>
            <w:tcW w:w="1276" w:type="dxa"/>
            <w:vAlign w:val="center"/>
          </w:tcPr>
          <w:p w14:paraId="101671F0">
            <w:pPr>
              <w:pStyle w:val="59"/>
              <w:ind w:firstLine="0" w:firstLineChars="0"/>
              <w:jc w:val="center"/>
              <w:rPr>
                <w:color w:val="auto"/>
                <w:szCs w:val="22"/>
              </w:rPr>
            </w:pPr>
            <w:r>
              <w:rPr>
                <w:rFonts w:hint="eastAsia"/>
                <w:color w:val="auto"/>
                <w:szCs w:val="22"/>
              </w:rPr>
              <w:t>5.4</w:t>
            </w:r>
          </w:p>
        </w:tc>
        <w:tc>
          <w:tcPr>
            <w:tcW w:w="1134" w:type="dxa"/>
            <w:vAlign w:val="center"/>
          </w:tcPr>
          <w:p w14:paraId="7B94BDE6">
            <w:pPr>
              <w:pStyle w:val="59"/>
              <w:ind w:firstLine="0" w:firstLineChars="0"/>
              <w:jc w:val="center"/>
              <w:rPr>
                <w:rFonts w:hAnsi="宋体"/>
                <w:color w:val="auto"/>
                <w:szCs w:val="22"/>
              </w:rPr>
            </w:pPr>
            <w:r>
              <w:rPr>
                <w:rFonts w:hint="eastAsia" w:hAnsi="宋体"/>
                <w:color w:val="auto"/>
                <w:szCs w:val="22"/>
              </w:rPr>
              <w:t>√</w:t>
            </w:r>
          </w:p>
        </w:tc>
        <w:tc>
          <w:tcPr>
            <w:tcW w:w="1099" w:type="dxa"/>
            <w:vAlign w:val="center"/>
          </w:tcPr>
          <w:p w14:paraId="04F3FCDA">
            <w:pPr>
              <w:pStyle w:val="59"/>
              <w:ind w:firstLine="0" w:firstLineChars="0"/>
              <w:jc w:val="center"/>
              <w:rPr>
                <w:color w:val="auto"/>
                <w:szCs w:val="22"/>
              </w:rPr>
            </w:pPr>
            <w:r>
              <w:rPr>
                <w:rFonts w:hint="eastAsia"/>
                <w:color w:val="auto"/>
                <w:szCs w:val="22"/>
              </w:rPr>
              <w:t>√</w:t>
            </w:r>
          </w:p>
        </w:tc>
      </w:tr>
      <w:tr w14:paraId="4BD9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EDA9288">
            <w:pPr>
              <w:pStyle w:val="59"/>
              <w:ind w:firstLine="0" w:firstLineChars="0"/>
              <w:jc w:val="center"/>
              <w:rPr>
                <w:color w:val="auto"/>
                <w:szCs w:val="22"/>
              </w:rPr>
            </w:pPr>
            <w:r>
              <w:rPr>
                <w:rFonts w:hint="eastAsia"/>
                <w:color w:val="auto"/>
                <w:szCs w:val="22"/>
              </w:rPr>
              <w:t>11</w:t>
            </w:r>
          </w:p>
        </w:tc>
        <w:tc>
          <w:tcPr>
            <w:tcW w:w="1276" w:type="dxa"/>
            <w:vMerge w:val="continue"/>
            <w:vAlign w:val="center"/>
          </w:tcPr>
          <w:p w14:paraId="419568A5">
            <w:pPr>
              <w:pStyle w:val="59"/>
              <w:ind w:firstLine="0" w:firstLineChars="0"/>
              <w:jc w:val="center"/>
              <w:rPr>
                <w:color w:val="auto"/>
                <w:szCs w:val="22"/>
              </w:rPr>
            </w:pPr>
          </w:p>
        </w:tc>
        <w:tc>
          <w:tcPr>
            <w:tcW w:w="2693" w:type="dxa"/>
            <w:vAlign w:val="center"/>
          </w:tcPr>
          <w:p w14:paraId="2A107C2D">
            <w:pPr>
              <w:pStyle w:val="59"/>
              <w:ind w:firstLine="0" w:firstLineChars="0"/>
              <w:jc w:val="center"/>
              <w:rPr>
                <w:color w:val="auto"/>
                <w:szCs w:val="22"/>
              </w:rPr>
            </w:pPr>
            <w:r>
              <w:rPr>
                <w:rFonts w:hint="eastAsia"/>
                <w:color w:val="auto"/>
                <w:szCs w:val="22"/>
              </w:rPr>
              <w:t>数据存储功能</w:t>
            </w:r>
          </w:p>
        </w:tc>
        <w:tc>
          <w:tcPr>
            <w:tcW w:w="1418" w:type="dxa"/>
            <w:vAlign w:val="center"/>
          </w:tcPr>
          <w:p w14:paraId="4B50C458">
            <w:pPr>
              <w:pStyle w:val="59"/>
              <w:ind w:firstLine="0" w:firstLineChars="0"/>
              <w:jc w:val="center"/>
              <w:rPr>
                <w:color w:val="auto"/>
                <w:szCs w:val="22"/>
              </w:rPr>
            </w:pPr>
            <w:r>
              <w:rPr>
                <w:rFonts w:hint="eastAsia"/>
                <w:color w:val="auto"/>
                <w:szCs w:val="22"/>
              </w:rPr>
              <w:t>4.4.5</w:t>
            </w:r>
          </w:p>
        </w:tc>
        <w:tc>
          <w:tcPr>
            <w:tcW w:w="1276" w:type="dxa"/>
            <w:vAlign w:val="center"/>
          </w:tcPr>
          <w:p w14:paraId="669EACB8">
            <w:pPr>
              <w:pStyle w:val="59"/>
              <w:ind w:firstLine="0" w:firstLineChars="0"/>
              <w:jc w:val="center"/>
              <w:rPr>
                <w:color w:val="auto"/>
                <w:szCs w:val="22"/>
              </w:rPr>
            </w:pPr>
            <w:r>
              <w:rPr>
                <w:rFonts w:hint="eastAsia"/>
                <w:color w:val="auto"/>
                <w:szCs w:val="22"/>
              </w:rPr>
              <w:t>5.4</w:t>
            </w:r>
          </w:p>
        </w:tc>
        <w:tc>
          <w:tcPr>
            <w:tcW w:w="1134" w:type="dxa"/>
            <w:vAlign w:val="center"/>
          </w:tcPr>
          <w:p w14:paraId="20ACB62E">
            <w:pPr>
              <w:pStyle w:val="59"/>
              <w:ind w:firstLine="0" w:firstLineChars="0"/>
              <w:jc w:val="center"/>
              <w:rPr>
                <w:rFonts w:hAnsi="宋体"/>
                <w:color w:val="auto"/>
                <w:szCs w:val="22"/>
              </w:rPr>
            </w:pPr>
            <w:r>
              <w:rPr>
                <w:rFonts w:hint="eastAsia" w:hAnsi="宋体"/>
                <w:color w:val="auto"/>
                <w:szCs w:val="22"/>
              </w:rPr>
              <w:t>√</w:t>
            </w:r>
          </w:p>
        </w:tc>
        <w:tc>
          <w:tcPr>
            <w:tcW w:w="1099" w:type="dxa"/>
            <w:vAlign w:val="center"/>
          </w:tcPr>
          <w:p w14:paraId="17E2B05E">
            <w:pPr>
              <w:pStyle w:val="59"/>
              <w:ind w:firstLine="0" w:firstLineChars="0"/>
              <w:jc w:val="center"/>
              <w:rPr>
                <w:color w:val="auto"/>
                <w:szCs w:val="22"/>
              </w:rPr>
            </w:pPr>
            <w:r>
              <w:rPr>
                <w:rFonts w:hint="eastAsia"/>
                <w:color w:val="auto"/>
                <w:szCs w:val="22"/>
              </w:rPr>
              <w:t>√</w:t>
            </w:r>
          </w:p>
        </w:tc>
      </w:tr>
      <w:tr w14:paraId="06A4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1D376D21">
            <w:pPr>
              <w:pStyle w:val="59"/>
              <w:ind w:firstLine="0" w:firstLineChars="0"/>
              <w:jc w:val="center"/>
              <w:rPr>
                <w:color w:val="auto"/>
                <w:szCs w:val="22"/>
              </w:rPr>
            </w:pPr>
            <w:r>
              <w:rPr>
                <w:rFonts w:hint="eastAsia"/>
                <w:color w:val="auto"/>
                <w:szCs w:val="22"/>
              </w:rPr>
              <w:t>12</w:t>
            </w:r>
          </w:p>
        </w:tc>
        <w:tc>
          <w:tcPr>
            <w:tcW w:w="1276" w:type="dxa"/>
            <w:vMerge w:val="continue"/>
            <w:vAlign w:val="center"/>
          </w:tcPr>
          <w:p w14:paraId="6553CFF8">
            <w:pPr>
              <w:pStyle w:val="59"/>
              <w:ind w:firstLine="0" w:firstLineChars="0"/>
              <w:jc w:val="center"/>
              <w:rPr>
                <w:color w:val="auto"/>
                <w:szCs w:val="22"/>
              </w:rPr>
            </w:pPr>
          </w:p>
        </w:tc>
        <w:tc>
          <w:tcPr>
            <w:tcW w:w="2693" w:type="dxa"/>
            <w:vAlign w:val="center"/>
          </w:tcPr>
          <w:p w14:paraId="7FF07218">
            <w:pPr>
              <w:pStyle w:val="59"/>
              <w:ind w:firstLine="0" w:firstLineChars="0"/>
              <w:jc w:val="center"/>
              <w:rPr>
                <w:color w:val="auto"/>
                <w:szCs w:val="22"/>
              </w:rPr>
            </w:pPr>
            <w:r>
              <w:rPr>
                <w:rFonts w:hint="eastAsia"/>
                <w:color w:val="auto"/>
                <w:szCs w:val="22"/>
              </w:rPr>
              <w:t>清零功能</w:t>
            </w:r>
          </w:p>
        </w:tc>
        <w:tc>
          <w:tcPr>
            <w:tcW w:w="1418" w:type="dxa"/>
            <w:vAlign w:val="center"/>
          </w:tcPr>
          <w:p w14:paraId="1C20B6B5">
            <w:pPr>
              <w:pStyle w:val="59"/>
              <w:ind w:firstLine="0" w:firstLineChars="0"/>
              <w:jc w:val="center"/>
              <w:rPr>
                <w:color w:val="auto"/>
                <w:szCs w:val="22"/>
              </w:rPr>
            </w:pPr>
            <w:r>
              <w:rPr>
                <w:rFonts w:hint="eastAsia"/>
                <w:color w:val="auto"/>
                <w:szCs w:val="22"/>
              </w:rPr>
              <w:t>4.4.6</w:t>
            </w:r>
          </w:p>
        </w:tc>
        <w:tc>
          <w:tcPr>
            <w:tcW w:w="1276" w:type="dxa"/>
            <w:vAlign w:val="center"/>
          </w:tcPr>
          <w:p w14:paraId="53789575">
            <w:pPr>
              <w:pStyle w:val="59"/>
              <w:ind w:firstLine="0" w:firstLineChars="0"/>
              <w:jc w:val="center"/>
              <w:rPr>
                <w:color w:val="auto"/>
                <w:szCs w:val="22"/>
              </w:rPr>
            </w:pPr>
            <w:r>
              <w:rPr>
                <w:rFonts w:hint="eastAsia"/>
                <w:color w:val="auto"/>
                <w:szCs w:val="22"/>
              </w:rPr>
              <w:t>5.4</w:t>
            </w:r>
          </w:p>
        </w:tc>
        <w:tc>
          <w:tcPr>
            <w:tcW w:w="1134" w:type="dxa"/>
            <w:vAlign w:val="center"/>
          </w:tcPr>
          <w:p w14:paraId="32FC9D4F">
            <w:pPr>
              <w:pStyle w:val="59"/>
              <w:ind w:firstLine="0" w:firstLineChars="0"/>
              <w:jc w:val="center"/>
              <w:rPr>
                <w:rFonts w:hAnsi="宋体"/>
                <w:color w:val="auto"/>
                <w:szCs w:val="22"/>
              </w:rPr>
            </w:pPr>
            <w:r>
              <w:rPr>
                <w:rFonts w:hint="eastAsia" w:hAnsi="宋体"/>
                <w:color w:val="auto"/>
                <w:szCs w:val="22"/>
              </w:rPr>
              <w:t>√</w:t>
            </w:r>
          </w:p>
        </w:tc>
        <w:tc>
          <w:tcPr>
            <w:tcW w:w="1099" w:type="dxa"/>
            <w:vAlign w:val="center"/>
          </w:tcPr>
          <w:p w14:paraId="176F52F2">
            <w:pPr>
              <w:pStyle w:val="59"/>
              <w:ind w:firstLine="0" w:firstLineChars="0"/>
              <w:jc w:val="center"/>
              <w:rPr>
                <w:color w:val="auto"/>
                <w:szCs w:val="22"/>
              </w:rPr>
            </w:pPr>
            <w:r>
              <w:rPr>
                <w:rFonts w:hint="eastAsia"/>
                <w:color w:val="auto"/>
                <w:szCs w:val="22"/>
              </w:rPr>
              <w:t>√</w:t>
            </w:r>
          </w:p>
        </w:tc>
      </w:tr>
      <w:tr w14:paraId="3410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D0904EE">
            <w:pPr>
              <w:pStyle w:val="59"/>
              <w:ind w:firstLine="0" w:firstLineChars="0"/>
              <w:jc w:val="center"/>
              <w:rPr>
                <w:color w:val="auto"/>
                <w:szCs w:val="22"/>
              </w:rPr>
            </w:pPr>
            <w:r>
              <w:rPr>
                <w:rFonts w:hint="eastAsia"/>
                <w:color w:val="auto"/>
                <w:szCs w:val="22"/>
              </w:rPr>
              <w:t>13</w:t>
            </w:r>
          </w:p>
        </w:tc>
        <w:tc>
          <w:tcPr>
            <w:tcW w:w="1276" w:type="dxa"/>
            <w:vMerge w:val="continue"/>
            <w:vAlign w:val="center"/>
          </w:tcPr>
          <w:p w14:paraId="53384948">
            <w:pPr>
              <w:pStyle w:val="59"/>
              <w:ind w:firstLine="0" w:firstLineChars="0"/>
              <w:jc w:val="center"/>
              <w:rPr>
                <w:color w:val="auto"/>
                <w:szCs w:val="22"/>
              </w:rPr>
            </w:pPr>
          </w:p>
        </w:tc>
        <w:tc>
          <w:tcPr>
            <w:tcW w:w="2693" w:type="dxa"/>
            <w:vAlign w:val="center"/>
          </w:tcPr>
          <w:p w14:paraId="47B34AB9">
            <w:pPr>
              <w:pStyle w:val="59"/>
              <w:ind w:firstLine="0" w:firstLineChars="0"/>
              <w:jc w:val="center"/>
              <w:rPr>
                <w:color w:val="auto"/>
                <w:szCs w:val="22"/>
              </w:rPr>
            </w:pPr>
            <w:r>
              <w:rPr>
                <w:rFonts w:hint="eastAsia"/>
                <w:color w:val="auto"/>
                <w:szCs w:val="22"/>
              </w:rPr>
              <w:t>通信功能</w:t>
            </w:r>
          </w:p>
        </w:tc>
        <w:tc>
          <w:tcPr>
            <w:tcW w:w="1418" w:type="dxa"/>
            <w:vAlign w:val="center"/>
          </w:tcPr>
          <w:p w14:paraId="5BF9BA60">
            <w:pPr>
              <w:pStyle w:val="59"/>
              <w:ind w:firstLine="0" w:firstLineChars="0"/>
              <w:jc w:val="center"/>
              <w:rPr>
                <w:color w:val="auto"/>
                <w:szCs w:val="22"/>
              </w:rPr>
            </w:pPr>
            <w:r>
              <w:rPr>
                <w:rFonts w:hint="eastAsia"/>
                <w:color w:val="auto"/>
                <w:szCs w:val="22"/>
              </w:rPr>
              <w:t>4.4.7</w:t>
            </w:r>
          </w:p>
        </w:tc>
        <w:tc>
          <w:tcPr>
            <w:tcW w:w="1276" w:type="dxa"/>
            <w:vAlign w:val="center"/>
          </w:tcPr>
          <w:p w14:paraId="556A706A">
            <w:pPr>
              <w:pStyle w:val="59"/>
              <w:ind w:firstLine="0" w:firstLineChars="0"/>
              <w:jc w:val="center"/>
              <w:rPr>
                <w:color w:val="auto"/>
                <w:szCs w:val="22"/>
              </w:rPr>
            </w:pPr>
            <w:r>
              <w:rPr>
                <w:rFonts w:hint="eastAsia"/>
                <w:color w:val="auto"/>
                <w:szCs w:val="22"/>
              </w:rPr>
              <w:t>5.4</w:t>
            </w:r>
          </w:p>
        </w:tc>
        <w:tc>
          <w:tcPr>
            <w:tcW w:w="1134" w:type="dxa"/>
            <w:vAlign w:val="center"/>
          </w:tcPr>
          <w:p w14:paraId="46FD6042">
            <w:pPr>
              <w:pStyle w:val="59"/>
              <w:ind w:firstLine="0" w:firstLineChars="0"/>
              <w:jc w:val="center"/>
              <w:rPr>
                <w:rFonts w:hAnsi="宋体"/>
                <w:color w:val="auto"/>
                <w:szCs w:val="22"/>
              </w:rPr>
            </w:pPr>
            <w:r>
              <w:rPr>
                <w:rFonts w:hint="eastAsia" w:hAnsi="宋体"/>
                <w:color w:val="auto"/>
                <w:szCs w:val="22"/>
              </w:rPr>
              <w:t>√</w:t>
            </w:r>
          </w:p>
        </w:tc>
        <w:tc>
          <w:tcPr>
            <w:tcW w:w="1099" w:type="dxa"/>
            <w:vAlign w:val="center"/>
          </w:tcPr>
          <w:p w14:paraId="70AB169E">
            <w:pPr>
              <w:pStyle w:val="59"/>
              <w:ind w:firstLine="0" w:firstLineChars="0"/>
              <w:jc w:val="center"/>
              <w:rPr>
                <w:color w:val="auto"/>
                <w:szCs w:val="22"/>
              </w:rPr>
            </w:pPr>
            <w:r>
              <w:rPr>
                <w:rFonts w:hint="eastAsia"/>
                <w:color w:val="auto"/>
                <w:szCs w:val="22"/>
              </w:rPr>
              <w:t>√</w:t>
            </w:r>
          </w:p>
        </w:tc>
      </w:tr>
      <w:tr w14:paraId="32AB48AA">
        <w:tblPrEx>
          <w:tblCellMar>
            <w:top w:w="0" w:type="dxa"/>
            <w:left w:w="108" w:type="dxa"/>
            <w:bottom w:w="0" w:type="dxa"/>
            <w:right w:w="108" w:type="dxa"/>
          </w:tblCellMar>
        </w:tblPrEx>
        <w:tc>
          <w:tcPr>
            <w:tcW w:w="675" w:type="dxa"/>
            <w:shd w:val="clear" w:color="auto" w:fill="auto"/>
            <w:vAlign w:val="center"/>
          </w:tcPr>
          <w:p w14:paraId="293A207A">
            <w:pPr>
              <w:pStyle w:val="59"/>
              <w:ind w:firstLine="0" w:firstLineChars="0"/>
              <w:jc w:val="center"/>
              <w:rPr>
                <w:color w:val="auto"/>
                <w:szCs w:val="22"/>
              </w:rPr>
            </w:pPr>
            <w:r>
              <w:rPr>
                <w:rFonts w:hint="eastAsia"/>
                <w:color w:val="auto"/>
                <w:szCs w:val="22"/>
              </w:rPr>
              <w:t>14</w:t>
            </w:r>
          </w:p>
        </w:tc>
        <w:tc>
          <w:tcPr>
            <w:tcW w:w="1276" w:type="dxa"/>
            <w:vMerge w:val="continue"/>
            <w:vAlign w:val="center"/>
          </w:tcPr>
          <w:p w14:paraId="57F85B9C">
            <w:pPr>
              <w:pStyle w:val="59"/>
              <w:ind w:firstLine="0" w:firstLineChars="0"/>
              <w:jc w:val="center"/>
              <w:rPr>
                <w:color w:val="auto"/>
                <w:szCs w:val="22"/>
              </w:rPr>
            </w:pPr>
          </w:p>
        </w:tc>
        <w:tc>
          <w:tcPr>
            <w:tcW w:w="2693" w:type="dxa"/>
            <w:vAlign w:val="center"/>
          </w:tcPr>
          <w:p w14:paraId="7D01885C">
            <w:pPr>
              <w:pStyle w:val="59"/>
              <w:ind w:firstLine="0" w:firstLineChars="0"/>
              <w:jc w:val="center"/>
              <w:rPr>
                <w:color w:val="auto"/>
                <w:szCs w:val="22"/>
              </w:rPr>
            </w:pPr>
            <w:r>
              <w:rPr>
                <w:rFonts w:hint="eastAsia"/>
                <w:color w:val="auto"/>
                <w:szCs w:val="22"/>
              </w:rPr>
              <w:t>电碳排放量计费功能</w:t>
            </w:r>
          </w:p>
        </w:tc>
        <w:tc>
          <w:tcPr>
            <w:tcW w:w="1418" w:type="dxa"/>
            <w:vAlign w:val="center"/>
          </w:tcPr>
          <w:p w14:paraId="73703029">
            <w:pPr>
              <w:pStyle w:val="59"/>
              <w:ind w:firstLine="0" w:firstLineChars="0"/>
              <w:jc w:val="center"/>
              <w:rPr>
                <w:color w:val="auto"/>
                <w:szCs w:val="22"/>
              </w:rPr>
            </w:pPr>
            <w:r>
              <w:rPr>
                <w:rFonts w:hint="eastAsia"/>
                <w:color w:val="auto"/>
                <w:szCs w:val="22"/>
              </w:rPr>
              <w:t>4.4.8</w:t>
            </w:r>
          </w:p>
        </w:tc>
        <w:tc>
          <w:tcPr>
            <w:tcW w:w="1276" w:type="dxa"/>
            <w:vAlign w:val="center"/>
          </w:tcPr>
          <w:p w14:paraId="18D64EB0">
            <w:pPr>
              <w:pStyle w:val="59"/>
              <w:ind w:firstLine="0" w:firstLineChars="0"/>
              <w:jc w:val="center"/>
              <w:rPr>
                <w:color w:val="auto"/>
                <w:szCs w:val="22"/>
              </w:rPr>
            </w:pPr>
            <w:r>
              <w:rPr>
                <w:rFonts w:hint="eastAsia"/>
                <w:color w:val="auto"/>
                <w:szCs w:val="22"/>
              </w:rPr>
              <w:t>5.4</w:t>
            </w:r>
          </w:p>
        </w:tc>
        <w:tc>
          <w:tcPr>
            <w:tcW w:w="1134" w:type="dxa"/>
            <w:vAlign w:val="center"/>
          </w:tcPr>
          <w:p w14:paraId="3D8E2AAF">
            <w:pPr>
              <w:pStyle w:val="59"/>
              <w:ind w:firstLine="0" w:firstLineChars="0"/>
              <w:jc w:val="center"/>
              <w:rPr>
                <w:rFonts w:hAnsi="宋体"/>
                <w:color w:val="auto"/>
                <w:szCs w:val="22"/>
              </w:rPr>
            </w:pPr>
            <w:r>
              <w:rPr>
                <w:rFonts w:hint="eastAsia" w:hAnsi="宋体"/>
                <w:color w:val="auto"/>
                <w:szCs w:val="22"/>
              </w:rPr>
              <w:t>√</w:t>
            </w:r>
          </w:p>
        </w:tc>
        <w:tc>
          <w:tcPr>
            <w:tcW w:w="1099" w:type="dxa"/>
            <w:vAlign w:val="center"/>
          </w:tcPr>
          <w:p w14:paraId="15BD003A">
            <w:pPr>
              <w:pStyle w:val="59"/>
              <w:ind w:firstLine="0" w:firstLineChars="0"/>
              <w:jc w:val="center"/>
              <w:rPr>
                <w:color w:val="auto"/>
                <w:szCs w:val="22"/>
              </w:rPr>
            </w:pPr>
            <w:r>
              <w:rPr>
                <w:rFonts w:hint="eastAsia"/>
                <w:color w:val="auto"/>
                <w:szCs w:val="22"/>
              </w:rPr>
              <w:t>√</w:t>
            </w:r>
          </w:p>
        </w:tc>
      </w:tr>
      <w:tr w14:paraId="1913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FF59E54">
            <w:pPr>
              <w:pStyle w:val="59"/>
              <w:ind w:firstLine="0" w:firstLineChars="0"/>
              <w:jc w:val="center"/>
              <w:rPr>
                <w:color w:val="auto"/>
                <w:szCs w:val="22"/>
              </w:rPr>
            </w:pPr>
            <w:r>
              <w:rPr>
                <w:rFonts w:hint="eastAsia"/>
                <w:color w:val="auto"/>
                <w:szCs w:val="22"/>
              </w:rPr>
              <w:t>15</w:t>
            </w:r>
          </w:p>
        </w:tc>
        <w:tc>
          <w:tcPr>
            <w:tcW w:w="1276" w:type="dxa"/>
            <w:vMerge w:val="restart"/>
            <w:vAlign w:val="center"/>
          </w:tcPr>
          <w:p w14:paraId="0A37586C">
            <w:pPr>
              <w:pStyle w:val="59"/>
              <w:ind w:firstLine="0" w:firstLineChars="0"/>
              <w:jc w:val="center"/>
              <w:rPr>
                <w:color w:val="auto"/>
                <w:szCs w:val="22"/>
              </w:rPr>
            </w:pPr>
            <w:r>
              <w:rPr>
                <w:rFonts w:hint="eastAsia"/>
                <w:color w:val="auto"/>
                <w:szCs w:val="22"/>
              </w:rPr>
              <w:t>准确度要求</w:t>
            </w:r>
          </w:p>
        </w:tc>
        <w:tc>
          <w:tcPr>
            <w:tcW w:w="2693" w:type="dxa"/>
            <w:vAlign w:val="center"/>
          </w:tcPr>
          <w:p w14:paraId="35BC4920">
            <w:pPr>
              <w:pStyle w:val="59"/>
              <w:ind w:firstLine="0" w:firstLineChars="0"/>
              <w:jc w:val="center"/>
              <w:rPr>
                <w:color w:val="auto"/>
                <w:szCs w:val="22"/>
              </w:rPr>
            </w:pPr>
            <w:r>
              <w:rPr>
                <w:rFonts w:hint="eastAsia"/>
                <w:color w:val="auto"/>
                <w:szCs w:val="22"/>
              </w:rPr>
              <w:t>电能计量准确度</w:t>
            </w:r>
          </w:p>
        </w:tc>
        <w:tc>
          <w:tcPr>
            <w:tcW w:w="1418" w:type="dxa"/>
            <w:vAlign w:val="center"/>
          </w:tcPr>
          <w:p w14:paraId="6C9499BF">
            <w:pPr>
              <w:pStyle w:val="59"/>
              <w:ind w:firstLine="0" w:firstLineChars="0"/>
              <w:jc w:val="center"/>
              <w:rPr>
                <w:color w:val="auto"/>
                <w:szCs w:val="22"/>
              </w:rPr>
            </w:pPr>
            <w:r>
              <w:rPr>
                <w:rFonts w:hint="eastAsia"/>
                <w:color w:val="auto"/>
                <w:szCs w:val="22"/>
              </w:rPr>
              <w:t>4.5.1</w:t>
            </w:r>
          </w:p>
        </w:tc>
        <w:tc>
          <w:tcPr>
            <w:tcW w:w="1276" w:type="dxa"/>
            <w:vAlign w:val="center"/>
          </w:tcPr>
          <w:p w14:paraId="36D41BBA">
            <w:pPr>
              <w:pStyle w:val="59"/>
              <w:ind w:firstLine="0" w:firstLineChars="0"/>
              <w:jc w:val="center"/>
              <w:rPr>
                <w:color w:val="auto"/>
                <w:szCs w:val="22"/>
              </w:rPr>
            </w:pPr>
            <w:r>
              <w:rPr>
                <w:rFonts w:hint="eastAsia"/>
                <w:color w:val="auto"/>
                <w:szCs w:val="22"/>
              </w:rPr>
              <w:t>5.5.1</w:t>
            </w:r>
          </w:p>
        </w:tc>
        <w:tc>
          <w:tcPr>
            <w:tcW w:w="1134" w:type="dxa"/>
            <w:vAlign w:val="center"/>
          </w:tcPr>
          <w:p w14:paraId="0A855641">
            <w:pPr>
              <w:pStyle w:val="59"/>
              <w:ind w:firstLine="0" w:firstLineChars="0"/>
              <w:jc w:val="center"/>
              <w:rPr>
                <w:color w:val="auto"/>
                <w:szCs w:val="22"/>
              </w:rPr>
            </w:pPr>
            <w:r>
              <w:rPr>
                <w:rFonts w:hint="eastAsia"/>
                <w:color w:val="auto"/>
                <w:szCs w:val="22"/>
              </w:rPr>
              <w:t>×</w:t>
            </w:r>
          </w:p>
        </w:tc>
        <w:tc>
          <w:tcPr>
            <w:tcW w:w="1099" w:type="dxa"/>
            <w:vAlign w:val="center"/>
          </w:tcPr>
          <w:p w14:paraId="52B08570">
            <w:pPr>
              <w:pStyle w:val="59"/>
              <w:ind w:firstLine="0" w:firstLineChars="0"/>
              <w:jc w:val="center"/>
              <w:rPr>
                <w:color w:val="auto"/>
                <w:szCs w:val="22"/>
              </w:rPr>
            </w:pPr>
            <w:r>
              <w:rPr>
                <w:rFonts w:hint="eastAsia"/>
                <w:color w:val="auto"/>
                <w:szCs w:val="22"/>
              </w:rPr>
              <w:t>√</w:t>
            </w:r>
          </w:p>
        </w:tc>
      </w:tr>
      <w:tr w14:paraId="71D3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0ED05A1">
            <w:pPr>
              <w:pStyle w:val="59"/>
              <w:ind w:firstLine="0" w:firstLineChars="0"/>
              <w:jc w:val="center"/>
              <w:rPr>
                <w:color w:val="auto"/>
                <w:szCs w:val="22"/>
              </w:rPr>
            </w:pPr>
            <w:r>
              <w:rPr>
                <w:rFonts w:hint="eastAsia"/>
                <w:color w:val="auto"/>
                <w:szCs w:val="22"/>
              </w:rPr>
              <w:t>16</w:t>
            </w:r>
          </w:p>
        </w:tc>
        <w:tc>
          <w:tcPr>
            <w:tcW w:w="1276" w:type="dxa"/>
            <w:vMerge w:val="continue"/>
            <w:vAlign w:val="center"/>
          </w:tcPr>
          <w:p w14:paraId="0C4035CB">
            <w:pPr>
              <w:pStyle w:val="59"/>
              <w:ind w:firstLine="0" w:firstLineChars="0"/>
              <w:jc w:val="center"/>
              <w:rPr>
                <w:color w:val="auto"/>
                <w:szCs w:val="22"/>
              </w:rPr>
            </w:pPr>
          </w:p>
        </w:tc>
        <w:tc>
          <w:tcPr>
            <w:tcW w:w="2693" w:type="dxa"/>
            <w:vAlign w:val="center"/>
          </w:tcPr>
          <w:p w14:paraId="1583790C">
            <w:pPr>
              <w:pStyle w:val="59"/>
              <w:ind w:firstLine="0" w:firstLineChars="0"/>
              <w:jc w:val="center"/>
              <w:rPr>
                <w:color w:val="auto"/>
                <w:szCs w:val="22"/>
              </w:rPr>
            </w:pPr>
            <w:r>
              <w:rPr>
                <w:rFonts w:hint="eastAsia"/>
                <w:color w:val="auto"/>
                <w:szCs w:val="22"/>
              </w:rPr>
              <w:t>电碳计量准确度</w:t>
            </w:r>
          </w:p>
        </w:tc>
        <w:tc>
          <w:tcPr>
            <w:tcW w:w="1418" w:type="dxa"/>
            <w:vAlign w:val="center"/>
          </w:tcPr>
          <w:p w14:paraId="672D6D3B">
            <w:pPr>
              <w:pStyle w:val="59"/>
              <w:ind w:firstLine="0" w:firstLineChars="0"/>
              <w:jc w:val="center"/>
              <w:rPr>
                <w:color w:val="auto"/>
                <w:szCs w:val="22"/>
              </w:rPr>
            </w:pPr>
            <w:r>
              <w:rPr>
                <w:rFonts w:hint="eastAsia"/>
                <w:color w:val="auto"/>
                <w:szCs w:val="22"/>
              </w:rPr>
              <w:t>4.5.2</w:t>
            </w:r>
          </w:p>
        </w:tc>
        <w:tc>
          <w:tcPr>
            <w:tcW w:w="1276" w:type="dxa"/>
            <w:vAlign w:val="center"/>
          </w:tcPr>
          <w:p w14:paraId="584806FA">
            <w:pPr>
              <w:pStyle w:val="59"/>
              <w:ind w:firstLine="0" w:firstLineChars="0"/>
              <w:jc w:val="center"/>
              <w:rPr>
                <w:color w:val="auto"/>
                <w:szCs w:val="22"/>
              </w:rPr>
            </w:pPr>
            <w:r>
              <w:rPr>
                <w:rFonts w:hint="eastAsia"/>
                <w:color w:val="auto"/>
                <w:szCs w:val="22"/>
              </w:rPr>
              <w:t>5.5.2</w:t>
            </w:r>
          </w:p>
        </w:tc>
        <w:tc>
          <w:tcPr>
            <w:tcW w:w="1134" w:type="dxa"/>
            <w:vAlign w:val="center"/>
          </w:tcPr>
          <w:p w14:paraId="73A6E480">
            <w:pPr>
              <w:pStyle w:val="59"/>
              <w:ind w:firstLine="0" w:firstLineChars="0"/>
              <w:jc w:val="center"/>
              <w:rPr>
                <w:color w:val="auto"/>
                <w:szCs w:val="22"/>
              </w:rPr>
            </w:pPr>
            <w:r>
              <w:rPr>
                <w:rFonts w:hint="eastAsia"/>
                <w:color w:val="auto"/>
                <w:szCs w:val="22"/>
              </w:rPr>
              <w:t>×</w:t>
            </w:r>
          </w:p>
        </w:tc>
        <w:tc>
          <w:tcPr>
            <w:tcW w:w="1099" w:type="dxa"/>
            <w:vAlign w:val="center"/>
          </w:tcPr>
          <w:p w14:paraId="0EB584FC">
            <w:pPr>
              <w:pStyle w:val="59"/>
              <w:ind w:firstLine="0" w:firstLineChars="0"/>
              <w:jc w:val="center"/>
              <w:rPr>
                <w:color w:val="auto"/>
                <w:szCs w:val="22"/>
              </w:rPr>
            </w:pPr>
            <w:r>
              <w:rPr>
                <w:rFonts w:hint="eastAsia"/>
                <w:color w:val="auto"/>
                <w:szCs w:val="22"/>
              </w:rPr>
              <w:t>√</w:t>
            </w:r>
          </w:p>
        </w:tc>
      </w:tr>
      <w:tr w14:paraId="6E54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99D9599">
            <w:pPr>
              <w:pStyle w:val="59"/>
              <w:ind w:firstLine="0" w:firstLineChars="0"/>
              <w:jc w:val="center"/>
              <w:rPr>
                <w:color w:val="auto"/>
                <w:szCs w:val="22"/>
              </w:rPr>
            </w:pPr>
            <w:r>
              <w:rPr>
                <w:rFonts w:hint="eastAsia"/>
                <w:color w:val="auto"/>
                <w:szCs w:val="22"/>
              </w:rPr>
              <w:t>17</w:t>
            </w:r>
          </w:p>
        </w:tc>
        <w:tc>
          <w:tcPr>
            <w:tcW w:w="1276" w:type="dxa"/>
            <w:vMerge w:val="continue"/>
            <w:vAlign w:val="center"/>
          </w:tcPr>
          <w:p w14:paraId="1056F3E5">
            <w:pPr>
              <w:pStyle w:val="59"/>
              <w:ind w:firstLine="0" w:firstLineChars="0"/>
              <w:jc w:val="center"/>
              <w:rPr>
                <w:color w:val="auto"/>
                <w:szCs w:val="22"/>
              </w:rPr>
            </w:pPr>
          </w:p>
        </w:tc>
        <w:tc>
          <w:tcPr>
            <w:tcW w:w="2693" w:type="dxa"/>
            <w:vAlign w:val="center"/>
          </w:tcPr>
          <w:p w14:paraId="7B9179EE">
            <w:pPr>
              <w:pStyle w:val="59"/>
              <w:ind w:firstLine="0" w:firstLineChars="0"/>
              <w:jc w:val="center"/>
              <w:rPr>
                <w:color w:val="auto"/>
                <w:szCs w:val="22"/>
              </w:rPr>
            </w:pPr>
            <w:r>
              <w:rPr>
                <w:rFonts w:hint="eastAsia"/>
                <w:color w:val="auto"/>
                <w:szCs w:val="22"/>
              </w:rPr>
              <w:t>计时准确度</w:t>
            </w:r>
          </w:p>
        </w:tc>
        <w:tc>
          <w:tcPr>
            <w:tcW w:w="1418" w:type="dxa"/>
            <w:vAlign w:val="center"/>
          </w:tcPr>
          <w:p w14:paraId="39F543E8">
            <w:pPr>
              <w:pStyle w:val="59"/>
              <w:ind w:firstLine="0" w:firstLineChars="0"/>
              <w:jc w:val="center"/>
              <w:rPr>
                <w:color w:val="auto"/>
                <w:szCs w:val="22"/>
              </w:rPr>
            </w:pPr>
            <w:r>
              <w:rPr>
                <w:rFonts w:hint="eastAsia"/>
                <w:color w:val="auto"/>
                <w:szCs w:val="22"/>
              </w:rPr>
              <w:t>4.5.3</w:t>
            </w:r>
          </w:p>
        </w:tc>
        <w:tc>
          <w:tcPr>
            <w:tcW w:w="1276" w:type="dxa"/>
            <w:vAlign w:val="center"/>
          </w:tcPr>
          <w:p w14:paraId="21D9E1A1">
            <w:pPr>
              <w:pStyle w:val="59"/>
              <w:ind w:firstLine="0" w:firstLineChars="0"/>
              <w:jc w:val="center"/>
              <w:rPr>
                <w:color w:val="auto"/>
                <w:szCs w:val="22"/>
              </w:rPr>
            </w:pPr>
            <w:r>
              <w:rPr>
                <w:rFonts w:hint="eastAsia"/>
                <w:color w:val="auto"/>
                <w:szCs w:val="22"/>
              </w:rPr>
              <w:t>5.5.3</w:t>
            </w:r>
          </w:p>
        </w:tc>
        <w:tc>
          <w:tcPr>
            <w:tcW w:w="1134" w:type="dxa"/>
            <w:vAlign w:val="center"/>
          </w:tcPr>
          <w:p w14:paraId="3A6FD59A">
            <w:pPr>
              <w:pStyle w:val="59"/>
              <w:ind w:firstLine="0" w:firstLineChars="0"/>
              <w:jc w:val="center"/>
              <w:rPr>
                <w:color w:val="auto"/>
                <w:szCs w:val="22"/>
              </w:rPr>
            </w:pPr>
            <w:r>
              <w:rPr>
                <w:rFonts w:hint="eastAsia"/>
                <w:color w:val="auto"/>
                <w:szCs w:val="22"/>
              </w:rPr>
              <w:t>×</w:t>
            </w:r>
          </w:p>
        </w:tc>
        <w:tc>
          <w:tcPr>
            <w:tcW w:w="1099" w:type="dxa"/>
            <w:vAlign w:val="center"/>
          </w:tcPr>
          <w:p w14:paraId="061F0851">
            <w:pPr>
              <w:pStyle w:val="59"/>
              <w:ind w:firstLine="0" w:firstLineChars="0"/>
              <w:jc w:val="center"/>
              <w:rPr>
                <w:color w:val="auto"/>
                <w:szCs w:val="22"/>
              </w:rPr>
            </w:pPr>
            <w:r>
              <w:rPr>
                <w:rFonts w:hint="eastAsia"/>
                <w:color w:val="auto"/>
                <w:szCs w:val="22"/>
              </w:rPr>
              <w:t>√</w:t>
            </w:r>
          </w:p>
        </w:tc>
      </w:tr>
      <w:tr w14:paraId="59DD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F37F404">
            <w:pPr>
              <w:pStyle w:val="59"/>
              <w:ind w:firstLine="0" w:firstLineChars="0"/>
              <w:jc w:val="center"/>
              <w:rPr>
                <w:color w:val="auto"/>
                <w:szCs w:val="22"/>
              </w:rPr>
            </w:pPr>
            <w:r>
              <w:rPr>
                <w:rFonts w:hint="eastAsia"/>
                <w:color w:val="auto"/>
                <w:szCs w:val="22"/>
              </w:rPr>
              <w:t>18</w:t>
            </w:r>
          </w:p>
        </w:tc>
        <w:tc>
          <w:tcPr>
            <w:tcW w:w="1276" w:type="dxa"/>
            <w:vMerge w:val="restart"/>
            <w:vAlign w:val="center"/>
          </w:tcPr>
          <w:p w14:paraId="4A5272B9">
            <w:pPr>
              <w:pStyle w:val="59"/>
              <w:ind w:firstLine="0" w:firstLineChars="0"/>
              <w:jc w:val="center"/>
              <w:rPr>
                <w:color w:val="auto"/>
                <w:szCs w:val="22"/>
              </w:rPr>
            </w:pPr>
            <w:r>
              <w:rPr>
                <w:rFonts w:hint="eastAsia"/>
                <w:color w:val="auto"/>
                <w:szCs w:val="22"/>
              </w:rPr>
              <w:t>机械</w:t>
            </w:r>
            <w:r>
              <w:rPr>
                <w:rFonts w:hint="eastAsia"/>
                <w:color w:val="auto"/>
                <w:szCs w:val="22"/>
                <w:lang w:val="en-US" w:eastAsia="zh-CN"/>
              </w:rPr>
              <w:t>性能</w:t>
            </w:r>
            <w:r>
              <w:rPr>
                <w:rFonts w:hint="eastAsia"/>
                <w:color w:val="auto"/>
                <w:szCs w:val="22"/>
              </w:rPr>
              <w:t>要求</w:t>
            </w:r>
          </w:p>
        </w:tc>
        <w:tc>
          <w:tcPr>
            <w:tcW w:w="2693" w:type="dxa"/>
            <w:vAlign w:val="center"/>
          </w:tcPr>
          <w:p w14:paraId="24BFA5F9">
            <w:pPr>
              <w:pStyle w:val="59"/>
              <w:ind w:firstLine="0" w:firstLineChars="0"/>
              <w:jc w:val="center"/>
              <w:rPr>
                <w:color w:val="auto"/>
                <w:szCs w:val="22"/>
              </w:rPr>
            </w:pPr>
            <w:r>
              <w:rPr>
                <w:rFonts w:hint="eastAsia"/>
                <w:color w:val="auto"/>
                <w:szCs w:val="22"/>
              </w:rPr>
              <w:t>冲击</w:t>
            </w:r>
          </w:p>
        </w:tc>
        <w:tc>
          <w:tcPr>
            <w:tcW w:w="1418" w:type="dxa"/>
            <w:vAlign w:val="center"/>
          </w:tcPr>
          <w:p w14:paraId="5D52BC82">
            <w:pPr>
              <w:pStyle w:val="59"/>
              <w:ind w:firstLine="0" w:firstLineChars="0"/>
              <w:jc w:val="center"/>
              <w:rPr>
                <w:color w:val="auto"/>
                <w:szCs w:val="22"/>
              </w:rPr>
            </w:pPr>
            <w:r>
              <w:rPr>
                <w:rFonts w:hint="eastAsia"/>
                <w:color w:val="auto"/>
                <w:szCs w:val="22"/>
              </w:rPr>
              <w:t>4.6.1</w:t>
            </w:r>
          </w:p>
        </w:tc>
        <w:tc>
          <w:tcPr>
            <w:tcW w:w="1276" w:type="dxa"/>
            <w:vAlign w:val="center"/>
          </w:tcPr>
          <w:p w14:paraId="75360F7B">
            <w:pPr>
              <w:pStyle w:val="59"/>
              <w:ind w:firstLine="0" w:firstLineChars="0"/>
              <w:jc w:val="center"/>
              <w:rPr>
                <w:color w:val="auto"/>
                <w:szCs w:val="22"/>
              </w:rPr>
            </w:pPr>
            <w:r>
              <w:rPr>
                <w:rFonts w:hint="eastAsia"/>
                <w:color w:val="auto"/>
                <w:szCs w:val="22"/>
              </w:rPr>
              <w:t>5.6.1</w:t>
            </w:r>
          </w:p>
        </w:tc>
        <w:tc>
          <w:tcPr>
            <w:tcW w:w="1134" w:type="dxa"/>
            <w:vAlign w:val="center"/>
          </w:tcPr>
          <w:p w14:paraId="373C697E">
            <w:pPr>
              <w:pStyle w:val="59"/>
              <w:ind w:firstLine="0" w:firstLineChars="0"/>
              <w:jc w:val="center"/>
              <w:rPr>
                <w:color w:val="auto"/>
                <w:szCs w:val="22"/>
              </w:rPr>
            </w:pPr>
            <w:r>
              <w:rPr>
                <w:rFonts w:hint="eastAsia"/>
                <w:color w:val="auto"/>
                <w:szCs w:val="22"/>
              </w:rPr>
              <w:t>×</w:t>
            </w:r>
          </w:p>
        </w:tc>
        <w:tc>
          <w:tcPr>
            <w:tcW w:w="1099" w:type="dxa"/>
            <w:vAlign w:val="center"/>
          </w:tcPr>
          <w:p w14:paraId="233EAA80">
            <w:pPr>
              <w:pStyle w:val="59"/>
              <w:ind w:firstLine="0" w:firstLineChars="0"/>
              <w:jc w:val="center"/>
              <w:rPr>
                <w:color w:val="auto"/>
                <w:szCs w:val="22"/>
              </w:rPr>
            </w:pPr>
            <w:r>
              <w:rPr>
                <w:rFonts w:hint="eastAsia"/>
                <w:color w:val="auto"/>
                <w:szCs w:val="22"/>
              </w:rPr>
              <w:t>√</w:t>
            </w:r>
          </w:p>
        </w:tc>
      </w:tr>
      <w:tr w14:paraId="34E1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FA3366C">
            <w:pPr>
              <w:pStyle w:val="59"/>
              <w:ind w:firstLine="0" w:firstLineChars="0"/>
              <w:jc w:val="center"/>
              <w:rPr>
                <w:color w:val="auto"/>
                <w:szCs w:val="22"/>
              </w:rPr>
            </w:pPr>
            <w:r>
              <w:rPr>
                <w:rFonts w:hint="eastAsia"/>
                <w:color w:val="auto"/>
                <w:szCs w:val="22"/>
              </w:rPr>
              <w:t>19</w:t>
            </w:r>
          </w:p>
        </w:tc>
        <w:tc>
          <w:tcPr>
            <w:tcW w:w="1276" w:type="dxa"/>
            <w:vMerge w:val="continue"/>
            <w:vAlign w:val="center"/>
          </w:tcPr>
          <w:p w14:paraId="11B98FD9">
            <w:pPr>
              <w:pStyle w:val="59"/>
              <w:ind w:firstLine="0" w:firstLineChars="0"/>
              <w:jc w:val="center"/>
              <w:rPr>
                <w:color w:val="auto"/>
                <w:szCs w:val="22"/>
              </w:rPr>
            </w:pPr>
          </w:p>
        </w:tc>
        <w:tc>
          <w:tcPr>
            <w:tcW w:w="2693" w:type="dxa"/>
            <w:vAlign w:val="center"/>
          </w:tcPr>
          <w:p w14:paraId="39BE916B">
            <w:pPr>
              <w:pStyle w:val="59"/>
              <w:ind w:firstLine="0" w:firstLineChars="0"/>
              <w:jc w:val="center"/>
              <w:rPr>
                <w:color w:val="auto"/>
                <w:szCs w:val="22"/>
              </w:rPr>
            </w:pPr>
            <w:r>
              <w:rPr>
                <w:rFonts w:hint="eastAsia"/>
                <w:color w:val="auto"/>
                <w:szCs w:val="22"/>
              </w:rPr>
              <w:t>振动</w:t>
            </w:r>
          </w:p>
        </w:tc>
        <w:tc>
          <w:tcPr>
            <w:tcW w:w="1418" w:type="dxa"/>
            <w:vAlign w:val="center"/>
          </w:tcPr>
          <w:p w14:paraId="6EE26CB6">
            <w:pPr>
              <w:pStyle w:val="59"/>
              <w:ind w:firstLine="0" w:firstLineChars="0"/>
              <w:jc w:val="center"/>
              <w:rPr>
                <w:color w:val="auto"/>
                <w:szCs w:val="22"/>
              </w:rPr>
            </w:pPr>
            <w:r>
              <w:rPr>
                <w:rFonts w:hint="eastAsia"/>
                <w:color w:val="auto"/>
                <w:szCs w:val="22"/>
              </w:rPr>
              <w:t>4.6.2</w:t>
            </w:r>
          </w:p>
        </w:tc>
        <w:tc>
          <w:tcPr>
            <w:tcW w:w="1276" w:type="dxa"/>
            <w:vAlign w:val="center"/>
          </w:tcPr>
          <w:p w14:paraId="17AEDE9E">
            <w:pPr>
              <w:pStyle w:val="59"/>
              <w:ind w:firstLine="0" w:firstLineChars="0"/>
              <w:jc w:val="center"/>
              <w:rPr>
                <w:color w:val="auto"/>
                <w:szCs w:val="22"/>
              </w:rPr>
            </w:pPr>
            <w:r>
              <w:rPr>
                <w:rFonts w:hint="eastAsia"/>
                <w:color w:val="auto"/>
                <w:szCs w:val="22"/>
              </w:rPr>
              <w:t>5.6.2</w:t>
            </w:r>
          </w:p>
        </w:tc>
        <w:tc>
          <w:tcPr>
            <w:tcW w:w="1134" w:type="dxa"/>
            <w:vAlign w:val="center"/>
          </w:tcPr>
          <w:p w14:paraId="4CC5DCF1">
            <w:pPr>
              <w:pStyle w:val="59"/>
              <w:ind w:firstLine="0" w:firstLineChars="0"/>
              <w:jc w:val="center"/>
              <w:rPr>
                <w:color w:val="auto"/>
                <w:szCs w:val="22"/>
              </w:rPr>
            </w:pPr>
            <w:r>
              <w:rPr>
                <w:rFonts w:hint="eastAsia"/>
                <w:color w:val="auto"/>
                <w:szCs w:val="22"/>
              </w:rPr>
              <w:t>×</w:t>
            </w:r>
          </w:p>
        </w:tc>
        <w:tc>
          <w:tcPr>
            <w:tcW w:w="1099" w:type="dxa"/>
            <w:vAlign w:val="center"/>
          </w:tcPr>
          <w:p w14:paraId="37152E72">
            <w:pPr>
              <w:pStyle w:val="59"/>
              <w:ind w:firstLine="0" w:firstLineChars="0"/>
              <w:jc w:val="center"/>
              <w:rPr>
                <w:color w:val="auto"/>
                <w:szCs w:val="22"/>
              </w:rPr>
            </w:pPr>
            <w:r>
              <w:rPr>
                <w:rFonts w:hint="eastAsia"/>
                <w:color w:val="auto"/>
                <w:szCs w:val="22"/>
              </w:rPr>
              <w:t>√</w:t>
            </w:r>
          </w:p>
        </w:tc>
      </w:tr>
      <w:tr w14:paraId="7453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5" w:type="dxa"/>
            <w:shd w:val="clear" w:color="auto" w:fill="auto"/>
            <w:vAlign w:val="center"/>
          </w:tcPr>
          <w:p w14:paraId="182A6FBE">
            <w:pPr>
              <w:pStyle w:val="59"/>
              <w:ind w:firstLine="0" w:firstLineChars="0"/>
              <w:jc w:val="center"/>
              <w:rPr>
                <w:color w:val="auto"/>
                <w:szCs w:val="22"/>
              </w:rPr>
            </w:pPr>
            <w:r>
              <w:rPr>
                <w:rFonts w:hint="eastAsia"/>
                <w:color w:val="auto"/>
                <w:szCs w:val="22"/>
              </w:rPr>
              <w:t>20</w:t>
            </w:r>
          </w:p>
        </w:tc>
        <w:tc>
          <w:tcPr>
            <w:tcW w:w="1276" w:type="dxa"/>
            <w:vMerge w:val="continue"/>
            <w:vAlign w:val="center"/>
          </w:tcPr>
          <w:p w14:paraId="460B44CC">
            <w:pPr>
              <w:pStyle w:val="59"/>
              <w:ind w:firstLine="0" w:firstLineChars="0"/>
              <w:jc w:val="center"/>
              <w:rPr>
                <w:color w:val="auto"/>
                <w:szCs w:val="22"/>
              </w:rPr>
            </w:pPr>
          </w:p>
        </w:tc>
        <w:tc>
          <w:tcPr>
            <w:tcW w:w="2693" w:type="dxa"/>
            <w:vAlign w:val="center"/>
          </w:tcPr>
          <w:p w14:paraId="73B11B20">
            <w:pPr>
              <w:pStyle w:val="59"/>
              <w:ind w:firstLine="0" w:firstLineChars="0"/>
              <w:jc w:val="center"/>
              <w:rPr>
                <w:color w:val="auto"/>
                <w:szCs w:val="22"/>
              </w:rPr>
            </w:pPr>
            <w:r>
              <w:rPr>
                <w:rFonts w:hint="eastAsia"/>
                <w:color w:val="auto"/>
                <w:szCs w:val="22"/>
              </w:rPr>
              <w:t>防护等级</w:t>
            </w:r>
          </w:p>
        </w:tc>
        <w:tc>
          <w:tcPr>
            <w:tcW w:w="1418" w:type="dxa"/>
            <w:vAlign w:val="center"/>
          </w:tcPr>
          <w:p w14:paraId="51AA9895">
            <w:pPr>
              <w:pStyle w:val="59"/>
              <w:ind w:firstLine="0" w:firstLineChars="0"/>
              <w:jc w:val="center"/>
              <w:rPr>
                <w:color w:val="auto"/>
                <w:szCs w:val="22"/>
              </w:rPr>
            </w:pPr>
            <w:r>
              <w:rPr>
                <w:rFonts w:hint="eastAsia"/>
                <w:color w:val="auto"/>
                <w:szCs w:val="22"/>
              </w:rPr>
              <w:t>4.6.3</w:t>
            </w:r>
          </w:p>
        </w:tc>
        <w:tc>
          <w:tcPr>
            <w:tcW w:w="1276" w:type="dxa"/>
            <w:vAlign w:val="center"/>
          </w:tcPr>
          <w:p w14:paraId="0EE6AF83">
            <w:pPr>
              <w:pStyle w:val="59"/>
              <w:ind w:firstLine="0" w:firstLineChars="0"/>
              <w:jc w:val="center"/>
              <w:rPr>
                <w:color w:val="auto"/>
                <w:szCs w:val="22"/>
              </w:rPr>
            </w:pPr>
            <w:r>
              <w:rPr>
                <w:rFonts w:hint="eastAsia"/>
                <w:color w:val="auto"/>
                <w:szCs w:val="22"/>
              </w:rPr>
              <w:t>5.6.3</w:t>
            </w:r>
          </w:p>
        </w:tc>
        <w:tc>
          <w:tcPr>
            <w:tcW w:w="1134" w:type="dxa"/>
            <w:vAlign w:val="center"/>
          </w:tcPr>
          <w:p w14:paraId="17D55D70">
            <w:pPr>
              <w:pStyle w:val="59"/>
              <w:ind w:firstLine="0" w:firstLineChars="0"/>
              <w:jc w:val="center"/>
              <w:rPr>
                <w:color w:val="auto"/>
                <w:szCs w:val="22"/>
              </w:rPr>
            </w:pPr>
            <w:r>
              <w:rPr>
                <w:rFonts w:hint="eastAsia"/>
                <w:color w:val="auto"/>
                <w:szCs w:val="22"/>
              </w:rPr>
              <w:t>×</w:t>
            </w:r>
          </w:p>
        </w:tc>
        <w:tc>
          <w:tcPr>
            <w:tcW w:w="1099" w:type="dxa"/>
            <w:vAlign w:val="center"/>
          </w:tcPr>
          <w:p w14:paraId="0C329425">
            <w:pPr>
              <w:pStyle w:val="59"/>
              <w:ind w:firstLine="0" w:firstLineChars="0"/>
              <w:jc w:val="center"/>
              <w:rPr>
                <w:color w:val="auto"/>
                <w:szCs w:val="22"/>
              </w:rPr>
            </w:pPr>
            <w:r>
              <w:rPr>
                <w:rFonts w:hint="eastAsia"/>
                <w:color w:val="auto"/>
                <w:szCs w:val="22"/>
              </w:rPr>
              <w:t>√</w:t>
            </w:r>
          </w:p>
        </w:tc>
      </w:tr>
      <w:tr w14:paraId="791D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C6B12D9">
            <w:pPr>
              <w:pStyle w:val="59"/>
              <w:ind w:firstLine="0" w:firstLineChars="0"/>
              <w:jc w:val="center"/>
              <w:rPr>
                <w:color w:val="auto"/>
                <w:szCs w:val="22"/>
              </w:rPr>
            </w:pPr>
            <w:r>
              <w:rPr>
                <w:rFonts w:hint="eastAsia"/>
                <w:color w:val="auto"/>
                <w:szCs w:val="22"/>
              </w:rPr>
              <w:t>21</w:t>
            </w:r>
          </w:p>
        </w:tc>
        <w:tc>
          <w:tcPr>
            <w:tcW w:w="1276" w:type="dxa"/>
            <w:vMerge w:val="continue"/>
            <w:vAlign w:val="center"/>
          </w:tcPr>
          <w:p w14:paraId="1C0789CA">
            <w:pPr>
              <w:pStyle w:val="59"/>
              <w:ind w:firstLine="0" w:firstLineChars="0"/>
              <w:jc w:val="center"/>
              <w:rPr>
                <w:color w:val="auto"/>
                <w:szCs w:val="22"/>
              </w:rPr>
            </w:pPr>
          </w:p>
        </w:tc>
        <w:tc>
          <w:tcPr>
            <w:tcW w:w="2693" w:type="dxa"/>
            <w:vAlign w:val="center"/>
          </w:tcPr>
          <w:p w14:paraId="44E2CA96">
            <w:pPr>
              <w:pStyle w:val="59"/>
              <w:ind w:firstLine="0" w:firstLineChars="0"/>
              <w:jc w:val="center"/>
              <w:rPr>
                <w:color w:val="auto"/>
                <w:szCs w:val="22"/>
              </w:rPr>
            </w:pPr>
            <w:r>
              <w:rPr>
                <w:rFonts w:hint="eastAsia"/>
                <w:color w:val="auto"/>
                <w:szCs w:val="22"/>
              </w:rPr>
              <w:t>耐热阻燃</w:t>
            </w:r>
          </w:p>
        </w:tc>
        <w:tc>
          <w:tcPr>
            <w:tcW w:w="1418" w:type="dxa"/>
            <w:vAlign w:val="center"/>
          </w:tcPr>
          <w:p w14:paraId="09389706">
            <w:pPr>
              <w:pStyle w:val="59"/>
              <w:ind w:firstLine="0" w:firstLineChars="0"/>
              <w:jc w:val="center"/>
              <w:rPr>
                <w:color w:val="auto"/>
                <w:szCs w:val="22"/>
              </w:rPr>
            </w:pPr>
            <w:r>
              <w:rPr>
                <w:rFonts w:hint="eastAsia"/>
                <w:color w:val="auto"/>
                <w:szCs w:val="22"/>
              </w:rPr>
              <w:t>4.6.4</w:t>
            </w:r>
          </w:p>
        </w:tc>
        <w:tc>
          <w:tcPr>
            <w:tcW w:w="1276" w:type="dxa"/>
            <w:vAlign w:val="center"/>
          </w:tcPr>
          <w:p w14:paraId="1EDDCA78">
            <w:pPr>
              <w:pStyle w:val="59"/>
              <w:ind w:firstLine="0" w:firstLineChars="0"/>
              <w:jc w:val="center"/>
              <w:rPr>
                <w:color w:val="auto"/>
                <w:szCs w:val="22"/>
              </w:rPr>
            </w:pPr>
            <w:r>
              <w:rPr>
                <w:rFonts w:hint="eastAsia"/>
                <w:color w:val="auto"/>
                <w:szCs w:val="22"/>
              </w:rPr>
              <w:t>5.6.4</w:t>
            </w:r>
          </w:p>
        </w:tc>
        <w:tc>
          <w:tcPr>
            <w:tcW w:w="1134" w:type="dxa"/>
            <w:vAlign w:val="center"/>
          </w:tcPr>
          <w:p w14:paraId="27C0D687">
            <w:pPr>
              <w:pStyle w:val="59"/>
              <w:ind w:firstLine="0" w:firstLineChars="0"/>
              <w:jc w:val="center"/>
              <w:rPr>
                <w:color w:val="auto"/>
                <w:szCs w:val="22"/>
              </w:rPr>
            </w:pPr>
            <w:r>
              <w:rPr>
                <w:rFonts w:hint="eastAsia"/>
                <w:color w:val="auto"/>
                <w:szCs w:val="22"/>
              </w:rPr>
              <w:t>×</w:t>
            </w:r>
          </w:p>
        </w:tc>
        <w:tc>
          <w:tcPr>
            <w:tcW w:w="1099" w:type="dxa"/>
            <w:vAlign w:val="center"/>
          </w:tcPr>
          <w:p w14:paraId="565B8D5F">
            <w:pPr>
              <w:pStyle w:val="59"/>
              <w:ind w:firstLine="0" w:firstLineChars="0"/>
              <w:jc w:val="center"/>
              <w:rPr>
                <w:color w:val="auto"/>
                <w:szCs w:val="22"/>
              </w:rPr>
            </w:pPr>
            <w:r>
              <w:rPr>
                <w:rFonts w:hint="eastAsia"/>
                <w:color w:val="auto"/>
                <w:szCs w:val="22"/>
              </w:rPr>
              <w:t>√</w:t>
            </w:r>
          </w:p>
        </w:tc>
      </w:tr>
      <w:tr w14:paraId="02F5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534D844">
            <w:pPr>
              <w:pStyle w:val="59"/>
              <w:ind w:firstLine="0" w:firstLineChars="0"/>
              <w:jc w:val="center"/>
              <w:rPr>
                <w:color w:val="auto"/>
                <w:szCs w:val="22"/>
              </w:rPr>
            </w:pPr>
            <w:r>
              <w:rPr>
                <w:rFonts w:hint="eastAsia"/>
                <w:color w:val="auto"/>
                <w:szCs w:val="22"/>
              </w:rPr>
              <w:t>22</w:t>
            </w:r>
          </w:p>
        </w:tc>
        <w:tc>
          <w:tcPr>
            <w:tcW w:w="1276" w:type="dxa"/>
            <w:vMerge w:val="continue"/>
            <w:vAlign w:val="center"/>
          </w:tcPr>
          <w:p w14:paraId="332B9CE6">
            <w:pPr>
              <w:pStyle w:val="59"/>
              <w:ind w:firstLine="0" w:firstLineChars="0"/>
              <w:jc w:val="center"/>
              <w:rPr>
                <w:color w:val="auto"/>
                <w:szCs w:val="22"/>
              </w:rPr>
            </w:pPr>
          </w:p>
        </w:tc>
        <w:tc>
          <w:tcPr>
            <w:tcW w:w="2693" w:type="dxa"/>
            <w:vAlign w:val="center"/>
          </w:tcPr>
          <w:p w14:paraId="10F2B005">
            <w:pPr>
              <w:pStyle w:val="59"/>
              <w:ind w:firstLine="0" w:firstLineChars="0"/>
              <w:jc w:val="center"/>
              <w:rPr>
                <w:color w:val="auto"/>
                <w:szCs w:val="22"/>
              </w:rPr>
            </w:pPr>
            <w:r>
              <w:rPr>
                <w:rFonts w:hint="eastAsia"/>
                <w:color w:val="auto"/>
                <w:szCs w:val="22"/>
              </w:rPr>
              <w:t>盐雾</w:t>
            </w:r>
          </w:p>
        </w:tc>
        <w:tc>
          <w:tcPr>
            <w:tcW w:w="1418" w:type="dxa"/>
            <w:vAlign w:val="center"/>
          </w:tcPr>
          <w:p w14:paraId="1F7BC99E">
            <w:pPr>
              <w:pStyle w:val="59"/>
              <w:ind w:firstLine="0" w:firstLineChars="0"/>
              <w:jc w:val="center"/>
              <w:rPr>
                <w:color w:val="auto"/>
                <w:szCs w:val="22"/>
              </w:rPr>
            </w:pPr>
            <w:r>
              <w:rPr>
                <w:rFonts w:hint="eastAsia"/>
                <w:color w:val="auto"/>
                <w:szCs w:val="22"/>
              </w:rPr>
              <w:t>4.6.5</w:t>
            </w:r>
          </w:p>
        </w:tc>
        <w:tc>
          <w:tcPr>
            <w:tcW w:w="1276" w:type="dxa"/>
            <w:vAlign w:val="center"/>
          </w:tcPr>
          <w:p w14:paraId="17AB944E">
            <w:pPr>
              <w:pStyle w:val="59"/>
              <w:ind w:firstLine="0" w:firstLineChars="0"/>
              <w:jc w:val="center"/>
              <w:rPr>
                <w:color w:val="auto"/>
                <w:szCs w:val="22"/>
              </w:rPr>
            </w:pPr>
            <w:r>
              <w:rPr>
                <w:rFonts w:hint="eastAsia"/>
                <w:color w:val="auto"/>
                <w:szCs w:val="22"/>
              </w:rPr>
              <w:t>5.6.5</w:t>
            </w:r>
          </w:p>
        </w:tc>
        <w:tc>
          <w:tcPr>
            <w:tcW w:w="1134" w:type="dxa"/>
            <w:vAlign w:val="center"/>
          </w:tcPr>
          <w:p w14:paraId="233ED873">
            <w:pPr>
              <w:pStyle w:val="59"/>
              <w:ind w:firstLine="0" w:firstLineChars="0"/>
              <w:jc w:val="center"/>
              <w:rPr>
                <w:color w:val="auto"/>
                <w:szCs w:val="22"/>
              </w:rPr>
            </w:pPr>
            <w:r>
              <w:rPr>
                <w:rFonts w:hint="eastAsia"/>
                <w:color w:val="auto"/>
                <w:szCs w:val="22"/>
              </w:rPr>
              <w:t>×</w:t>
            </w:r>
          </w:p>
        </w:tc>
        <w:tc>
          <w:tcPr>
            <w:tcW w:w="1099" w:type="dxa"/>
            <w:vAlign w:val="center"/>
          </w:tcPr>
          <w:p w14:paraId="55EFEA4B">
            <w:pPr>
              <w:pStyle w:val="59"/>
              <w:ind w:firstLine="0" w:firstLineChars="0"/>
              <w:jc w:val="center"/>
              <w:rPr>
                <w:color w:val="auto"/>
                <w:szCs w:val="22"/>
              </w:rPr>
            </w:pPr>
            <w:r>
              <w:rPr>
                <w:rFonts w:hint="eastAsia"/>
                <w:color w:val="auto"/>
                <w:szCs w:val="22"/>
              </w:rPr>
              <w:t>√</w:t>
            </w:r>
          </w:p>
        </w:tc>
      </w:tr>
      <w:tr w14:paraId="2019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32391C0">
            <w:pPr>
              <w:pStyle w:val="59"/>
              <w:ind w:firstLine="0" w:firstLineChars="0"/>
              <w:jc w:val="center"/>
              <w:rPr>
                <w:color w:val="auto"/>
                <w:szCs w:val="22"/>
              </w:rPr>
            </w:pPr>
            <w:r>
              <w:rPr>
                <w:rFonts w:hint="eastAsia"/>
                <w:color w:val="auto"/>
                <w:szCs w:val="22"/>
              </w:rPr>
              <w:t>23</w:t>
            </w:r>
          </w:p>
        </w:tc>
        <w:tc>
          <w:tcPr>
            <w:tcW w:w="1276" w:type="dxa"/>
            <w:vMerge w:val="restart"/>
            <w:vAlign w:val="center"/>
          </w:tcPr>
          <w:p w14:paraId="534F59E8">
            <w:pPr>
              <w:pStyle w:val="59"/>
              <w:ind w:firstLine="0" w:firstLineChars="0"/>
              <w:jc w:val="center"/>
              <w:rPr>
                <w:color w:val="auto"/>
                <w:szCs w:val="22"/>
              </w:rPr>
            </w:pPr>
            <w:r>
              <w:rPr>
                <w:rFonts w:hint="eastAsia"/>
                <w:color w:val="auto"/>
                <w:szCs w:val="22"/>
              </w:rPr>
              <w:t>电气性能</w:t>
            </w:r>
          </w:p>
          <w:p w14:paraId="69A2E6BA">
            <w:pPr>
              <w:pStyle w:val="59"/>
              <w:ind w:firstLine="0" w:firstLineChars="0"/>
              <w:jc w:val="center"/>
              <w:rPr>
                <w:color w:val="auto"/>
                <w:szCs w:val="22"/>
              </w:rPr>
            </w:pPr>
            <w:r>
              <w:rPr>
                <w:rFonts w:hint="eastAsia"/>
                <w:color w:val="auto"/>
                <w:szCs w:val="22"/>
              </w:rPr>
              <w:t>要求</w:t>
            </w:r>
          </w:p>
        </w:tc>
        <w:tc>
          <w:tcPr>
            <w:tcW w:w="2693" w:type="dxa"/>
            <w:vAlign w:val="center"/>
          </w:tcPr>
          <w:p w14:paraId="018C80E2">
            <w:pPr>
              <w:pStyle w:val="59"/>
              <w:ind w:firstLine="0" w:firstLineChars="0"/>
              <w:jc w:val="center"/>
              <w:rPr>
                <w:color w:val="auto"/>
                <w:szCs w:val="22"/>
              </w:rPr>
            </w:pPr>
            <w:r>
              <w:rPr>
                <w:rFonts w:hint="eastAsia"/>
                <w:color w:val="auto"/>
                <w:szCs w:val="22"/>
              </w:rPr>
              <w:t>功耗</w:t>
            </w:r>
          </w:p>
        </w:tc>
        <w:tc>
          <w:tcPr>
            <w:tcW w:w="1418" w:type="dxa"/>
            <w:vAlign w:val="center"/>
          </w:tcPr>
          <w:p w14:paraId="7C0C7E5D">
            <w:pPr>
              <w:pStyle w:val="59"/>
              <w:ind w:firstLine="0" w:firstLineChars="0"/>
              <w:jc w:val="center"/>
              <w:rPr>
                <w:color w:val="auto"/>
                <w:szCs w:val="22"/>
              </w:rPr>
            </w:pPr>
            <w:r>
              <w:rPr>
                <w:rFonts w:hint="eastAsia"/>
                <w:color w:val="auto"/>
                <w:szCs w:val="22"/>
              </w:rPr>
              <w:t>4.7.1</w:t>
            </w:r>
          </w:p>
        </w:tc>
        <w:tc>
          <w:tcPr>
            <w:tcW w:w="1276" w:type="dxa"/>
            <w:vAlign w:val="center"/>
          </w:tcPr>
          <w:p w14:paraId="547DF21E">
            <w:pPr>
              <w:pStyle w:val="59"/>
              <w:ind w:firstLine="0" w:firstLineChars="0"/>
              <w:jc w:val="center"/>
              <w:rPr>
                <w:color w:val="auto"/>
                <w:szCs w:val="22"/>
              </w:rPr>
            </w:pPr>
            <w:r>
              <w:rPr>
                <w:rFonts w:hint="eastAsia"/>
                <w:color w:val="auto"/>
                <w:szCs w:val="22"/>
              </w:rPr>
              <w:t>5.7.1</w:t>
            </w:r>
          </w:p>
        </w:tc>
        <w:tc>
          <w:tcPr>
            <w:tcW w:w="1134" w:type="dxa"/>
            <w:vAlign w:val="center"/>
          </w:tcPr>
          <w:p w14:paraId="6231CDDF">
            <w:pPr>
              <w:jc w:val="center"/>
              <w:rPr>
                <w:color w:val="auto"/>
                <w:szCs w:val="22"/>
              </w:rPr>
            </w:pPr>
            <w:r>
              <w:rPr>
                <w:rFonts w:hint="eastAsia"/>
                <w:color w:val="auto"/>
                <w:szCs w:val="22"/>
              </w:rPr>
              <w:t>×</w:t>
            </w:r>
          </w:p>
        </w:tc>
        <w:tc>
          <w:tcPr>
            <w:tcW w:w="1099" w:type="dxa"/>
            <w:vAlign w:val="center"/>
          </w:tcPr>
          <w:p w14:paraId="44D5079B">
            <w:pPr>
              <w:pStyle w:val="59"/>
              <w:ind w:firstLine="0" w:firstLineChars="0"/>
              <w:jc w:val="center"/>
              <w:rPr>
                <w:color w:val="auto"/>
                <w:szCs w:val="22"/>
              </w:rPr>
            </w:pPr>
            <w:r>
              <w:rPr>
                <w:rFonts w:hint="eastAsia"/>
                <w:color w:val="auto"/>
                <w:szCs w:val="22"/>
              </w:rPr>
              <w:t>√</w:t>
            </w:r>
          </w:p>
        </w:tc>
      </w:tr>
      <w:tr w14:paraId="35DC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3668942">
            <w:pPr>
              <w:pStyle w:val="59"/>
              <w:ind w:firstLine="0" w:firstLineChars="0"/>
              <w:jc w:val="center"/>
              <w:rPr>
                <w:color w:val="auto"/>
                <w:szCs w:val="22"/>
              </w:rPr>
            </w:pPr>
            <w:r>
              <w:rPr>
                <w:rFonts w:hint="eastAsia"/>
                <w:color w:val="auto"/>
                <w:szCs w:val="22"/>
              </w:rPr>
              <w:t>24</w:t>
            </w:r>
          </w:p>
        </w:tc>
        <w:tc>
          <w:tcPr>
            <w:tcW w:w="1276" w:type="dxa"/>
            <w:vMerge w:val="continue"/>
            <w:vAlign w:val="center"/>
          </w:tcPr>
          <w:p w14:paraId="64751FD8">
            <w:pPr>
              <w:pStyle w:val="59"/>
              <w:ind w:firstLine="0" w:firstLineChars="0"/>
              <w:jc w:val="center"/>
              <w:rPr>
                <w:color w:val="auto"/>
                <w:szCs w:val="22"/>
              </w:rPr>
            </w:pPr>
          </w:p>
        </w:tc>
        <w:tc>
          <w:tcPr>
            <w:tcW w:w="2693" w:type="dxa"/>
            <w:vAlign w:val="center"/>
          </w:tcPr>
          <w:p w14:paraId="74B84E73">
            <w:pPr>
              <w:pStyle w:val="59"/>
              <w:ind w:firstLine="0" w:firstLineChars="0"/>
              <w:jc w:val="center"/>
              <w:rPr>
                <w:color w:val="auto"/>
                <w:szCs w:val="22"/>
              </w:rPr>
            </w:pPr>
            <w:r>
              <w:rPr>
                <w:rFonts w:hint="eastAsia"/>
                <w:color w:val="auto"/>
                <w:szCs w:val="22"/>
              </w:rPr>
              <w:t>绝缘</w:t>
            </w:r>
          </w:p>
        </w:tc>
        <w:tc>
          <w:tcPr>
            <w:tcW w:w="1418" w:type="dxa"/>
            <w:vAlign w:val="center"/>
          </w:tcPr>
          <w:p w14:paraId="780F9401">
            <w:pPr>
              <w:pStyle w:val="59"/>
              <w:ind w:firstLine="0" w:firstLineChars="0"/>
              <w:jc w:val="center"/>
              <w:rPr>
                <w:color w:val="auto"/>
                <w:szCs w:val="22"/>
              </w:rPr>
            </w:pPr>
            <w:r>
              <w:rPr>
                <w:rFonts w:hint="eastAsia"/>
                <w:color w:val="auto"/>
                <w:szCs w:val="22"/>
              </w:rPr>
              <w:t>4.7.2</w:t>
            </w:r>
          </w:p>
        </w:tc>
        <w:tc>
          <w:tcPr>
            <w:tcW w:w="1276" w:type="dxa"/>
            <w:vAlign w:val="center"/>
          </w:tcPr>
          <w:p w14:paraId="753F458E">
            <w:pPr>
              <w:pStyle w:val="59"/>
              <w:ind w:firstLine="0" w:firstLineChars="0"/>
              <w:jc w:val="center"/>
              <w:rPr>
                <w:color w:val="auto"/>
                <w:szCs w:val="22"/>
              </w:rPr>
            </w:pPr>
            <w:r>
              <w:rPr>
                <w:rFonts w:hint="eastAsia"/>
                <w:color w:val="auto"/>
                <w:szCs w:val="22"/>
              </w:rPr>
              <w:t>5.7.2</w:t>
            </w:r>
          </w:p>
        </w:tc>
        <w:tc>
          <w:tcPr>
            <w:tcW w:w="1134" w:type="dxa"/>
            <w:vAlign w:val="center"/>
          </w:tcPr>
          <w:p w14:paraId="51828247">
            <w:pPr>
              <w:jc w:val="center"/>
              <w:rPr>
                <w:color w:val="auto"/>
                <w:szCs w:val="22"/>
              </w:rPr>
            </w:pPr>
            <w:r>
              <w:rPr>
                <w:rFonts w:hint="eastAsia"/>
                <w:color w:val="auto"/>
                <w:szCs w:val="22"/>
              </w:rPr>
              <w:t>×</w:t>
            </w:r>
          </w:p>
        </w:tc>
        <w:tc>
          <w:tcPr>
            <w:tcW w:w="1099" w:type="dxa"/>
            <w:vAlign w:val="center"/>
          </w:tcPr>
          <w:p w14:paraId="65A152A0">
            <w:pPr>
              <w:pStyle w:val="59"/>
              <w:ind w:firstLine="0" w:firstLineChars="0"/>
              <w:jc w:val="center"/>
              <w:rPr>
                <w:color w:val="auto"/>
                <w:szCs w:val="22"/>
              </w:rPr>
            </w:pPr>
            <w:r>
              <w:rPr>
                <w:rFonts w:hint="eastAsia"/>
                <w:color w:val="auto"/>
                <w:szCs w:val="22"/>
              </w:rPr>
              <w:t>√</w:t>
            </w:r>
          </w:p>
        </w:tc>
      </w:tr>
      <w:tr w14:paraId="4CA6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97D6157">
            <w:pPr>
              <w:pStyle w:val="59"/>
              <w:ind w:firstLine="0" w:firstLineChars="0"/>
              <w:jc w:val="center"/>
              <w:rPr>
                <w:color w:val="auto"/>
                <w:szCs w:val="22"/>
              </w:rPr>
            </w:pPr>
            <w:r>
              <w:rPr>
                <w:rFonts w:hint="eastAsia"/>
                <w:color w:val="auto"/>
                <w:szCs w:val="22"/>
              </w:rPr>
              <w:t>25</w:t>
            </w:r>
          </w:p>
        </w:tc>
        <w:tc>
          <w:tcPr>
            <w:tcW w:w="1276" w:type="dxa"/>
            <w:vMerge w:val="continue"/>
            <w:vAlign w:val="center"/>
          </w:tcPr>
          <w:p w14:paraId="70E7B79E">
            <w:pPr>
              <w:pStyle w:val="59"/>
              <w:ind w:firstLine="0" w:firstLineChars="0"/>
              <w:jc w:val="center"/>
              <w:rPr>
                <w:color w:val="auto"/>
                <w:szCs w:val="22"/>
              </w:rPr>
            </w:pPr>
          </w:p>
        </w:tc>
        <w:tc>
          <w:tcPr>
            <w:tcW w:w="2693" w:type="dxa"/>
            <w:vAlign w:val="center"/>
          </w:tcPr>
          <w:p w14:paraId="2735155B">
            <w:pPr>
              <w:pStyle w:val="59"/>
              <w:ind w:firstLine="0" w:firstLineChars="0"/>
              <w:jc w:val="center"/>
              <w:rPr>
                <w:color w:val="auto"/>
                <w:szCs w:val="22"/>
              </w:rPr>
            </w:pPr>
            <w:r>
              <w:rPr>
                <w:rFonts w:hint="eastAsia"/>
                <w:color w:val="auto"/>
                <w:szCs w:val="22"/>
              </w:rPr>
              <w:t>爬电距离</w:t>
            </w:r>
          </w:p>
        </w:tc>
        <w:tc>
          <w:tcPr>
            <w:tcW w:w="1418" w:type="dxa"/>
            <w:vAlign w:val="center"/>
          </w:tcPr>
          <w:p w14:paraId="47718DF3">
            <w:pPr>
              <w:pStyle w:val="59"/>
              <w:ind w:firstLine="0" w:firstLineChars="0"/>
              <w:jc w:val="center"/>
              <w:rPr>
                <w:color w:val="auto"/>
                <w:szCs w:val="22"/>
              </w:rPr>
            </w:pPr>
            <w:r>
              <w:rPr>
                <w:rFonts w:hint="eastAsia"/>
                <w:color w:val="auto"/>
                <w:szCs w:val="22"/>
              </w:rPr>
              <w:t>4.7.3</w:t>
            </w:r>
          </w:p>
        </w:tc>
        <w:tc>
          <w:tcPr>
            <w:tcW w:w="1276" w:type="dxa"/>
            <w:vAlign w:val="center"/>
          </w:tcPr>
          <w:p w14:paraId="664796B6">
            <w:pPr>
              <w:pStyle w:val="59"/>
              <w:ind w:firstLine="0" w:firstLineChars="0"/>
              <w:jc w:val="center"/>
              <w:rPr>
                <w:color w:val="auto"/>
                <w:szCs w:val="22"/>
              </w:rPr>
            </w:pPr>
            <w:r>
              <w:rPr>
                <w:rFonts w:hint="eastAsia"/>
                <w:color w:val="auto"/>
                <w:szCs w:val="22"/>
              </w:rPr>
              <w:t>5.7.3</w:t>
            </w:r>
          </w:p>
        </w:tc>
        <w:tc>
          <w:tcPr>
            <w:tcW w:w="1134" w:type="dxa"/>
            <w:vAlign w:val="center"/>
          </w:tcPr>
          <w:p w14:paraId="39C7D38B">
            <w:pPr>
              <w:pStyle w:val="59"/>
              <w:ind w:firstLine="0" w:firstLineChars="0"/>
              <w:jc w:val="center"/>
              <w:rPr>
                <w:color w:val="auto"/>
                <w:szCs w:val="22"/>
              </w:rPr>
            </w:pPr>
            <w:r>
              <w:rPr>
                <w:rFonts w:hint="eastAsia"/>
                <w:color w:val="auto"/>
                <w:szCs w:val="22"/>
              </w:rPr>
              <w:t>×</w:t>
            </w:r>
          </w:p>
        </w:tc>
        <w:tc>
          <w:tcPr>
            <w:tcW w:w="1099" w:type="dxa"/>
            <w:vAlign w:val="center"/>
          </w:tcPr>
          <w:p w14:paraId="7651A304">
            <w:pPr>
              <w:pStyle w:val="59"/>
              <w:ind w:firstLine="0" w:firstLineChars="0"/>
              <w:jc w:val="center"/>
              <w:rPr>
                <w:color w:val="auto"/>
                <w:szCs w:val="22"/>
              </w:rPr>
            </w:pPr>
            <w:r>
              <w:rPr>
                <w:rFonts w:hint="eastAsia"/>
                <w:color w:val="auto"/>
                <w:szCs w:val="22"/>
              </w:rPr>
              <w:t>√</w:t>
            </w:r>
          </w:p>
        </w:tc>
      </w:tr>
      <w:tr w14:paraId="57E1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75" w:type="dxa"/>
            <w:shd w:val="clear" w:color="auto" w:fill="auto"/>
            <w:vAlign w:val="center"/>
          </w:tcPr>
          <w:p w14:paraId="0FA5E95D">
            <w:pPr>
              <w:pStyle w:val="59"/>
              <w:ind w:firstLine="0" w:firstLineChars="0"/>
              <w:jc w:val="center"/>
              <w:rPr>
                <w:color w:val="auto"/>
                <w:szCs w:val="22"/>
              </w:rPr>
            </w:pPr>
            <w:r>
              <w:rPr>
                <w:rFonts w:hint="eastAsia"/>
                <w:color w:val="auto"/>
                <w:szCs w:val="22"/>
              </w:rPr>
              <w:t>26</w:t>
            </w:r>
          </w:p>
        </w:tc>
        <w:tc>
          <w:tcPr>
            <w:tcW w:w="3969" w:type="dxa"/>
            <w:gridSpan w:val="2"/>
            <w:vAlign w:val="center"/>
          </w:tcPr>
          <w:p w14:paraId="3132A0B2">
            <w:pPr>
              <w:pStyle w:val="233"/>
              <w:tabs>
                <w:tab w:val="center" w:pos="4201"/>
                <w:tab w:val="right" w:leader="dot" w:pos="9298"/>
              </w:tabs>
              <w:ind w:firstLine="0" w:firstLineChars="0"/>
              <w:jc w:val="center"/>
              <w:rPr>
                <w:color w:val="auto"/>
                <w:szCs w:val="22"/>
              </w:rPr>
            </w:pPr>
            <w:r>
              <w:rPr>
                <w:rFonts w:hint="eastAsia"/>
                <w:color w:val="auto"/>
                <w:szCs w:val="22"/>
              </w:rPr>
              <w:t>电磁兼容性要求</w:t>
            </w:r>
          </w:p>
        </w:tc>
        <w:tc>
          <w:tcPr>
            <w:tcW w:w="1418" w:type="dxa"/>
            <w:vAlign w:val="center"/>
          </w:tcPr>
          <w:p w14:paraId="47D01A18">
            <w:pPr>
              <w:pStyle w:val="59"/>
              <w:ind w:firstLine="0" w:firstLineChars="0"/>
              <w:jc w:val="center"/>
              <w:rPr>
                <w:color w:val="auto"/>
                <w:szCs w:val="22"/>
              </w:rPr>
            </w:pPr>
            <w:r>
              <w:rPr>
                <w:rFonts w:hint="eastAsia"/>
                <w:color w:val="auto"/>
                <w:szCs w:val="22"/>
              </w:rPr>
              <w:t>4.8</w:t>
            </w:r>
          </w:p>
        </w:tc>
        <w:tc>
          <w:tcPr>
            <w:tcW w:w="1276" w:type="dxa"/>
            <w:vAlign w:val="center"/>
          </w:tcPr>
          <w:p w14:paraId="30B55478">
            <w:pPr>
              <w:pStyle w:val="59"/>
              <w:ind w:firstLine="0" w:firstLineChars="0"/>
              <w:jc w:val="center"/>
              <w:rPr>
                <w:color w:val="auto"/>
                <w:szCs w:val="22"/>
              </w:rPr>
            </w:pPr>
            <w:r>
              <w:rPr>
                <w:rFonts w:hint="eastAsia"/>
                <w:color w:val="auto"/>
                <w:szCs w:val="22"/>
              </w:rPr>
              <w:t>5.8</w:t>
            </w:r>
          </w:p>
        </w:tc>
        <w:tc>
          <w:tcPr>
            <w:tcW w:w="1134" w:type="dxa"/>
            <w:vAlign w:val="center"/>
          </w:tcPr>
          <w:p w14:paraId="78A31C72">
            <w:pPr>
              <w:pStyle w:val="59"/>
              <w:ind w:firstLine="0" w:firstLineChars="0"/>
              <w:jc w:val="center"/>
              <w:rPr>
                <w:color w:val="auto"/>
                <w:szCs w:val="22"/>
              </w:rPr>
            </w:pPr>
            <w:r>
              <w:rPr>
                <w:rFonts w:hint="eastAsia"/>
                <w:color w:val="auto"/>
                <w:szCs w:val="22"/>
              </w:rPr>
              <w:t>×</w:t>
            </w:r>
          </w:p>
        </w:tc>
        <w:tc>
          <w:tcPr>
            <w:tcW w:w="1099" w:type="dxa"/>
            <w:vAlign w:val="center"/>
          </w:tcPr>
          <w:p w14:paraId="40A00353">
            <w:pPr>
              <w:pStyle w:val="59"/>
              <w:ind w:firstLine="0" w:firstLineChars="0"/>
              <w:jc w:val="center"/>
              <w:rPr>
                <w:color w:val="auto"/>
                <w:szCs w:val="22"/>
              </w:rPr>
            </w:pPr>
            <w:r>
              <w:rPr>
                <w:rFonts w:hint="eastAsia"/>
                <w:color w:val="auto"/>
                <w:szCs w:val="22"/>
              </w:rPr>
              <w:t>√</w:t>
            </w:r>
          </w:p>
        </w:tc>
      </w:tr>
      <w:tr w14:paraId="6E83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7"/>
            <w:vAlign w:val="center"/>
          </w:tcPr>
          <w:p w14:paraId="2D058CBB">
            <w:pPr>
              <w:pStyle w:val="59"/>
              <w:ind w:firstLine="0" w:firstLineChars="0"/>
              <w:jc w:val="left"/>
              <w:rPr>
                <w:color w:val="auto"/>
                <w:szCs w:val="22"/>
              </w:rPr>
            </w:pPr>
            <w:r>
              <w:rPr>
                <w:rFonts w:hint="eastAsia"/>
                <w:color w:val="auto"/>
                <w:szCs w:val="22"/>
              </w:rPr>
              <w:t>注：“√”表示需要检验的项目，“×”表示不需要检验的项目。</w:t>
            </w:r>
          </w:p>
        </w:tc>
      </w:tr>
    </w:tbl>
    <w:p w14:paraId="3C32F608">
      <w:pPr>
        <w:pStyle w:val="233"/>
        <w:rPr>
          <w:rFonts w:hint="eastAsia"/>
          <w:lang w:val="en-US" w:eastAsia="zh-CN"/>
        </w:rPr>
      </w:pPr>
    </w:p>
    <w:p w14:paraId="3728147C">
      <w:pPr>
        <w:pStyle w:val="107"/>
        <w:keepNext w:val="0"/>
        <w:keepLines w:val="0"/>
        <w:pageBreakBefore w:val="0"/>
        <w:widowControl/>
        <w:numPr>
          <w:ilvl w:val="1"/>
          <w:numId w:val="0"/>
        </w:numPr>
        <w:kinsoku/>
        <w:wordWrap/>
        <w:overflowPunct/>
        <w:topLinePunct w:val="0"/>
        <w:bidi w:val="0"/>
        <w:adjustRightInd/>
        <w:snapToGrid/>
        <w:spacing w:before="240" w:after="240" w:line="360" w:lineRule="auto"/>
        <w:textAlignment w:val="auto"/>
        <w:rPr>
          <w:rFonts w:hint="eastAsia"/>
          <w:szCs w:val="22"/>
        </w:rPr>
      </w:pPr>
      <w:r>
        <w:rPr>
          <w:rFonts w:hint="eastAsia"/>
          <w:szCs w:val="22"/>
        </w:rPr>
        <w:t xml:space="preserve">7  </w:t>
      </w:r>
      <w:bookmarkEnd w:id="38"/>
      <w:bookmarkEnd w:id="39"/>
      <w:r>
        <w:rPr>
          <w:rFonts w:hint="eastAsia"/>
          <w:szCs w:val="22"/>
        </w:rPr>
        <w:t xml:space="preserve"> 包装、运输、贮存</w:t>
      </w:r>
    </w:p>
    <w:p w14:paraId="1D6B2614">
      <w:pPr>
        <w:pStyle w:val="59"/>
        <w:keepNext w:val="0"/>
        <w:keepLines w:val="0"/>
        <w:pageBreakBefore w:val="0"/>
        <w:widowControl/>
        <w:kinsoku/>
        <w:wordWrap/>
        <w:overflowPunct/>
        <w:topLinePunct w:val="0"/>
        <w:bidi w:val="0"/>
        <w:adjustRightInd/>
        <w:snapToGrid/>
        <w:spacing w:line="360" w:lineRule="auto"/>
        <w:textAlignment w:val="auto"/>
        <w:rPr>
          <w:rFonts w:hint="default" w:eastAsia="宋体"/>
          <w:lang w:val="en-US" w:eastAsia="zh-CN"/>
        </w:rPr>
      </w:pPr>
      <w:r>
        <w:rPr>
          <w:rFonts w:hint="eastAsia"/>
          <w:szCs w:val="22"/>
          <w:lang w:val="en-US" w:eastAsia="zh-CN"/>
        </w:rPr>
        <w:t>电碳表的包装、运输、贮存应满足以下要求：</w:t>
      </w:r>
    </w:p>
    <w:bookmarkEnd w:id="13"/>
    <w:p w14:paraId="79F094EC">
      <w:pPr>
        <w:pStyle w:val="59"/>
        <w:keepNext w:val="0"/>
        <w:keepLines w:val="0"/>
        <w:pageBreakBefore w:val="0"/>
        <w:widowControl/>
        <w:kinsoku/>
        <w:wordWrap/>
        <w:overflowPunct/>
        <w:topLinePunct w:val="0"/>
        <w:bidi w:val="0"/>
        <w:adjustRightInd/>
        <w:snapToGrid/>
        <w:spacing w:line="360" w:lineRule="auto"/>
        <w:ind w:firstLine="420"/>
        <w:textAlignment w:val="auto"/>
        <w:rPr>
          <w:rFonts w:hint="eastAsia"/>
        </w:rPr>
      </w:pPr>
      <w:bookmarkStart w:id="40" w:name="BookMark8"/>
      <w:r>
        <w:rPr>
          <w:rFonts w:hint="eastAsia"/>
          <w:lang w:val="en-US" w:eastAsia="zh-CN"/>
        </w:rPr>
        <w:t>a</w:t>
      </w:r>
      <w:r>
        <w:rPr>
          <w:rFonts w:hint="eastAsia"/>
          <w:lang w:eastAsia="zh-CN"/>
        </w:rPr>
        <w:t>）</w:t>
      </w:r>
      <w:r>
        <w:rPr>
          <w:rFonts w:hint="eastAsia"/>
          <w:lang w:val="en-US" w:eastAsia="zh-CN"/>
        </w:rPr>
        <w:t xml:space="preserve"> </w:t>
      </w:r>
      <w:r>
        <w:rPr>
          <w:rFonts w:hint="eastAsia"/>
        </w:rPr>
        <w:t>产品的包装应符合</w:t>
      </w:r>
      <w:r>
        <w:rPr>
          <w:rFonts w:hint="eastAsia"/>
          <w:lang w:val="en-US" w:eastAsia="zh-CN"/>
        </w:rPr>
        <w:t xml:space="preserve"> </w:t>
      </w:r>
      <w:r>
        <w:rPr>
          <w:rFonts w:hint="eastAsia"/>
        </w:rPr>
        <w:t>GB/T 13384</w:t>
      </w:r>
      <w:r>
        <w:rPr>
          <w:rFonts w:hint="eastAsia"/>
          <w:lang w:val="en-US" w:eastAsia="zh-CN"/>
        </w:rPr>
        <w:t xml:space="preserve"> </w:t>
      </w:r>
      <w:r>
        <w:rPr>
          <w:rFonts w:hint="eastAsia"/>
        </w:rPr>
        <w:t>的规定。</w:t>
      </w:r>
    </w:p>
    <w:p w14:paraId="29928EE1">
      <w:pPr>
        <w:pStyle w:val="59"/>
        <w:keepNext w:val="0"/>
        <w:keepLines w:val="0"/>
        <w:pageBreakBefore w:val="0"/>
        <w:widowControl/>
        <w:kinsoku/>
        <w:wordWrap/>
        <w:overflowPunct/>
        <w:topLinePunct w:val="0"/>
        <w:bidi w:val="0"/>
        <w:adjustRightInd/>
        <w:snapToGrid/>
        <w:spacing w:line="360" w:lineRule="auto"/>
        <w:textAlignment w:val="auto"/>
        <w:rPr>
          <w:rFonts w:hint="eastAsia"/>
        </w:rPr>
      </w:pPr>
      <w:r>
        <w:rPr>
          <w:rFonts w:hint="eastAsia"/>
          <w:lang w:val="en-US" w:eastAsia="zh-CN"/>
        </w:rPr>
        <w:t>b</w:t>
      </w:r>
      <w:r>
        <w:rPr>
          <w:rFonts w:hint="eastAsia"/>
          <w:lang w:eastAsia="zh-CN"/>
        </w:rPr>
        <w:t>）</w:t>
      </w:r>
      <w:r>
        <w:rPr>
          <w:rFonts w:hint="eastAsia"/>
          <w:lang w:val="en-US" w:eastAsia="zh-CN"/>
        </w:rPr>
        <w:t xml:space="preserve"> </w:t>
      </w:r>
      <w:r>
        <w:rPr>
          <w:rFonts w:hint="eastAsia"/>
        </w:rPr>
        <w:t>包装完整的产品在运输过程中应避免雨、雪的直接淋袭，并防止受到剧烈的撞击和振动。</w:t>
      </w:r>
    </w:p>
    <w:p w14:paraId="517C83FC">
      <w:pPr>
        <w:pStyle w:val="59"/>
        <w:keepNext w:val="0"/>
        <w:keepLines w:val="0"/>
        <w:pageBreakBefore w:val="0"/>
        <w:widowControl/>
        <w:kinsoku/>
        <w:wordWrap/>
        <w:overflowPunct/>
        <w:topLinePunct w:val="0"/>
        <w:bidi w:val="0"/>
        <w:adjustRightInd/>
        <w:snapToGrid/>
        <w:spacing w:line="360" w:lineRule="auto"/>
        <w:textAlignment w:val="auto"/>
        <w:rPr>
          <w:rFonts w:hint="eastAsia"/>
        </w:rPr>
      </w:pPr>
      <w:r>
        <w:rPr>
          <w:rFonts w:hint="eastAsia"/>
          <w:lang w:val="en-US" w:eastAsia="zh-CN"/>
        </w:rPr>
        <w:t>c</w:t>
      </w:r>
      <w:r>
        <w:rPr>
          <w:rFonts w:hint="eastAsia"/>
          <w:lang w:eastAsia="zh-CN"/>
        </w:rPr>
        <w:t>）</w:t>
      </w:r>
      <w:r>
        <w:rPr>
          <w:rFonts w:hint="eastAsia"/>
          <w:lang w:val="en-US" w:eastAsia="zh-CN"/>
        </w:rPr>
        <w:t xml:space="preserve"> </w:t>
      </w:r>
      <w:r>
        <w:rPr>
          <w:rFonts w:hint="eastAsia"/>
        </w:rPr>
        <w:t>存储的地方应保持干燥、清洁，且无腐蚀性气体。</w:t>
      </w:r>
    </w:p>
    <w:p w14:paraId="04EF83DD">
      <w:pPr>
        <w:pStyle w:val="59"/>
        <w:ind w:firstLine="0" w:firstLineChars="0"/>
        <w:jc w:val="center"/>
      </w:pPr>
    </w:p>
    <w:p w14:paraId="60AAD6E0">
      <w:pPr>
        <w:pStyle w:val="59"/>
        <w:ind w:firstLine="0" w:firstLineChars="0"/>
        <w:jc w:val="center"/>
      </w:pPr>
      <w:bookmarkStart w:id="41" w:name="_GoBack"/>
      <w:bookmarkEnd w:id="41"/>
    </w:p>
    <w:p w14:paraId="7F4C1EDD">
      <w:pPr>
        <w:pStyle w:val="59"/>
        <w:ind w:firstLine="0" w:firstLineChars="0"/>
        <w:rPr>
          <w:u w:val="single"/>
        </w:rPr>
      </w:pPr>
      <w:r>
        <w:rPr>
          <w:rFonts w:hint="eastAsia"/>
        </w:rPr>
        <w:t xml:space="preserve">                            </w:t>
      </w:r>
      <w:r>
        <w:rPr>
          <w:rFonts w:hint="eastAsia"/>
          <w:u w:val="single"/>
        </w:rPr>
        <w:t xml:space="preserve">                           </w:t>
      </w:r>
    </w:p>
    <w:p w14:paraId="7A86D648">
      <w:pPr>
        <w:pStyle w:val="59"/>
        <w:ind w:firstLine="0" w:firstLineChars="0"/>
      </w:pPr>
    </w:p>
    <w:bookmarkEnd w:id="40"/>
    <w:p w14:paraId="274A7B23">
      <w:pPr>
        <w:pStyle w:val="59"/>
        <w:ind w:firstLine="0" w:firstLineChars="0"/>
      </w:pPr>
    </w:p>
    <w:sectPr>
      <w:headerReference r:id="rId13" w:type="default"/>
      <w:footerReference r:id="rId15" w:type="default"/>
      <w:headerReference r:id="rId14" w:type="even"/>
      <w:footerReference r:id="rId16" w:type="even"/>
      <w:pgSz w:w="11906" w:h="16838"/>
      <w:pgMar w:top="1928" w:right="1134" w:bottom="1134" w:left="1134" w:header="1418" w:footer="1134" w:gutter="283"/>
      <w:pgNumType w:start="1"/>
      <w:cols w:space="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08AD0">
    <w:pPr>
      <w:pStyle w:val="21"/>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6C304">
    <w:pPr>
      <w:pStyle w:val="2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2267">
    <w:pPr>
      <w:pStyle w:val="55"/>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C5F54">
    <w:pPr>
      <w:pStyle w:val="54"/>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DBA49">
    <w:pPr>
      <w:pStyle w:val="55"/>
    </w:pPr>
    <w:r>
      <w:fldChar w:fldCharType="begin"/>
    </w:r>
    <w:r>
      <w:instrText xml:space="preserve">PAGE   \* MERGEFORMAT</w:instrText>
    </w:r>
    <w:r>
      <w:fldChar w:fldCharType="separate"/>
    </w:r>
    <w:r>
      <w:rPr>
        <w:lang w:val="zh-CN"/>
      </w:rPr>
      <w:t>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1632C">
    <w:pPr>
      <w:pStyle w:val="54"/>
    </w:pPr>
    <w:r>
      <w:fldChar w:fldCharType="begin"/>
    </w:r>
    <w:r>
      <w:instrText xml:space="preserve"> PAGE   \* MERGEFORMAT \* MERGEFORMAT </w:instrText>
    </w:r>
    <w:r>
      <w:fldChar w:fldCharType="separate"/>
    </w:r>
    <w: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821E0">
    <w:pPr>
      <w:pStyle w:val="22"/>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23E58">
    <w:pPr>
      <w:pStyle w:val="22"/>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AEBB6">
    <w:pPr>
      <w:pStyle w:val="64"/>
    </w:pPr>
    <w:r>
      <w:fldChar w:fldCharType="begin"/>
    </w:r>
    <w:r>
      <w:instrText xml:space="preserve"> STYLEREF  标准文件_文件编号  \* MERGEFORMAT </w:instrText>
    </w:r>
    <w:r>
      <w:fldChar w:fldCharType="separate"/>
    </w:r>
    <w:r>
      <w:t>T/CIMA 0187—202X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CFE93">
    <w:pPr>
      <w:pStyle w:val="65"/>
    </w:pPr>
    <w:r>
      <w:fldChar w:fldCharType="begin"/>
    </w:r>
    <w:r>
      <w:instrText xml:space="preserve"> STYLEREF  标准文件_文件编号 \* MERGEFORMAT </w:instrText>
    </w:r>
    <w:r>
      <w:fldChar w:fldCharType="separate"/>
    </w:r>
    <w:r>
      <w:t>T/CIMA 0187—202X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3FE26">
    <w:pPr>
      <w:pStyle w:val="64"/>
    </w:pPr>
    <w:r>
      <w:fldChar w:fldCharType="begin"/>
    </w:r>
    <w:r>
      <w:instrText xml:space="preserve"> STYLEREF  标准文件_文件编号  \* MERGEFORMAT </w:instrText>
    </w:r>
    <w:r>
      <w:fldChar w:fldCharType="separate"/>
    </w:r>
    <w:r>
      <w:t>T/CIMA 0187—202X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6E4C1">
    <w:pPr>
      <w:pStyle w:val="65"/>
    </w:pPr>
    <w:r>
      <w:fldChar w:fldCharType="begin"/>
    </w:r>
    <w:r>
      <w:instrText xml:space="preserve"> STYLEREF  标准文件_文件编号 \* MERGEFORMAT </w:instrText>
    </w:r>
    <w:r>
      <w:fldChar w:fldCharType="separate"/>
    </w:r>
    <w:r>
      <w:t>T/CIMA 0187—202X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B5109"/>
    <w:multiLevelType w:val="multilevel"/>
    <w:tmpl w:val="8C8B5109"/>
    <w:lvl w:ilvl="0" w:tentative="0">
      <w:start w:val="1"/>
      <w:numFmt w:val="lowerLetter"/>
      <w:lvlText w:val="%1）"/>
      <w:lvlJc w:val="left"/>
      <w:pPr>
        <w:ind w:left="839" w:hanging="419"/>
      </w:pPr>
      <w:rPr>
        <w:rFonts w:hint="eastAsia"/>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ABC898F7"/>
    <w:multiLevelType w:val="multilevel"/>
    <w:tmpl w:val="ABC898F7"/>
    <w:lvl w:ilvl="0" w:tentative="0">
      <w:start w:val="1"/>
      <w:numFmt w:val="lowerLetter"/>
      <w:lvlText w:val="%1）"/>
      <w:lvlJc w:val="left"/>
      <w:pPr>
        <w:ind w:left="839" w:hanging="419"/>
      </w:pPr>
      <w:rPr>
        <w:rFonts w:hint="eastAsia"/>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BE5C4D91"/>
    <w:multiLevelType w:val="multilevel"/>
    <w:tmpl w:val="BE5C4D91"/>
    <w:lvl w:ilvl="0" w:tentative="0">
      <w:start w:val="1"/>
      <w:numFmt w:val="lowerLetter"/>
      <w:lvlText w:val="%1）"/>
      <w:lvlJc w:val="left"/>
      <w:pPr>
        <w:ind w:left="839" w:hanging="419"/>
      </w:pPr>
      <w:rPr>
        <w:rFonts w:hint="eastAsia"/>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237"/>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suff w:val="nothing"/>
      <w:lvlText w:val="%1表%2　"/>
      <w:lvlJc w:val="left"/>
      <w:pPr>
        <w:ind w:left="0" w:firstLine="0"/>
      </w:pPr>
      <w:rPr>
        <w:rFonts w:hint="eastAsia" w:ascii="黑体" w:hAnsi="黑体" w:eastAsia="黑体" w:cs="Times New Roman"/>
        <w:b w:val="0"/>
        <w:bCs w:val="0"/>
        <w:i w:val="0"/>
        <w:iCs w:val="0"/>
        <w:caps w:val="0"/>
        <w:smallCaps w:val="0"/>
        <w:strike w:val="0"/>
        <w:dstrike w:val="0"/>
        <w:snapToGrid w:val="0"/>
        <w:vanish w:val="0"/>
        <w:spacing w:val="0"/>
        <w:w w:val="100"/>
        <w:kern w:val="0"/>
        <w:position w:val="0"/>
        <w:sz w:val="21"/>
        <w:u w:val="none"/>
        <w:vertAlign w:val="baseline"/>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8">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1">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4">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3A97B238"/>
    <w:multiLevelType w:val="multilevel"/>
    <w:tmpl w:val="3A97B238"/>
    <w:lvl w:ilvl="0" w:tentative="0">
      <w:start w:val="1"/>
      <w:numFmt w:val="decimal"/>
      <w:pStyle w:val="2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6"/>
      <w:suff w:val="nothing"/>
      <w:lvlText w:val="%1.%2.%3　"/>
      <w:lvlJc w:val="left"/>
      <w:pPr>
        <w:ind w:left="0" w:firstLine="0"/>
      </w:pPr>
      <w:rPr>
        <w:rFonts w:hint="eastAsia" w:ascii="黑体" w:hAnsi="Times New Roman" w:eastAsia="黑体"/>
        <w:b w:val="0"/>
        <w:i w:val="0"/>
        <w:color w:val="auto"/>
        <w:sz w:val="21"/>
      </w:rPr>
    </w:lvl>
    <w:lvl w:ilvl="3" w:tentative="0">
      <w:start w:val="1"/>
      <w:numFmt w:val="decimal"/>
      <w:pStyle w:val="23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5BF0EBE"/>
    <w:multiLevelType w:val="multilevel"/>
    <w:tmpl w:val="65BF0EBE"/>
    <w:lvl w:ilvl="0" w:tentative="0">
      <w:start w:val="1"/>
      <w:numFmt w:val="lowerLetter"/>
      <w:lvlText w:val="%1）"/>
      <w:lvlJc w:val="left"/>
      <w:pPr>
        <w:ind w:left="839" w:hanging="419"/>
      </w:pPr>
      <w:rPr>
        <w:rFonts w:hint="eastAsia"/>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A1C068B"/>
    <w:multiLevelType w:val="multilevel"/>
    <w:tmpl w:val="6A1C068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40"/>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2">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5">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6">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7">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34"/>
  </w:num>
  <w:num w:numId="3">
    <w:abstractNumId w:val="9"/>
  </w:num>
  <w:num w:numId="4">
    <w:abstractNumId w:val="28"/>
  </w:num>
  <w:num w:numId="5">
    <w:abstractNumId w:val="23"/>
  </w:num>
  <w:num w:numId="6">
    <w:abstractNumId w:val="18"/>
  </w:num>
  <w:num w:numId="7">
    <w:abstractNumId w:val="12"/>
  </w:num>
  <w:num w:numId="8">
    <w:abstractNumId w:val="6"/>
  </w:num>
  <w:num w:numId="9">
    <w:abstractNumId w:val="13"/>
  </w:num>
  <w:num w:numId="10">
    <w:abstractNumId w:val="21"/>
  </w:num>
  <w:num w:numId="11">
    <w:abstractNumId w:val="32"/>
  </w:num>
  <w:num w:numId="12">
    <w:abstractNumId w:val="15"/>
  </w:num>
  <w:num w:numId="13">
    <w:abstractNumId w:val="17"/>
  </w:num>
  <w:num w:numId="14">
    <w:abstractNumId w:val="11"/>
  </w:num>
  <w:num w:numId="15">
    <w:abstractNumId w:val="24"/>
  </w:num>
  <w:num w:numId="16">
    <w:abstractNumId w:val="26"/>
  </w:num>
  <w:num w:numId="17">
    <w:abstractNumId w:val="22"/>
  </w:num>
  <w:num w:numId="18">
    <w:abstractNumId w:val="36"/>
  </w:num>
  <w:num w:numId="19">
    <w:abstractNumId w:val="20"/>
  </w:num>
  <w:num w:numId="20">
    <w:abstractNumId w:val="4"/>
  </w:num>
  <w:num w:numId="21">
    <w:abstractNumId w:val="14"/>
  </w:num>
  <w:num w:numId="22">
    <w:abstractNumId w:val="37"/>
  </w:num>
  <w:num w:numId="23">
    <w:abstractNumId w:val="25"/>
  </w:num>
  <w:num w:numId="24">
    <w:abstractNumId w:val="10"/>
  </w:num>
  <w:num w:numId="25">
    <w:abstractNumId w:val="33"/>
  </w:num>
  <w:num w:numId="26">
    <w:abstractNumId w:val="35"/>
  </w:num>
  <w:num w:numId="27">
    <w:abstractNumId w:val="5"/>
  </w:num>
  <w:num w:numId="28">
    <w:abstractNumId w:val="8"/>
  </w:num>
  <w:num w:numId="29">
    <w:abstractNumId w:val="19"/>
  </w:num>
  <w:num w:numId="30">
    <w:abstractNumId w:val="30"/>
  </w:num>
  <w:num w:numId="31">
    <w:abstractNumId w:val="27"/>
  </w:num>
  <w:num w:numId="32">
    <w:abstractNumId w:val="16"/>
  </w:num>
  <w:num w:numId="33">
    <w:abstractNumId w:val="7"/>
  </w:num>
  <w:num w:numId="34">
    <w:abstractNumId w:val="31"/>
  </w:num>
  <w:num w:numId="35">
    <w:abstractNumId w:val="29"/>
  </w:num>
  <w:num w:numId="36">
    <w:abstractNumId w:val="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NDNhMDIwNjdkYWI0NTIzMDQ2NjYyMGU5ZDI3ZDgifQ=="/>
  </w:docVars>
  <w:rsids>
    <w:rsidRoot w:val="00436E45"/>
    <w:rsid w:val="0000040A"/>
    <w:rsid w:val="00000A94"/>
    <w:rsid w:val="00001972"/>
    <w:rsid w:val="00001D9A"/>
    <w:rsid w:val="00003E2B"/>
    <w:rsid w:val="00007B3A"/>
    <w:rsid w:val="00010569"/>
    <w:rsid w:val="000107E0"/>
    <w:rsid w:val="00011FDE"/>
    <w:rsid w:val="00012FFD"/>
    <w:rsid w:val="00014162"/>
    <w:rsid w:val="00014340"/>
    <w:rsid w:val="00015D6B"/>
    <w:rsid w:val="00016A9C"/>
    <w:rsid w:val="00016ECF"/>
    <w:rsid w:val="00017919"/>
    <w:rsid w:val="00022184"/>
    <w:rsid w:val="00022762"/>
    <w:rsid w:val="000238E0"/>
    <w:rsid w:val="000249DB"/>
    <w:rsid w:val="0002595E"/>
    <w:rsid w:val="000303C3"/>
    <w:rsid w:val="000331D3"/>
    <w:rsid w:val="000346A5"/>
    <w:rsid w:val="00034830"/>
    <w:rsid w:val="000359C3"/>
    <w:rsid w:val="00035A7D"/>
    <w:rsid w:val="000365ED"/>
    <w:rsid w:val="0004249A"/>
    <w:rsid w:val="00042F06"/>
    <w:rsid w:val="00043282"/>
    <w:rsid w:val="00044286"/>
    <w:rsid w:val="00047F28"/>
    <w:rsid w:val="000503AA"/>
    <w:rsid w:val="000506A1"/>
    <w:rsid w:val="000515DD"/>
    <w:rsid w:val="0005265A"/>
    <w:rsid w:val="00052E50"/>
    <w:rsid w:val="000539DD"/>
    <w:rsid w:val="00053BD3"/>
    <w:rsid w:val="00054106"/>
    <w:rsid w:val="00054669"/>
    <w:rsid w:val="000556ED"/>
    <w:rsid w:val="000557C7"/>
    <w:rsid w:val="00055FE2"/>
    <w:rsid w:val="0005616F"/>
    <w:rsid w:val="00056F28"/>
    <w:rsid w:val="00060C2E"/>
    <w:rsid w:val="00061033"/>
    <w:rsid w:val="000619E9"/>
    <w:rsid w:val="000622D4"/>
    <w:rsid w:val="0006271B"/>
    <w:rsid w:val="0006357D"/>
    <w:rsid w:val="00063A29"/>
    <w:rsid w:val="0006760C"/>
    <w:rsid w:val="00067F1E"/>
    <w:rsid w:val="00071CC0"/>
    <w:rsid w:val="00071CFC"/>
    <w:rsid w:val="00071F16"/>
    <w:rsid w:val="00073C8C"/>
    <w:rsid w:val="000770FD"/>
    <w:rsid w:val="00077B64"/>
    <w:rsid w:val="00080A1C"/>
    <w:rsid w:val="00080E9F"/>
    <w:rsid w:val="00082317"/>
    <w:rsid w:val="00083D2C"/>
    <w:rsid w:val="00084584"/>
    <w:rsid w:val="00086AA1"/>
    <w:rsid w:val="00087A77"/>
    <w:rsid w:val="00090CA6"/>
    <w:rsid w:val="00092B8A"/>
    <w:rsid w:val="00092FB0"/>
    <w:rsid w:val="000934C5"/>
    <w:rsid w:val="00093D25"/>
    <w:rsid w:val="00093DAB"/>
    <w:rsid w:val="00094D73"/>
    <w:rsid w:val="000959C7"/>
    <w:rsid w:val="00096D63"/>
    <w:rsid w:val="000A03E3"/>
    <w:rsid w:val="000A0B60"/>
    <w:rsid w:val="000A0EB8"/>
    <w:rsid w:val="000A19FC"/>
    <w:rsid w:val="000A296B"/>
    <w:rsid w:val="000A7311"/>
    <w:rsid w:val="000B060F"/>
    <w:rsid w:val="000B1592"/>
    <w:rsid w:val="000B1833"/>
    <w:rsid w:val="000B1FF2"/>
    <w:rsid w:val="000B3CDA"/>
    <w:rsid w:val="000B6A0B"/>
    <w:rsid w:val="000C0F6C"/>
    <w:rsid w:val="000C11DB"/>
    <w:rsid w:val="000C1492"/>
    <w:rsid w:val="000C2FBD"/>
    <w:rsid w:val="000C4B41"/>
    <w:rsid w:val="000C57D6"/>
    <w:rsid w:val="000C6362"/>
    <w:rsid w:val="000C6B6C"/>
    <w:rsid w:val="000C7666"/>
    <w:rsid w:val="000D0A9C"/>
    <w:rsid w:val="000D1795"/>
    <w:rsid w:val="000D329A"/>
    <w:rsid w:val="000D4B9C"/>
    <w:rsid w:val="000D4EB6"/>
    <w:rsid w:val="000D65BE"/>
    <w:rsid w:val="000D753B"/>
    <w:rsid w:val="000E059E"/>
    <w:rsid w:val="000E2F1C"/>
    <w:rsid w:val="000E4C9E"/>
    <w:rsid w:val="000E6FD7"/>
    <w:rsid w:val="000E7144"/>
    <w:rsid w:val="000F06E1"/>
    <w:rsid w:val="000F0E3C"/>
    <w:rsid w:val="000F19D5"/>
    <w:rsid w:val="000F2A2B"/>
    <w:rsid w:val="000F4050"/>
    <w:rsid w:val="000F444F"/>
    <w:rsid w:val="000F4AEA"/>
    <w:rsid w:val="000F67E9"/>
    <w:rsid w:val="00104523"/>
    <w:rsid w:val="00104926"/>
    <w:rsid w:val="00105A94"/>
    <w:rsid w:val="00113B1E"/>
    <w:rsid w:val="00116751"/>
    <w:rsid w:val="0011711C"/>
    <w:rsid w:val="00117D83"/>
    <w:rsid w:val="00121639"/>
    <w:rsid w:val="00124E4F"/>
    <w:rsid w:val="001260B7"/>
    <w:rsid w:val="001265CB"/>
    <w:rsid w:val="001321C6"/>
    <w:rsid w:val="001325C4"/>
    <w:rsid w:val="00133010"/>
    <w:rsid w:val="001338EE"/>
    <w:rsid w:val="00133AAE"/>
    <w:rsid w:val="00135323"/>
    <w:rsid w:val="001356C4"/>
    <w:rsid w:val="00137565"/>
    <w:rsid w:val="00137B4C"/>
    <w:rsid w:val="00141114"/>
    <w:rsid w:val="00142969"/>
    <w:rsid w:val="00143625"/>
    <w:rsid w:val="001446C2"/>
    <w:rsid w:val="001457E7"/>
    <w:rsid w:val="00145D9D"/>
    <w:rsid w:val="00146388"/>
    <w:rsid w:val="001529E5"/>
    <w:rsid w:val="00152FB3"/>
    <w:rsid w:val="00153C7E"/>
    <w:rsid w:val="00156B25"/>
    <w:rsid w:val="00156E1A"/>
    <w:rsid w:val="00157894"/>
    <w:rsid w:val="00157B55"/>
    <w:rsid w:val="0016370D"/>
    <w:rsid w:val="001642FA"/>
    <w:rsid w:val="001649EB"/>
    <w:rsid w:val="00164BAF"/>
    <w:rsid w:val="00164FA8"/>
    <w:rsid w:val="00165065"/>
    <w:rsid w:val="00165434"/>
    <w:rsid w:val="0016580B"/>
    <w:rsid w:val="00165F49"/>
    <w:rsid w:val="00166B88"/>
    <w:rsid w:val="0016770A"/>
    <w:rsid w:val="001704D6"/>
    <w:rsid w:val="00170804"/>
    <w:rsid w:val="001708E9"/>
    <w:rsid w:val="0017340B"/>
    <w:rsid w:val="00173FB1"/>
    <w:rsid w:val="00176776"/>
    <w:rsid w:val="00176DFD"/>
    <w:rsid w:val="001852C9"/>
    <w:rsid w:val="0018744F"/>
    <w:rsid w:val="00187A0B"/>
    <w:rsid w:val="00190087"/>
    <w:rsid w:val="001913C4"/>
    <w:rsid w:val="0019348F"/>
    <w:rsid w:val="00193A07"/>
    <w:rsid w:val="00194C95"/>
    <w:rsid w:val="00195C34"/>
    <w:rsid w:val="00196EF5"/>
    <w:rsid w:val="001A1A53"/>
    <w:rsid w:val="001A234A"/>
    <w:rsid w:val="001A4CF3"/>
    <w:rsid w:val="001A6696"/>
    <w:rsid w:val="001B06E8"/>
    <w:rsid w:val="001B6D87"/>
    <w:rsid w:val="001B71D0"/>
    <w:rsid w:val="001B71EE"/>
    <w:rsid w:val="001C04A8"/>
    <w:rsid w:val="001C2C03"/>
    <w:rsid w:val="001C3EDB"/>
    <w:rsid w:val="001C42F7"/>
    <w:rsid w:val="001C49E5"/>
    <w:rsid w:val="001C680C"/>
    <w:rsid w:val="001C7FEA"/>
    <w:rsid w:val="001D0499"/>
    <w:rsid w:val="001D0BBE"/>
    <w:rsid w:val="001D0ED4"/>
    <w:rsid w:val="001D212F"/>
    <w:rsid w:val="001D29D7"/>
    <w:rsid w:val="001D2DE7"/>
    <w:rsid w:val="001D411C"/>
    <w:rsid w:val="001E1B6A"/>
    <w:rsid w:val="001E2271"/>
    <w:rsid w:val="001E2484"/>
    <w:rsid w:val="001E3CC4"/>
    <w:rsid w:val="001E4882"/>
    <w:rsid w:val="001E589A"/>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7255"/>
    <w:rsid w:val="002204BB"/>
    <w:rsid w:val="00221B79"/>
    <w:rsid w:val="00221C6B"/>
    <w:rsid w:val="00222BAF"/>
    <w:rsid w:val="002253A1"/>
    <w:rsid w:val="00225CF8"/>
    <w:rsid w:val="0022794E"/>
    <w:rsid w:val="00232A75"/>
    <w:rsid w:val="00233D64"/>
    <w:rsid w:val="0023482A"/>
    <w:rsid w:val="00235353"/>
    <w:rsid w:val="002359CB"/>
    <w:rsid w:val="002403CA"/>
    <w:rsid w:val="00243540"/>
    <w:rsid w:val="00243E2B"/>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119"/>
    <w:rsid w:val="00276E58"/>
    <w:rsid w:val="00281BB8"/>
    <w:rsid w:val="00281E9E"/>
    <w:rsid w:val="00282405"/>
    <w:rsid w:val="00284110"/>
    <w:rsid w:val="00285170"/>
    <w:rsid w:val="00285361"/>
    <w:rsid w:val="002877CC"/>
    <w:rsid w:val="00292D60"/>
    <w:rsid w:val="00293B30"/>
    <w:rsid w:val="00294D34"/>
    <w:rsid w:val="00294E3B"/>
    <w:rsid w:val="00296193"/>
    <w:rsid w:val="00296B43"/>
    <w:rsid w:val="00296C66"/>
    <w:rsid w:val="00296EBE"/>
    <w:rsid w:val="002974E3"/>
    <w:rsid w:val="002A084B"/>
    <w:rsid w:val="002A1260"/>
    <w:rsid w:val="002A1589"/>
    <w:rsid w:val="002A1608"/>
    <w:rsid w:val="002A25DC"/>
    <w:rsid w:val="002A3AAB"/>
    <w:rsid w:val="002A3B98"/>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5B87"/>
    <w:rsid w:val="002D6EC6"/>
    <w:rsid w:val="002D79AC"/>
    <w:rsid w:val="002E039D"/>
    <w:rsid w:val="002E0F77"/>
    <w:rsid w:val="002E3883"/>
    <w:rsid w:val="002E4D5A"/>
    <w:rsid w:val="002E6326"/>
    <w:rsid w:val="002F15E1"/>
    <w:rsid w:val="002F2429"/>
    <w:rsid w:val="002F246D"/>
    <w:rsid w:val="002F30E0"/>
    <w:rsid w:val="002F35E4"/>
    <w:rsid w:val="002F3730"/>
    <w:rsid w:val="002F38E1"/>
    <w:rsid w:val="002F3D50"/>
    <w:rsid w:val="002F7AF6"/>
    <w:rsid w:val="00300E63"/>
    <w:rsid w:val="00302F5F"/>
    <w:rsid w:val="0030441D"/>
    <w:rsid w:val="00306063"/>
    <w:rsid w:val="00307C6D"/>
    <w:rsid w:val="00313B85"/>
    <w:rsid w:val="00314D50"/>
    <w:rsid w:val="00317988"/>
    <w:rsid w:val="003221B4"/>
    <w:rsid w:val="0032258D"/>
    <w:rsid w:val="00322E62"/>
    <w:rsid w:val="00323782"/>
    <w:rsid w:val="00324282"/>
    <w:rsid w:val="00324D13"/>
    <w:rsid w:val="00324EDD"/>
    <w:rsid w:val="00330D1A"/>
    <w:rsid w:val="00331D02"/>
    <w:rsid w:val="003331E4"/>
    <w:rsid w:val="00334054"/>
    <w:rsid w:val="003342BC"/>
    <w:rsid w:val="00336C64"/>
    <w:rsid w:val="00337162"/>
    <w:rsid w:val="00340400"/>
    <w:rsid w:val="00340A09"/>
    <w:rsid w:val="00341092"/>
    <w:rsid w:val="0034194F"/>
    <w:rsid w:val="00344395"/>
    <w:rsid w:val="00344605"/>
    <w:rsid w:val="00345705"/>
    <w:rsid w:val="003474AA"/>
    <w:rsid w:val="00350D1D"/>
    <w:rsid w:val="00352C83"/>
    <w:rsid w:val="00352F1A"/>
    <w:rsid w:val="003532FD"/>
    <w:rsid w:val="00355029"/>
    <w:rsid w:val="0036107C"/>
    <w:rsid w:val="003615D2"/>
    <w:rsid w:val="0036429C"/>
    <w:rsid w:val="00364A53"/>
    <w:rsid w:val="00364EA7"/>
    <w:rsid w:val="003654CB"/>
    <w:rsid w:val="00365AA9"/>
    <w:rsid w:val="00365F86"/>
    <w:rsid w:val="00365F87"/>
    <w:rsid w:val="00366E89"/>
    <w:rsid w:val="003705F4"/>
    <w:rsid w:val="00370D58"/>
    <w:rsid w:val="00371316"/>
    <w:rsid w:val="00371440"/>
    <w:rsid w:val="0037211D"/>
    <w:rsid w:val="00376713"/>
    <w:rsid w:val="00381815"/>
    <w:rsid w:val="003819AF"/>
    <w:rsid w:val="003820E9"/>
    <w:rsid w:val="00382DE7"/>
    <w:rsid w:val="00384FFC"/>
    <w:rsid w:val="003872FC"/>
    <w:rsid w:val="00387ADC"/>
    <w:rsid w:val="00390020"/>
    <w:rsid w:val="003903D6"/>
    <w:rsid w:val="00390EE6"/>
    <w:rsid w:val="0039118F"/>
    <w:rsid w:val="003924C1"/>
    <w:rsid w:val="00392AD7"/>
    <w:rsid w:val="003938D9"/>
    <w:rsid w:val="00394376"/>
    <w:rsid w:val="003943FF"/>
    <w:rsid w:val="00396561"/>
    <w:rsid w:val="003974EB"/>
    <w:rsid w:val="00397CC5"/>
    <w:rsid w:val="003A11D1"/>
    <w:rsid w:val="003A1582"/>
    <w:rsid w:val="003A3D9C"/>
    <w:rsid w:val="003A4077"/>
    <w:rsid w:val="003A4AA7"/>
    <w:rsid w:val="003A7EDB"/>
    <w:rsid w:val="003B09AD"/>
    <w:rsid w:val="003B1750"/>
    <w:rsid w:val="003B1F18"/>
    <w:rsid w:val="003B5BF0"/>
    <w:rsid w:val="003B60BF"/>
    <w:rsid w:val="003B6B89"/>
    <w:rsid w:val="003B6BE3"/>
    <w:rsid w:val="003C010C"/>
    <w:rsid w:val="003C0A6C"/>
    <w:rsid w:val="003C14F8"/>
    <w:rsid w:val="003C2526"/>
    <w:rsid w:val="003C37CF"/>
    <w:rsid w:val="003C5A43"/>
    <w:rsid w:val="003D0519"/>
    <w:rsid w:val="003D0FF6"/>
    <w:rsid w:val="003D262C"/>
    <w:rsid w:val="003D6D61"/>
    <w:rsid w:val="003E019F"/>
    <w:rsid w:val="003E06FD"/>
    <w:rsid w:val="003E091D"/>
    <w:rsid w:val="003E1C53"/>
    <w:rsid w:val="003E2A69"/>
    <w:rsid w:val="003E2D49"/>
    <w:rsid w:val="003E2FD4"/>
    <w:rsid w:val="003E49F6"/>
    <w:rsid w:val="003E660F"/>
    <w:rsid w:val="003F0841"/>
    <w:rsid w:val="003F23D3"/>
    <w:rsid w:val="003F3F08"/>
    <w:rsid w:val="003F49F1"/>
    <w:rsid w:val="003F5D5E"/>
    <w:rsid w:val="003F6272"/>
    <w:rsid w:val="003F712D"/>
    <w:rsid w:val="003F73D8"/>
    <w:rsid w:val="00400E72"/>
    <w:rsid w:val="00401400"/>
    <w:rsid w:val="00404869"/>
    <w:rsid w:val="00405884"/>
    <w:rsid w:val="00407D39"/>
    <w:rsid w:val="004101D6"/>
    <w:rsid w:val="004138E9"/>
    <w:rsid w:val="0041477A"/>
    <w:rsid w:val="004167A3"/>
    <w:rsid w:val="00416CB4"/>
    <w:rsid w:val="00431103"/>
    <w:rsid w:val="00432DAA"/>
    <w:rsid w:val="00434305"/>
    <w:rsid w:val="00435DF7"/>
    <w:rsid w:val="00436E45"/>
    <w:rsid w:val="0044083F"/>
    <w:rsid w:val="00441AE7"/>
    <w:rsid w:val="0044274C"/>
    <w:rsid w:val="00445574"/>
    <w:rsid w:val="004467FB"/>
    <w:rsid w:val="00452D6B"/>
    <w:rsid w:val="00454484"/>
    <w:rsid w:val="0045517B"/>
    <w:rsid w:val="004565E9"/>
    <w:rsid w:val="004616C9"/>
    <w:rsid w:val="00463B77"/>
    <w:rsid w:val="00463C7B"/>
    <w:rsid w:val="004644A6"/>
    <w:rsid w:val="004659BD"/>
    <w:rsid w:val="00470775"/>
    <w:rsid w:val="004746B1"/>
    <w:rsid w:val="00474C6A"/>
    <w:rsid w:val="0047583F"/>
    <w:rsid w:val="00475DE8"/>
    <w:rsid w:val="0048050E"/>
    <w:rsid w:val="00480E08"/>
    <w:rsid w:val="00481C44"/>
    <w:rsid w:val="00484936"/>
    <w:rsid w:val="00485C89"/>
    <w:rsid w:val="00486BE3"/>
    <w:rsid w:val="0049032F"/>
    <w:rsid w:val="004905E4"/>
    <w:rsid w:val="00490A89"/>
    <w:rsid w:val="00490AB4"/>
    <w:rsid w:val="00492F02"/>
    <w:rsid w:val="004939AE"/>
    <w:rsid w:val="0049412C"/>
    <w:rsid w:val="00495F06"/>
    <w:rsid w:val="00496D93"/>
    <w:rsid w:val="004A12DF"/>
    <w:rsid w:val="004A1BA8"/>
    <w:rsid w:val="004A3356"/>
    <w:rsid w:val="004A4B57"/>
    <w:rsid w:val="004A50C7"/>
    <w:rsid w:val="004A63FA"/>
    <w:rsid w:val="004A6A3D"/>
    <w:rsid w:val="004B0272"/>
    <w:rsid w:val="004B25D7"/>
    <w:rsid w:val="004B2701"/>
    <w:rsid w:val="004B2E1B"/>
    <w:rsid w:val="004B3AA8"/>
    <w:rsid w:val="004B3E93"/>
    <w:rsid w:val="004B70A8"/>
    <w:rsid w:val="004C193F"/>
    <w:rsid w:val="004C1FBC"/>
    <w:rsid w:val="004C25A2"/>
    <w:rsid w:val="004C3F1D"/>
    <w:rsid w:val="004C458D"/>
    <w:rsid w:val="004C7556"/>
    <w:rsid w:val="004C791A"/>
    <w:rsid w:val="004C7E8B"/>
    <w:rsid w:val="004C7E9D"/>
    <w:rsid w:val="004C7F67"/>
    <w:rsid w:val="004D0049"/>
    <w:rsid w:val="004D076D"/>
    <w:rsid w:val="004D0EF1"/>
    <w:rsid w:val="004D2253"/>
    <w:rsid w:val="004D4406"/>
    <w:rsid w:val="004D7C42"/>
    <w:rsid w:val="004E0465"/>
    <w:rsid w:val="004E127B"/>
    <w:rsid w:val="004E1C0A"/>
    <w:rsid w:val="004E30C5"/>
    <w:rsid w:val="004E3536"/>
    <w:rsid w:val="004E4AA5"/>
    <w:rsid w:val="004E4AEE"/>
    <w:rsid w:val="004E59E3"/>
    <w:rsid w:val="004E67C0"/>
    <w:rsid w:val="004F3188"/>
    <w:rsid w:val="004F391A"/>
    <w:rsid w:val="004F3CFB"/>
    <w:rsid w:val="004F6456"/>
    <w:rsid w:val="004F696E"/>
    <w:rsid w:val="004F6C71"/>
    <w:rsid w:val="00500CB7"/>
    <w:rsid w:val="00501139"/>
    <w:rsid w:val="0050363E"/>
    <w:rsid w:val="005039BC"/>
    <w:rsid w:val="005043BB"/>
    <w:rsid w:val="00504A3D"/>
    <w:rsid w:val="00505767"/>
    <w:rsid w:val="005073F0"/>
    <w:rsid w:val="00510A7B"/>
    <w:rsid w:val="00512F6E"/>
    <w:rsid w:val="00513038"/>
    <w:rsid w:val="0051391B"/>
    <w:rsid w:val="00514174"/>
    <w:rsid w:val="00516088"/>
    <w:rsid w:val="00516B0B"/>
    <w:rsid w:val="005220EC"/>
    <w:rsid w:val="00523F95"/>
    <w:rsid w:val="00524D65"/>
    <w:rsid w:val="005252BB"/>
    <w:rsid w:val="00525B16"/>
    <w:rsid w:val="00533D04"/>
    <w:rsid w:val="00534804"/>
    <w:rsid w:val="00534BDF"/>
    <w:rsid w:val="005354EA"/>
    <w:rsid w:val="0053585F"/>
    <w:rsid w:val="00535EC4"/>
    <w:rsid w:val="00535ED9"/>
    <w:rsid w:val="0053692B"/>
    <w:rsid w:val="00541853"/>
    <w:rsid w:val="00543BDA"/>
    <w:rsid w:val="005441CC"/>
    <w:rsid w:val="00546086"/>
    <w:rsid w:val="005472A7"/>
    <w:rsid w:val="005479DA"/>
    <w:rsid w:val="00547BCC"/>
    <w:rsid w:val="0055013B"/>
    <w:rsid w:val="00551F6F"/>
    <w:rsid w:val="00554B0D"/>
    <w:rsid w:val="00555044"/>
    <w:rsid w:val="00555F41"/>
    <w:rsid w:val="00560663"/>
    <w:rsid w:val="00561475"/>
    <w:rsid w:val="0056191C"/>
    <w:rsid w:val="00562308"/>
    <w:rsid w:val="00562917"/>
    <w:rsid w:val="0056385E"/>
    <w:rsid w:val="0056487B"/>
    <w:rsid w:val="00564FB9"/>
    <w:rsid w:val="00565898"/>
    <w:rsid w:val="00572800"/>
    <w:rsid w:val="00573D9E"/>
    <w:rsid w:val="005801E3"/>
    <w:rsid w:val="00581802"/>
    <w:rsid w:val="005836A8"/>
    <w:rsid w:val="0058409C"/>
    <w:rsid w:val="00584262"/>
    <w:rsid w:val="00586630"/>
    <w:rsid w:val="00587ADD"/>
    <w:rsid w:val="00593A49"/>
    <w:rsid w:val="005946F6"/>
    <w:rsid w:val="00596160"/>
    <w:rsid w:val="005966E2"/>
    <w:rsid w:val="00597007"/>
    <w:rsid w:val="005A0966"/>
    <w:rsid w:val="005A11B7"/>
    <w:rsid w:val="005A157A"/>
    <w:rsid w:val="005A260B"/>
    <w:rsid w:val="005A4A1B"/>
    <w:rsid w:val="005A7830"/>
    <w:rsid w:val="005A7FCE"/>
    <w:rsid w:val="005B0F3F"/>
    <w:rsid w:val="005B0F47"/>
    <w:rsid w:val="005B13B1"/>
    <w:rsid w:val="005B191C"/>
    <w:rsid w:val="005B25E2"/>
    <w:rsid w:val="005B40C3"/>
    <w:rsid w:val="005B4903"/>
    <w:rsid w:val="005B51CE"/>
    <w:rsid w:val="005B5885"/>
    <w:rsid w:val="005B5CD7"/>
    <w:rsid w:val="005B6CB8"/>
    <w:rsid w:val="005B6CF6"/>
    <w:rsid w:val="005B7422"/>
    <w:rsid w:val="005C0C70"/>
    <w:rsid w:val="005C29B8"/>
    <w:rsid w:val="005C3D33"/>
    <w:rsid w:val="005C5F21"/>
    <w:rsid w:val="005C7156"/>
    <w:rsid w:val="005C7ACE"/>
    <w:rsid w:val="005D0C75"/>
    <w:rsid w:val="005D4171"/>
    <w:rsid w:val="005D6A95"/>
    <w:rsid w:val="005D6B2C"/>
    <w:rsid w:val="005D6D9C"/>
    <w:rsid w:val="005E2335"/>
    <w:rsid w:val="005E34CA"/>
    <w:rsid w:val="005E3C18"/>
    <w:rsid w:val="005E4250"/>
    <w:rsid w:val="005E6812"/>
    <w:rsid w:val="005E6B45"/>
    <w:rsid w:val="005E7881"/>
    <w:rsid w:val="005E78E0"/>
    <w:rsid w:val="005F0D9C"/>
    <w:rsid w:val="005F284E"/>
    <w:rsid w:val="006015CE"/>
    <w:rsid w:val="00604784"/>
    <w:rsid w:val="00606419"/>
    <w:rsid w:val="00607D29"/>
    <w:rsid w:val="00607F93"/>
    <w:rsid w:val="00612952"/>
    <w:rsid w:val="00612EF8"/>
    <w:rsid w:val="00613F68"/>
    <w:rsid w:val="00614CC1"/>
    <w:rsid w:val="00615A9D"/>
    <w:rsid w:val="00617387"/>
    <w:rsid w:val="006205D6"/>
    <w:rsid w:val="00622EA8"/>
    <w:rsid w:val="00623AE0"/>
    <w:rsid w:val="006241F6"/>
    <w:rsid w:val="006247FD"/>
    <w:rsid w:val="006252D8"/>
    <w:rsid w:val="006259BC"/>
    <w:rsid w:val="0062636B"/>
    <w:rsid w:val="00627D2F"/>
    <w:rsid w:val="00632182"/>
    <w:rsid w:val="00632AE0"/>
    <w:rsid w:val="00633C17"/>
    <w:rsid w:val="00634D9E"/>
    <w:rsid w:val="00635914"/>
    <w:rsid w:val="00636E3E"/>
    <w:rsid w:val="006379F7"/>
    <w:rsid w:val="00637E4D"/>
    <w:rsid w:val="00637F40"/>
    <w:rsid w:val="00640620"/>
    <w:rsid w:val="00641A1F"/>
    <w:rsid w:val="0064349A"/>
    <w:rsid w:val="00643899"/>
    <w:rsid w:val="00644344"/>
    <w:rsid w:val="00645904"/>
    <w:rsid w:val="00651ACB"/>
    <w:rsid w:val="00651C47"/>
    <w:rsid w:val="00652AB2"/>
    <w:rsid w:val="00653FED"/>
    <w:rsid w:val="00654EC0"/>
    <w:rsid w:val="0065525B"/>
    <w:rsid w:val="00655D4F"/>
    <w:rsid w:val="00656D29"/>
    <w:rsid w:val="00663397"/>
    <w:rsid w:val="00663ACA"/>
    <w:rsid w:val="006640E5"/>
    <w:rsid w:val="006646F1"/>
    <w:rsid w:val="00664929"/>
    <w:rsid w:val="00664F62"/>
    <w:rsid w:val="006655E1"/>
    <w:rsid w:val="00670470"/>
    <w:rsid w:val="00672060"/>
    <w:rsid w:val="00672BFD"/>
    <w:rsid w:val="006770F4"/>
    <w:rsid w:val="00677A84"/>
    <w:rsid w:val="0068026D"/>
    <w:rsid w:val="00680A27"/>
    <w:rsid w:val="006816A4"/>
    <w:rsid w:val="006816BE"/>
    <w:rsid w:val="006819B8"/>
    <w:rsid w:val="006840A6"/>
    <w:rsid w:val="006850CD"/>
    <w:rsid w:val="00685234"/>
    <w:rsid w:val="00685AAB"/>
    <w:rsid w:val="00694BC4"/>
    <w:rsid w:val="006A07AA"/>
    <w:rsid w:val="006A0A5B"/>
    <w:rsid w:val="006A25E5"/>
    <w:rsid w:val="006A2B46"/>
    <w:rsid w:val="006A336D"/>
    <w:rsid w:val="006A37B9"/>
    <w:rsid w:val="006B1ADC"/>
    <w:rsid w:val="006B1CB7"/>
    <w:rsid w:val="006B2672"/>
    <w:rsid w:val="006B54BF"/>
    <w:rsid w:val="006B5F44"/>
    <w:rsid w:val="006B5F90"/>
    <w:rsid w:val="006B62E4"/>
    <w:rsid w:val="006B66D5"/>
    <w:rsid w:val="006C0DDC"/>
    <w:rsid w:val="006C1BBA"/>
    <w:rsid w:val="006C2079"/>
    <w:rsid w:val="006C588E"/>
    <w:rsid w:val="006C5A62"/>
    <w:rsid w:val="006C5D68"/>
    <w:rsid w:val="006C6976"/>
    <w:rsid w:val="006C6DD0"/>
    <w:rsid w:val="006C787F"/>
    <w:rsid w:val="006D04EA"/>
    <w:rsid w:val="006D1176"/>
    <w:rsid w:val="006D16C4"/>
    <w:rsid w:val="006D3E96"/>
    <w:rsid w:val="006D4515"/>
    <w:rsid w:val="006D4BB1"/>
    <w:rsid w:val="006D6593"/>
    <w:rsid w:val="006D7067"/>
    <w:rsid w:val="006E173E"/>
    <w:rsid w:val="006E7C60"/>
    <w:rsid w:val="006F03A8"/>
    <w:rsid w:val="006F2ACA"/>
    <w:rsid w:val="006F2ADC"/>
    <w:rsid w:val="006F2BFE"/>
    <w:rsid w:val="006F31E9"/>
    <w:rsid w:val="006F6234"/>
    <w:rsid w:val="006F6284"/>
    <w:rsid w:val="007002C5"/>
    <w:rsid w:val="00704387"/>
    <w:rsid w:val="00707669"/>
    <w:rsid w:val="00711CBA"/>
    <w:rsid w:val="00711FB5"/>
    <w:rsid w:val="00712A01"/>
    <w:rsid w:val="00714F58"/>
    <w:rsid w:val="00715C9F"/>
    <w:rsid w:val="0072124E"/>
    <w:rsid w:val="00722FBF"/>
    <w:rsid w:val="00722FC2"/>
    <w:rsid w:val="00724E1B"/>
    <w:rsid w:val="00725949"/>
    <w:rsid w:val="00725F56"/>
    <w:rsid w:val="00727FA2"/>
    <w:rsid w:val="0073150C"/>
    <w:rsid w:val="007322D9"/>
    <w:rsid w:val="00732BC0"/>
    <w:rsid w:val="00735EED"/>
    <w:rsid w:val="00736407"/>
    <w:rsid w:val="0073720F"/>
    <w:rsid w:val="00737796"/>
    <w:rsid w:val="007412CD"/>
    <w:rsid w:val="0074165C"/>
    <w:rsid w:val="007425EB"/>
    <w:rsid w:val="00742C35"/>
    <w:rsid w:val="00743093"/>
    <w:rsid w:val="007432CA"/>
    <w:rsid w:val="007439EB"/>
    <w:rsid w:val="00743CB4"/>
    <w:rsid w:val="00743F0A"/>
    <w:rsid w:val="007444E8"/>
    <w:rsid w:val="0074548E"/>
    <w:rsid w:val="007454A1"/>
    <w:rsid w:val="00745773"/>
    <w:rsid w:val="00746800"/>
    <w:rsid w:val="0074681C"/>
    <w:rsid w:val="007501A8"/>
    <w:rsid w:val="00750D61"/>
    <w:rsid w:val="00750EE1"/>
    <w:rsid w:val="00752B4D"/>
    <w:rsid w:val="00755402"/>
    <w:rsid w:val="00756B26"/>
    <w:rsid w:val="00756EDF"/>
    <w:rsid w:val="00757D18"/>
    <w:rsid w:val="007600E3"/>
    <w:rsid w:val="007613F7"/>
    <w:rsid w:val="00763DF4"/>
    <w:rsid w:val="00765C43"/>
    <w:rsid w:val="00765EFB"/>
    <w:rsid w:val="0076606D"/>
    <w:rsid w:val="00766C59"/>
    <w:rsid w:val="007671CA"/>
    <w:rsid w:val="00767C61"/>
    <w:rsid w:val="0077008A"/>
    <w:rsid w:val="0077080A"/>
    <w:rsid w:val="00773C1F"/>
    <w:rsid w:val="00774DA4"/>
    <w:rsid w:val="00776599"/>
    <w:rsid w:val="00780264"/>
    <w:rsid w:val="0078114B"/>
    <w:rsid w:val="00781DD2"/>
    <w:rsid w:val="00782740"/>
    <w:rsid w:val="00783ECF"/>
    <w:rsid w:val="0078413A"/>
    <w:rsid w:val="007908E5"/>
    <w:rsid w:val="007959E8"/>
    <w:rsid w:val="00795E9C"/>
    <w:rsid w:val="00796F15"/>
    <w:rsid w:val="007970F7"/>
    <w:rsid w:val="007A0521"/>
    <w:rsid w:val="007A2E12"/>
    <w:rsid w:val="007A3475"/>
    <w:rsid w:val="007A41C8"/>
    <w:rsid w:val="007A54CE"/>
    <w:rsid w:val="007A5D3A"/>
    <w:rsid w:val="007A6FD9"/>
    <w:rsid w:val="007A7FFA"/>
    <w:rsid w:val="007B04EB"/>
    <w:rsid w:val="007B0D4F"/>
    <w:rsid w:val="007B1219"/>
    <w:rsid w:val="007B5A3D"/>
    <w:rsid w:val="007B5B95"/>
    <w:rsid w:val="007B5ED2"/>
    <w:rsid w:val="007B6032"/>
    <w:rsid w:val="007B68EA"/>
    <w:rsid w:val="007B7453"/>
    <w:rsid w:val="007C2D89"/>
    <w:rsid w:val="007C4593"/>
    <w:rsid w:val="007C5309"/>
    <w:rsid w:val="007C55B4"/>
    <w:rsid w:val="007C6069"/>
    <w:rsid w:val="007D023A"/>
    <w:rsid w:val="007D06C4"/>
    <w:rsid w:val="007D1352"/>
    <w:rsid w:val="007D149C"/>
    <w:rsid w:val="007D2508"/>
    <w:rsid w:val="007D346A"/>
    <w:rsid w:val="007D6518"/>
    <w:rsid w:val="007D76BD"/>
    <w:rsid w:val="007E0BF1"/>
    <w:rsid w:val="007E1390"/>
    <w:rsid w:val="007E3004"/>
    <w:rsid w:val="007E3E3F"/>
    <w:rsid w:val="007E494E"/>
    <w:rsid w:val="007E4BD1"/>
    <w:rsid w:val="007E5D86"/>
    <w:rsid w:val="007E614D"/>
    <w:rsid w:val="007F035C"/>
    <w:rsid w:val="007F0ED8"/>
    <w:rsid w:val="007F0F63"/>
    <w:rsid w:val="007F48A9"/>
    <w:rsid w:val="007F75CE"/>
    <w:rsid w:val="00800DB8"/>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1B6"/>
    <w:rsid w:val="008265ED"/>
    <w:rsid w:val="008269DD"/>
    <w:rsid w:val="00830621"/>
    <w:rsid w:val="0083348C"/>
    <w:rsid w:val="008373D3"/>
    <w:rsid w:val="00840617"/>
    <w:rsid w:val="00840F84"/>
    <w:rsid w:val="00841185"/>
    <w:rsid w:val="00842A47"/>
    <w:rsid w:val="00843C13"/>
    <w:rsid w:val="00843DEF"/>
    <w:rsid w:val="008443C1"/>
    <w:rsid w:val="008454F8"/>
    <w:rsid w:val="0084779A"/>
    <w:rsid w:val="0085173A"/>
    <w:rsid w:val="008603CE"/>
    <w:rsid w:val="008620FC"/>
    <w:rsid w:val="008627A5"/>
    <w:rsid w:val="00862850"/>
    <w:rsid w:val="00862DD1"/>
    <w:rsid w:val="00863E05"/>
    <w:rsid w:val="00865ACA"/>
    <w:rsid w:val="00865D28"/>
    <w:rsid w:val="00865F85"/>
    <w:rsid w:val="00866AE6"/>
    <w:rsid w:val="008672A3"/>
    <w:rsid w:val="00867C10"/>
    <w:rsid w:val="00870439"/>
    <w:rsid w:val="00870DA1"/>
    <w:rsid w:val="00877A38"/>
    <w:rsid w:val="008800E0"/>
    <w:rsid w:val="00883120"/>
    <w:rsid w:val="00883F93"/>
    <w:rsid w:val="0088482B"/>
    <w:rsid w:val="00884DB3"/>
    <w:rsid w:val="00885A9D"/>
    <w:rsid w:val="008864F6"/>
    <w:rsid w:val="0088760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587"/>
    <w:rsid w:val="008B166D"/>
    <w:rsid w:val="008B17F4"/>
    <w:rsid w:val="008B3615"/>
    <w:rsid w:val="008B4AC4"/>
    <w:rsid w:val="008B50C8"/>
    <w:rsid w:val="008B5281"/>
    <w:rsid w:val="008B7E05"/>
    <w:rsid w:val="008C1797"/>
    <w:rsid w:val="008C219C"/>
    <w:rsid w:val="008C475E"/>
    <w:rsid w:val="008C619A"/>
    <w:rsid w:val="008C77A3"/>
    <w:rsid w:val="008D0CE8"/>
    <w:rsid w:val="008D2D1D"/>
    <w:rsid w:val="008D3215"/>
    <w:rsid w:val="008D453D"/>
    <w:rsid w:val="008D53AD"/>
    <w:rsid w:val="008D562B"/>
    <w:rsid w:val="008D5733"/>
    <w:rsid w:val="008D622B"/>
    <w:rsid w:val="008D666C"/>
    <w:rsid w:val="008D7B54"/>
    <w:rsid w:val="008E0C9D"/>
    <w:rsid w:val="008E1648"/>
    <w:rsid w:val="008E1B3E"/>
    <w:rsid w:val="008E2319"/>
    <w:rsid w:val="008E3700"/>
    <w:rsid w:val="008E4BB6"/>
    <w:rsid w:val="008E5518"/>
    <w:rsid w:val="008E6A84"/>
    <w:rsid w:val="008F0CDC"/>
    <w:rsid w:val="008F17A3"/>
    <w:rsid w:val="008F1ED3"/>
    <w:rsid w:val="008F4C29"/>
    <w:rsid w:val="008F4CB5"/>
    <w:rsid w:val="008F70BD"/>
    <w:rsid w:val="008F788F"/>
    <w:rsid w:val="008F7EA2"/>
    <w:rsid w:val="00902722"/>
    <w:rsid w:val="009027BC"/>
    <w:rsid w:val="009062E6"/>
    <w:rsid w:val="00910B86"/>
    <w:rsid w:val="00911BE5"/>
    <w:rsid w:val="00913CA9"/>
    <w:rsid w:val="009145AE"/>
    <w:rsid w:val="009146CE"/>
    <w:rsid w:val="00914CA7"/>
    <w:rsid w:val="00915C3E"/>
    <w:rsid w:val="009161A8"/>
    <w:rsid w:val="0092131A"/>
    <w:rsid w:val="00921BDC"/>
    <w:rsid w:val="009245AE"/>
    <w:rsid w:val="009245F5"/>
    <w:rsid w:val="009249EC"/>
    <w:rsid w:val="00926957"/>
    <w:rsid w:val="009273B3"/>
    <w:rsid w:val="009305B5"/>
    <w:rsid w:val="009378DD"/>
    <w:rsid w:val="0094045D"/>
    <w:rsid w:val="00941C23"/>
    <w:rsid w:val="009429D5"/>
    <w:rsid w:val="00942BF1"/>
    <w:rsid w:val="00945180"/>
    <w:rsid w:val="00945428"/>
    <w:rsid w:val="00945E04"/>
    <w:rsid w:val="0094607B"/>
    <w:rsid w:val="00951CFA"/>
    <w:rsid w:val="00953604"/>
    <w:rsid w:val="0095496B"/>
    <w:rsid w:val="00955908"/>
    <w:rsid w:val="00960923"/>
    <w:rsid w:val="00960F1E"/>
    <w:rsid w:val="009610DC"/>
    <w:rsid w:val="00961490"/>
    <w:rsid w:val="0096381A"/>
    <w:rsid w:val="00965E04"/>
    <w:rsid w:val="009674AD"/>
    <w:rsid w:val="00970CDC"/>
    <w:rsid w:val="009730BC"/>
    <w:rsid w:val="00975727"/>
    <w:rsid w:val="00977010"/>
    <w:rsid w:val="00977D02"/>
    <w:rsid w:val="00977FF9"/>
    <w:rsid w:val="009809BB"/>
    <w:rsid w:val="0098364B"/>
    <w:rsid w:val="0098523D"/>
    <w:rsid w:val="009868C5"/>
    <w:rsid w:val="009908A3"/>
    <w:rsid w:val="009911AF"/>
    <w:rsid w:val="00991875"/>
    <w:rsid w:val="00991F92"/>
    <w:rsid w:val="00992985"/>
    <w:rsid w:val="00993889"/>
    <w:rsid w:val="0099551B"/>
    <w:rsid w:val="00996BD2"/>
    <w:rsid w:val="00997BF1"/>
    <w:rsid w:val="009A0286"/>
    <w:rsid w:val="009A089C"/>
    <w:rsid w:val="009A118E"/>
    <w:rsid w:val="009A21CD"/>
    <w:rsid w:val="009A278C"/>
    <w:rsid w:val="009A2BC2"/>
    <w:rsid w:val="009A42C1"/>
    <w:rsid w:val="009A5429"/>
    <w:rsid w:val="009A72AD"/>
    <w:rsid w:val="009B09E0"/>
    <w:rsid w:val="009B0BC5"/>
    <w:rsid w:val="009B1247"/>
    <w:rsid w:val="009B1C2C"/>
    <w:rsid w:val="009B6029"/>
    <w:rsid w:val="009B6971"/>
    <w:rsid w:val="009C00C7"/>
    <w:rsid w:val="009C027A"/>
    <w:rsid w:val="009C27F1"/>
    <w:rsid w:val="009C3152"/>
    <w:rsid w:val="009C3257"/>
    <w:rsid w:val="009C4CFA"/>
    <w:rsid w:val="009C5070"/>
    <w:rsid w:val="009D112C"/>
    <w:rsid w:val="009D1385"/>
    <w:rsid w:val="009D47FA"/>
    <w:rsid w:val="009D4C5B"/>
    <w:rsid w:val="009D50D2"/>
    <w:rsid w:val="009D5D50"/>
    <w:rsid w:val="009D6BCA"/>
    <w:rsid w:val="009E0F62"/>
    <w:rsid w:val="009E4A58"/>
    <w:rsid w:val="009E5A2D"/>
    <w:rsid w:val="009E5AB2"/>
    <w:rsid w:val="009E6219"/>
    <w:rsid w:val="009E7A0C"/>
    <w:rsid w:val="009F03B3"/>
    <w:rsid w:val="00A0096C"/>
    <w:rsid w:val="00A01592"/>
    <w:rsid w:val="00A01757"/>
    <w:rsid w:val="00A028C0"/>
    <w:rsid w:val="00A02BAE"/>
    <w:rsid w:val="00A06A6B"/>
    <w:rsid w:val="00A07E47"/>
    <w:rsid w:val="00A129D0"/>
    <w:rsid w:val="00A12C33"/>
    <w:rsid w:val="00A138BA"/>
    <w:rsid w:val="00A14C8E"/>
    <w:rsid w:val="00A153D9"/>
    <w:rsid w:val="00A15681"/>
    <w:rsid w:val="00A15F09"/>
    <w:rsid w:val="00A169B6"/>
    <w:rsid w:val="00A17B65"/>
    <w:rsid w:val="00A2271D"/>
    <w:rsid w:val="00A237D5"/>
    <w:rsid w:val="00A2704E"/>
    <w:rsid w:val="00A3005A"/>
    <w:rsid w:val="00A30EFC"/>
    <w:rsid w:val="00A31984"/>
    <w:rsid w:val="00A32D73"/>
    <w:rsid w:val="00A3359E"/>
    <w:rsid w:val="00A3367B"/>
    <w:rsid w:val="00A33C67"/>
    <w:rsid w:val="00A3511C"/>
    <w:rsid w:val="00A3597D"/>
    <w:rsid w:val="00A36DD1"/>
    <w:rsid w:val="00A4006C"/>
    <w:rsid w:val="00A40091"/>
    <w:rsid w:val="00A4030F"/>
    <w:rsid w:val="00A405FF"/>
    <w:rsid w:val="00A413E1"/>
    <w:rsid w:val="00A41C79"/>
    <w:rsid w:val="00A41CB5"/>
    <w:rsid w:val="00A42CDF"/>
    <w:rsid w:val="00A4452E"/>
    <w:rsid w:val="00A4472C"/>
    <w:rsid w:val="00A44E69"/>
    <w:rsid w:val="00A4661E"/>
    <w:rsid w:val="00A47E9F"/>
    <w:rsid w:val="00A47FF9"/>
    <w:rsid w:val="00A5006E"/>
    <w:rsid w:val="00A55BD6"/>
    <w:rsid w:val="00A55D50"/>
    <w:rsid w:val="00A57142"/>
    <w:rsid w:val="00A648CD"/>
    <w:rsid w:val="00A6537A"/>
    <w:rsid w:val="00A65C25"/>
    <w:rsid w:val="00A67866"/>
    <w:rsid w:val="00A70B07"/>
    <w:rsid w:val="00A723F8"/>
    <w:rsid w:val="00A77CCB"/>
    <w:rsid w:val="00A815FF"/>
    <w:rsid w:val="00A81D9B"/>
    <w:rsid w:val="00A83D8D"/>
    <w:rsid w:val="00A8446B"/>
    <w:rsid w:val="00A8473F"/>
    <w:rsid w:val="00A85A7A"/>
    <w:rsid w:val="00A862D6"/>
    <w:rsid w:val="00A8715E"/>
    <w:rsid w:val="00A9295B"/>
    <w:rsid w:val="00A93B09"/>
    <w:rsid w:val="00A94FD8"/>
    <w:rsid w:val="00A952D7"/>
    <w:rsid w:val="00A955C2"/>
    <w:rsid w:val="00A963F7"/>
    <w:rsid w:val="00A96AD8"/>
    <w:rsid w:val="00AA052C"/>
    <w:rsid w:val="00AA1E45"/>
    <w:rsid w:val="00AA4286"/>
    <w:rsid w:val="00AA456B"/>
    <w:rsid w:val="00AA57F5"/>
    <w:rsid w:val="00AA672E"/>
    <w:rsid w:val="00AA6EC9"/>
    <w:rsid w:val="00AB6309"/>
    <w:rsid w:val="00AB6C5F"/>
    <w:rsid w:val="00AB7129"/>
    <w:rsid w:val="00AC16EF"/>
    <w:rsid w:val="00AC27A6"/>
    <w:rsid w:val="00AC30F7"/>
    <w:rsid w:val="00AC3A5A"/>
    <w:rsid w:val="00AC4D95"/>
    <w:rsid w:val="00AC59A5"/>
    <w:rsid w:val="00AC5DF4"/>
    <w:rsid w:val="00AD0AEF"/>
    <w:rsid w:val="00AD11B7"/>
    <w:rsid w:val="00AD1A94"/>
    <w:rsid w:val="00AD1C05"/>
    <w:rsid w:val="00AD4126"/>
    <w:rsid w:val="00AD421C"/>
    <w:rsid w:val="00AD44FA"/>
    <w:rsid w:val="00AE070A"/>
    <w:rsid w:val="00AE0CE6"/>
    <w:rsid w:val="00AE101C"/>
    <w:rsid w:val="00AE1A33"/>
    <w:rsid w:val="00AE2A69"/>
    <w:rsid w:val="00AE37E5"/>
    <w:rsid w:val="00AE5EB4"/>
    <w:rsid w:val="00AF0C18"/>
    <w:rsid w:val="00AF2684"/>
    <w:rsid w:val="00AF47C5"/>
    <w:rsid w:val="00AF5398"/>
    <w:rsid w:val="00B049AF"/>
    <w:rsid w:val="00B059A6"/>
    <w:rsid w:val="00B07242"/>
    <w:rsid w:val="00B10534"/>
    <w:rsid w:val="00B113DB"/>
    <w:rsid w:val="00B11D8A"/>
    <w:rsid w:val="00B12981"/>
    <w:rsid w:val="00B147DD"/>
    <w:rsid w:val="00B156FD"/>
    <w:rsid w:val="00B21F61"/>
    <w:rsid w:val="00B22A8B"/>
    <w:rsid w:val="00B261F1"/>
    <w:rsid w:val="00B265BC"/>
    <w:rsid w:val="00B31FB1"/>
    <w:rsid w:val="00B32568"/>
    <w:rsid w:val="00B33952"/>
    <w:rsid w:val="00B33C5E"/>
    <w:rsid w:val="00B342F4"/>
    <w:rsid w:val="00B34369"/>
    <w:rsid w:val="00B34DC2"/>
    <w:rsid w:val="00B378E5"/>
    <w:rsid w:val="00B409A5"/>
    <w:rsid w:val="00B41504"/>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3300"/>
    <w:rsid w:val="00B73D22"/>
    <w:rsid w:val="00B758BF"/>
    <w:rsid w:val="00B766B8"/>
    <w:rsid w:val="00B77EC8"/>
    <w:rsid w:val="00B827A6"/>
    <w:rsid w:val="00B831CE"/>
    <w:rsid w:val="00B8419B"/>
    <w:rsid w:val="00B86677"/>
    <w:rsid w:val="00B87131"/>
    <w:rsid w:val="00B939B1"/>
    <w:rsid w:val="00B96D40"/>
    <w:rsid w:val="00B97386"/>
    <w:rsid w:val="00BA0D5F"/>
    <w:rsid w:val="00BA263B"/>
    <w:rsid w:val="00BA42B2"/>
    <w:rsid w:val="00BA43EE"/>
    <w:rsid w:val="00BA4672"/>
    <w:rsid w:val="00BA4B5D"/>
    <w:rsid w:val="00BA58D4"/>
    <w:rsid w:val="00BA5B9E"/>
    <w:rsid w:val="00BA6A74"/>
    <w:rsid w:val="00BA7C9A"/>
    <w:rsid w:val="00BB0360"/>
    <w:rsid w:val="00BB5F8F"/>
    <w:rsid w:val="00BB657A"/>
    <w:rsid w:val="00BC0FAC"/>
    <w:rsid w:val="00BC1A4E"/>
    <w:rsid w:val="00BC5DC7"/>
    <w:rsid w:val="00BC6B8B"/>
    <w:rsid w:val="00BC73D8"/>
    <w:rsid w:val="00BD063C"/>
    <w:rsid w:val="00BD52D7"/>
    <w:rsid w:val="00BD5AD2"/>
    <w:rsid w:val="00BE22F3"/>
    <w:rsid w:val="00BE5B52"/>
    <w:rsid w:val="00BE5C69"/>
    <w:rsid w:val="00BE7B8D"/>
    <w:rsid w:val="00BF0993"/>
    <w:rsid w:val="00BF10A9"/>
    <w:rsid w:val="00BF14B4"/>
    <w:rsid w:val="00BF1703"/>
    <w:rsid w:val="00BF231C"/>
    <w:rsid w:val="00BF51E5"/>
    <w:rsid w:val="00BF74A6"/>
    <w:rsid w:val="00C0118F"/>
    <w:rsid w:val="00C013AD"/>
    <w:rsid w:val="00C04904"/>
    <w:rsid w:val="00C056B3"/>
    <w:rsid w:val="00C06803"/>
    <w:rsid w:val="00C103E5"/>
    <w:rsid w:val="00C10CBC"/>
    <w:rsid w:val="00C13319"/>
    <w:rsid w:val="00C13EE9"/>
    <w:rsid w:val="00C21540"/>
    <w:rsid w:val="00C21906"/>
    <w:rsid w:val="00C21BFA"/>
    <w:rsid w:val="00C21F44"/>
    <w:rsid w:val="00C24C8D"/>
    <w:rsid w:val="00C25768"/>
    <w:rsid w:val="00C25FE2"/>
    <w:rsid w:val="00C26B53"/>
    <w:rsid w:val="00C279B2"/>
    <w:rsid w:val="00C33E50"/>
    <w:rsid w:val="00C34C20"/>
    <w:rsid w:val="00C35A3E"/>
    <w:rsid w:val="00C42130"/>
    <w:rsid w:val="00C423A4"/>
    <w:rsid w:val="00C423E3"/>
    <w:rsid w:val="00C44BF5"/>
    <w:rsid w:val="00C45C84"/>
    <w:rsid w:val="00C50C7E"/>
    <w:rsid w:val="00C521D6"/>
    <w:rsid w:val="00C55232"/>
    <w:rsid w:val="00C553A4"/>
    <w:rsid w:val="00C55A06"/>
    <w:rsid w:val="00C55D03"/>
    <w:rsid w:val="00C56EA5"/>
    <w:rsid w:val="00C601BC"/>
    <w:rsid w:val="00C6329F"/>
    <w:rsid w:val="00C63340"/>
    <w:rsid w:val="00C643F9"/>
    <w:rsid w:val="00C64E95"/>
    <w:rsid w:val="00C71372"/>
    <w:rsid w:val="00C72410"/>
    <w:rsid w:val="00C7287F"/>
    <w:rsid w:val="00C768C9"/>
    <w:rsid w:val="00C80CB8"/>
    <w:rsid w:val="00C81580"/>
    <w:rsid w:val="00C819F8"/>
    <w:rsid w:val="00C8248C"/>
    <w:rsid w:val="00C82DF4"/>
    <w:rsid w:val="00C84E33"/>
    <w:rsid w:val="00C86D6F"/>
    <w:rsid w:val="00C905FC"/>
    <w:rsid w:val="00C92D03"/>
    <w:rsid w:val="00C9319C"/>
    <w:rsid w:val="00C9435D"/>
    <w:rsid w:val="00C94DF2"/>
    <w:rsid w:val="00C96741"/>
    <w:rsid w:val="00C971A3"/>
    <w:rsid w:val="00CA2D1B"/>
    <w:rsid w:val="00CA375D"/>
    <w:rsid w:val="00CA662A"/>
    <w:rsid w:val="00CA7AFD"/>
    <w:rsid w:val="00CA7C3C"/>
    <w:rsid w:val="00CB0189"/>
    <w:rsid w:val="00CB050C"/>
    <w:rsid w:val="00CB0BA2"/>
    <w:rsid w:val="00CB1A42"/>
    <w:rsid w:val="00CB1B0C"/>
    <w:rsid w:val="00CB2C0B"/>
    <w:rsid w:val="00CB3ADF"/>
    <w:rsid w:val="00CB517D"/>
    <w:rsid w:val="00CB680A"/>
    <w:rsid w:val="00CC038D"/>
    <w:rsid w:val="00CC08DB"/>
    <w:rsid w:val="00CC162E"/>
    <w:rsid w:val="00CC39FF"/>
    <w:rsid w:val="00CC3C2F"/>
    <w:rsid w:val="00CC4AC8"/>
    <w:rsid w:val="00CC5233"/>
    <w:rsid w:val="00CC5DE6"/>
    <w:rsid w:val="00CC5FFB"/>
    <w:rsid w:val="00CC6E4E"/>
    <w:rsid w:val="00CC6FE8"/>
    <w:rsid w:val="00CC7202"/>
    <w:rsid w:val="00CC772C"/>
    <w:rsid w:val="00CD2808"/>
    <w:rsid w:val="00CD28BF"/>
    <w:rsid w:val="00CD4092"/>
    <w:rsid w:val="00CD4A20"/>
    <w:rsid w:val="00CD50A1"/>
    <w:rsid w:val="00CD519E"/>
    <w:rsid w:val="00CD76CB"/>
    <w:rsid w:val="00CE0C4F"/>
    <w:rsid w:val="00CE2DDD"/>
    <w:rsid w:val="00CE30EA"/>
    <w:rsid w:val="00CE343E"/>
    <w:rsid w:val="00CE67B3"/>
    <w:rsid w:val="00CF048A"/>
    <w:rsid w:val="00CF155A"/>
    <w:rsid w:val="00CF2947"/>
    <w:rsid w:val="00CF422D"/>
    <w:rsid w:val="00CF5C2B"/>
    <w:rsid w:val="00CF686F"/>
    <w:rsid w:val="00CF6E60"/>
    <w:rsid w:val="00CF7BCA"/>
    <w:rsid w:val="00D008FD"/>
    <w:rsid w:val="00D0321C"/>
    <w:rsid w:val="00D035EC"/>
    <w:rsid w:val="00D06AB1"/>
    <w:rsid w:val="00D06FC1"/>
    <w:rsid w:val="00D06FE5"/>
    <w:rsid w:val="00D072ED"/>
    <w:rsid w:val="00D07A16"/>
    <w:rsid w:val="00D1067E"/>
    <w:rsid w:val="00D10F50"/>
    <w:rsid w:val="00D11272"/>
    <w:rsid w:val="00D117BA"/>
    <w:rsid w:val="00D126F5"/>
    <w:rsid w:val="00D14306"/>
    <w:rsid w:val="00D14696"/>
    <w:rsid w:val="00D1489E"/>
    <w:rsid w:val="00D17628"/>
    <w:rsid w:val="00D20737"/>
    <w:rsid w:val="00D21E81"/>
    <w:rsid w:val="00D223DE"/>
    <w:rsid w:val="00D22682"/>
    <w:rsid w:val="00D25E37"/>
    <w:rsid w:val="00D2661A"/>
    <w:rsid w:val="00D27472"/>
    <w:rsid w:val="00D27582"/>
    <w:rsid w:val="00D27EC4"/>
    <w:rsid w:val="00D313E2"/>
    <w:rsid w:val="00D32719"/>
    <w:rsid w:val="00D33333"/>
    <w:rsid w:val="00D352A2"/>
    <w:rsid w:val="00D4162B"/>
    <w:rsid w:val="00D427A4"/>
    <w:rsid w:val="00D4338B"/>
    <w:rsid w:val="00D4514F"/>
    <w:rsid w:val="00D451E2"/>
    <w:rsid w:val="00D45E89"/>
    <w:rsid w:val="00D45E8D"/>
    <w:rsid w:val="00D466AE"/>
    <w:rsid w:val="00D4734F"/>
    <w:rsid w:val="00D51BF3"/>
    <w:rsid w:val="00D56A4A"/>
    <w:rsid w:val="00D57FF8"/>
    <w:rsid w:val="00D66846"/>
    <w:rsid w:val="00D66D53"/>
    <w:rsid w:val="00D674B6"/>
    <w:rsid w:val="00D675FB"/>
    <w:rsid w:val="00D71F25"/>
    <w:rsid w:val="00D72A9C"/>
    <w:rsid w:val="00D755B0"/>
    <w:rsid w:val="00D757C5"/>
    <w:rsid w:val="00D769D4"/>
    <w:rsid w:val="00D76E49"/>
    <w:rsid w:val="00D77031"/>
    <w:rsid w:val="00D83184"/>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5EEA"/>
    <w:rsid w:val="00DA64F8"/>
    <w:rsid w:val="00DA6C15"/>
    <w:rsid w:val="00DA6FAF"/>
    <w:rsid w:val="00DB0258"/>
    <w:rsid w:val="00DB1376"/>
    <w:rsid w:val="00DB24FC"/>
    <w:rsid w:val="00DB38EE"/>
    <w:rsid w:val="00DB498B"/>
    <w:rsid w:val="00DB66CA"/>
    <w:rsid w:val="00DB6BCA"/>
    <w:rsid w:val="00DB6F54"/>
    <w:rsid w:val="00DB73F7"/>
    <w:rsid w:val="00DB78A2"/>
    <w:rsid w:val="00DC0321"/>
    <w:rsid w:val="00DC3067"/>
    <w:rsid w:val="00DC370B"/>
    <w:rsid w:val="00DC5B90"/>
    <w:rsid w:val="00DD00FF"/>
    <w:rsid w:val="00DD0619"/>
    <w:rsid w:val="00DD07FB"/>
    <w:rsid w:val="00DD0D32"/>
    <w:rsid w:val="00DD25C6"/>
    <w:rsid w:val="00DD41A5"/>
    <w:rsid w:val="00DD4FE5"/>
    <w:rsid w:val="00DD54B0"/>
    <w:rsid w:val="00DD57EE"/>
    <w:rsid w:val="00DD6987"/>
    <w:rsid w:val="00DD6BCC"/>
    <w:rsid w:val="00DE00F5"/>
    <w:rsid w:val="00DE0A4B"/>
    <w:rsid w:val="00DE2410"/>
    <w:rsid w:val="00DE2939"/>
    <w:rsid w:val="00DE3C91"/>
    <w:rsid w:val="00DE6E81"/>
    <w:rsid w:val="00DE703F"/>
    <w:rsid w:val="00DE7595"/>
    <w:rsid w:val="00DF1961"/>
    <w:rsid w:val="00DF44DE"/>
    <w:rsid w:val="00E0073A"/>
    <w:rsid w:val="00E01138"/>
    <w:rsid w:val="00E02DFB"/>
    <w:rsid w:val="00E030F9"/>
    <w:rsid w:val="00E0311A"/>
    <w:rsid w:val="00E03138"/>
    <w:rsid w:val="00E06404"/>
    <w:rsid w:val="00E11A85"/>
    <w:rsid w:val="00E12495"/>
    <w:rsid w:val="00E13E5F"/>
    <w:rsid w:val="00E15CCD"/>
    <w:rsid w:val="00E202EF"/>
    <w:rsid w:val="00E210B5"/>
    <w:rsid w:val="00E2339B"/>
    <w:rsid w:val="00E2552F"/>
    <w:rsid w:val="00E3137A"/>
    <w:rsid w:val="00E32CCF"/>
    <w:rsid w:val="00E3468A"/>
    <w:rsid w:val="00E34A98"/>
    <w:rsid w:val="00E35D1E"/>
    <w:rsid w:val="00E364F9"/>
    <w:rsid w:val="00E365FA"/>
    <w:rsid w:val="00E36789"/>
    <w:rsid w:val="00E37CD1"/>
    <w:rsid w:val="00E440D7"/>
    <w:rsid w:val="00E44A83"/>
    <w:rsid w:val="00E459AC"/>
    <w:rsid w:val="00E502C1"/>
    <w:rsid w:val="00E502DD"/>
    <w:rsid w:val="00E504A3"/>
    <w:rsid w:val="00E508BC"/>
    <w:rsid w:val="00E50D3A"/>
    <w:rsid w:val="00E51387"/>
    <w:rsid w:val="00E51E68"/>
    <w:rsid w:val="00E52EFD"/>
    <w:rsid w:val="00E5408A"/>
    <w:rsid w:val="00E5669E"/>
    <w:rsid w:val="00E56800"/>
    <w:rsid w:val="00E60C63"/>
    <w:rsid w:val="00E62A90"/>
    <w:rsid w:val="00E62FF9"/>
    <w:rsid w:val="00E635D6"/>
    <w:rsid w:val="00E639BC"/>
    <w:rsid w:val="00E6494F"/>
    <w:rsid w:val="00E664CC"/>
    <w:rsid w:val="00E66E8B"/>
    <w:rsid w:val="00E70388"/>
    <w:rsid w:val="00E70F92"/>
    <w:rsid w:val="00E7381D"/>
    <w:rsid w:val="00E74313"/>
    <w:rsid w:val="00E74C54"/>
    <w:rsid w:val="00E77A03"/>
    <w:rsid w:val="00E822E8"/>
    <w:rsid w:val="00E82554"/>
    <w:rsid w:val="00E82606"/>
    <w:rsid w:val="00E831C1"/>
    <w:rsid w:val="00E846C8"/>
    <w:rsid w:val="00E84957"/>
    <w:rsid w:val="00E84A55"/>
    <w:rsid w:val="00E84B1D"/>
    <w:rsid w:val="00E84D72"/>
    <w:rsid w:val="00E85BFF"/>
    <w:rsid w:val="00E90391"/>
    <w:rsid w:val="00E906C2"/>
    <w:rsid w:val="00E9311F"/>
    <w:rsid w:val="00E934D1"/>
    <w:rsid w:val="00E9393C"/>
    <w:rsid w:val="00E94AF0"/>
    <w:rsid w:val="00E95D13"/>
    <w:rsid w:val="00E95DD3"/>
    <w:rsid w:val="00E969D5"/>
    <w:rsid w:val="00EA58D1"/>
    <w:rsid w:val="00EA61BC"/>
    <w:rsid w:val="00EA6562"/>
    <w:rsid w:val="00EA681A"/>
    <w:rsid w:val="00EA735B"/>
    <w:rsid w:val="00EB1E69"/>
    <w:rsid w:val="00EB2086"/>
    <w:rsid w:val="00EB31ED"/>
    <w:rsid w:val="00EB5EDF"/>
    <w:rsid w:val="00EB60FE"/>
    <w:rsid w:val="00EB726A"/>
    <w:rsid w:val="00EB74DB"/>
    <w:rsid w:val="00EC0EF1"/>
    <w:rsid w:val="00EC1822"/>
    <w:rsid w:val="00EC3302"/>
    <w:rsid w:val="00EC5359"/>
    <w:rsid w:val="00EC562A"/>
    <w:rsid w:val="00ED067A"/>
    <w:rsid w:val="00ED2B50"/>
    <w:rsid w:val="00ED3FDC"/>
    <w:rsid w:val="00ED4A16"/>
    <w:rsid w:val="00ED74DA"/>
    <w:rsid w:val="00EE0350"/>
    <w:rsid w:val="00EE0719"/>
    <w:rsid w:val="00EE0E80"/>
    <w:rsid w:val="00EE5936"/>
    <w:rsid w:val="00EE613F"/>
    <w:rsid w:val="00EE7295"/>
    <w:rsid w:val="00EE7869"/>
    <w:rsid w:val="00EF054A"/>
    <w:rsid w:val="00EF26EE"/>
    <w:rsid w:val="00EF3235"/>
    <w:rsid w:val="00EF5E0A"/>
    <w:rsid w:val="00EF7E72"/>
    <w:rsid w:val="00F00961"/>
    <w:rsid w:val="00F06731"/>
    <w:rsid w:val="00F06D37"/>
    <w:rsid w:val="00F07B9D"/>
    <w:rsid w:val="00F07D0C"/>
    <w:rsid w:val="00F11586"/>
    <w:rsid w:val="00F1183B"/>
    <w:rsid w:val="00F11C9F"/>
    <w:rsid w:val="00F12263"/>
    <w:rsid w:val="00F1409D"/>
    <w:rsid w:val="00F14214"/>
    <w:rsid w:val="00F157A9"/>
    <w:rsid w:val="00F16F00"/>
    <w:rsid w:val="00F20403"/>
    <w:rsid w:val="00F25BB6"/>
    <w:rsid w:val="00F26B7E"/>
    <w:rsid w:val="00F27A3B"/>
    <w:rsid w:val="00F32780"/>
    <w:rsid w:val="00F33817"/>
    <w:rsid w:val="00F37A98"/>
    <w:rsid w:val="00F420D5"/>
    <w:rsid w:val="00F43D3E"/>
    <w:rsid w:val="00F44010"/>
    <w:rsid w:val="00F451EA"/>
    <w:rsid w:val="00F45447"/>
    <w:rsid w:val="00F454E5"/>
    <w:rsid w:val="00F456C6"/>
    <w:rsid w:val="00F4577B"/>
    <w:rsid w:val="00F46496"/>
    <w:rsid w:val="00F474D0"/>
    <w:rsid w:val="00F50179"/>
    <w:rsid w:val="00F515EE"/>
    <w:rsid w:val="00F54C36"/>
    <w:rsid w:val="00F560E5"/>
    <w:rsid w:val="00F56511"/>
    <w:rsid w:val="00F6194E"/>
    <w:rsid w:val="00F623AC"/>
    <w:rsid w:val="00F6412A"/>
    <w:rsid w:val="00F65893"/>
    <w:rsid w:val="00F66A4A"/>
    <w:rsid w:val="00F71E22"/>
    <w:rsid w:val="00F72142"/>
    <w:rsid w:val="00F72AE7"/>
    <w:rsid w:val="00F73A75"/>
    <w:rsid w:val="00F76C69"/>
    <w:rsid w:val="00F833BA"/>
    <w:rsid w:val="00F84FD0"/>
    <w:rsid w:val="00F859A8"/>
    <w:rsid w:val="00F86837"/>
    <w:rsid w:val="00F86D87"/>
    <w:rsid w:val="00F90A07"/>
    <w:rsid w:val="00F9108B"/>
    <w:rsid w:val="00F91349"/>
    <w:rsid w:val="00F93A8A"/>
    <w:rsid w:val="00F95248"/>
    <w:rsid w:val="00F956A9"/>
    <w:rsid w:val="00F963ED"/>
    <w:rsid w:val="00F966CF"/>
    <w:rsid w:val="00F96CAE"/>
    <w:rsid w:val="00F974AB"/>
    <w:rsid w:val="00F97C99"/>
    <w:rsid w:val="00FA0F6C"/>
    <w:rsid w:val="00FA4340"/>
    <w:rsid w:val="00FA662D"/>
    <w:rsid w:val="00FA73B1"/>
    <w:rsid w:val="00FA78AB"/>
    <w:rsid w:val="00FB0CB9"/>
    <w:rsid w:val="00FB231D"/>
    <w:rsid w:val="00FB2E8C"/>
    <w:rsid w:val="00FB45F1"/>
    <w:rsid w:val="00FB4A15"/>
    <w:rsid w:val="00FB4A72"/>
    <w:rsid w:val="00FB54E8"/>
    <w:rsid w:val="00FB7054"/>
    <w:rsid w:val="00FC17B7"/>
    <w:rsid w:val="00FC2CB7"/>
    <w:rsid w:val="00FC4090"/>
    <w:rsid w:val="00FC55B4"/>
    <w:rsid w:val="00FC5E4B"/>
    <w:rsid w:val="00FD00E6"/>
    <w:rsid w:val="00FD09A1"/>
    <w:rsid w:val="00FD2A7C"/>
    <w:rsid w:val="00FD59EB"/>
    <w:rsid w:val="00FD7299"/>
    <w:rsid w:val="00FE1FBE"/>
    <w:rsid w:val="00FE3901"/>
    <w:rsid w:val="00FE39D3"/>
    <w:rsid w:val="00FE4BCE"/>
    <w:rsid w:val="00FE54AE"/>
    <w:rsid w:val="00FE576A"/>
    <w:rsid w:val="00FE7E79"/>
    <w:rsid w:val="00FF054B"/>
    <w:rsid w:val="00FF3E7D"/>
    <w:rsid w:val="00FF4292"/>
    <w:rsid w:val="00FF4F56"/>
    <w:rsid w:val="00FF5B99"/>
    <w:rsid w:val="00FF730C"/>
    <w:rsid w:val="00FF73F4"/>
    <w:rsid w:val="00FF7CE4"/>
    <w:rsid w:val="00FF7E39"/>
    <w:rsid w:val="01186506"/>
    <w:rsid w:val="011B0745"/>
    <w:rsid w:val="01624970"/>
    <w:rsid w:val="01DC5AA9"/>
    <w:rsid w:val="01E90757"/>
    <w:rsid w:val="02025E58"/>
    <w:rsid w:val="020D3422"/>
    <w:rsid w:val="027B5D80"/>
    <w:rsid w:val="028C7006"/>
    <w:rsid w:val="02DA376B"/>
    <w:rsid w:val="03304250"/>
    <w:rsid w:val="033C2BF5"/>
    <w:rsid w:val="040776D7"/>
    <w:rsid w:val="040954ED"/>
    <w:rsid w:val="042B483D"/>
    <w:rsid w:val="04CB0127"/>
    <w:rsid w:val="050063B7"/>
    <w:rsid w:val="06216C9C"/>
    <w:rsid w:val="06611E7C"/>
    <w:rsid w:val="06760E41"/>
    <w:rsid w:val="06A42F8B"/>
    <w:rsid w:val="07184314"/>
    <w:rsid w:val="071C421B"/>
    <w:rsid w:val="07385832"/>
    <w:rsid w:val="076B42B8"/>
    <w:rsid w:val="07927791"/>
    <w:rsid w:val="07972F2B"/>
    <w:rsid w:val="07975B34"/>
    <w:rsid w:val="07D10B26"/>
    <w:rsid w:val="07D875D8"/>
    <w:rsid w:val="07DB720D"/>
    <w:rsid w:val="082C7FA2"/>
    <w:rsid w:val="087F2EBA"/>
    <w:rsid w:val="09100669"/>
    <w:rsid w:val="094A56C8"/>
    <w:rsid w:val="095E2249"/>
    <w:rsid w:val="096D7B6F"/>
    <w:rsid w:val="097F35A8"/>
    <w:rsid w:val="098766F4"/>
    <w:rsid w:val="099F48DE"/>
    <w:rsid w:val="0A232419"/>
    <w:rsid w:val="0B2840E9"/>
    <w:rsid w:val="0B546536"/>
    <w:rsid w:val="0B7C6837"/>
    <w:rsid w:val="0B815238"/>
    <w:rsid w:val="0BA53B2E"/>
    <w:rsid w:val="0BC24B65"/>
    <w:rsid w:val="0C272208"/>
    <w:rsid w:val="0C5571B6"/>
    <w:rsid w:val="0C823D28"/>
    <w:rsid w:val="0CE42A28"/>
    <w:rsid w:val="0D0522AD"/>
    <w:rsid w:val="0D3B396A"/>
    <w:rsid w:val="0E042561"/>
    <w:rsid w:val="0E3F3599"/>
    <w:rsid w:val="0EB36461"/>
    <w:rsid w:val="0EF50A18"/>
    <w:rsid w:val="0F6239E3"/>
    <w:rsid w:val="0F73799F"/>
    <w:rsid w:val="0FC450C6"/>
    <w:rsid w:val="1066012B"/>
    <w:rsid w:val="1091148E"/>
    <w:rsid w:val="10EC5C5A"/>
    <w:rsid w:val="11527BAE"/>
    <w:rsid w:val="12470955"/>
    <w:rsid w:val="12CD62EF"/>
    <w:rsid w:val="13180F89"/>
    <w:rsid w:val="134C29E0"/>
    <w:rsid w:val="137141F5"/>
    <w:rsid w:val="13A666E0"/>
    <w:rsid w:val="13EF3C3E"/>
    <w:rsid w:val="14413219"/>
    <w:rsid w:val="14840098"/>
    <w:rsid w:val="14BE4234"/>
    <w:rsid w:val="14DA6349"/>
    <w:rsid w:val="14F21366"/>
    <w:rsid w:val="14F37B3F"/>
    <w:rsid w:val="14F8138D"/>
    <w:rsid w:val="158422B9"/>
    <w:rsid w:val="158451C0"/>
    <w:rsid w:val="159E2C63"/>
    <w:rsid w:val="15E83749"/>
    <w:rsid w:val="1641391C"/>
    <w:rsid w:val="164E081E"/>
    <w:rsid w:val="16695657"/>
    <w:rsid w:val="16AA7661"/>
    <w:rsid w:val="16BC293E"/>
    <w:rsid w:val="16FB220A"/>
    <w:rsid w:val="16FE45C5"/>
    <w:rsid w:val="179E2DAF"/>
    <w:rsid w:val="17A5171C"/>
    <w:rsid w:val="186C3AC8"/>
    <w:rsid w:val="18AB46E9"/>
    <w:rsid w:val="18D47700"/>
    <w:rsid w:val="193C52A5"/>
    <w:rsid w:val="193F6E91"/>
    <w:rsid w:val="19465D55"/>
    <w:rsid w:val="196A46B9"/>
    <w:rsid w:val="19830288"/>
    <w:rsid w:val="1A381F10"/>
    <w:rsid w:val="1A7A6085"/>
    <w:rsid w:val="1A815342"/>
    <w:rsid w:val="1AA247E5"/>
    <w:rsid w:val="1B9C0C6A"/>
    <w:rsid w:val="1BD44D30"/>
    <w:rsid w:val="1BF04568"/>
    <w:rsid w:val="1CAC44F0"/>
    <w:rsid w:val="1CE75528"/>
    <w:rsid w:val="1CF57C45"/>
    <w:rsid w:val="1D094399"/>
    <w:rsid w:val="1D7A45EE"/>
    <w:rsid w:val="1D8042E1"/>
    <w:rsid w:val="1D860F9D"/>
    <w:rsid w:val="1DB15A1F"/>
    <w:rsid w:val="1DB44539"/>
    <w:rsid w:val="1DE2316E"/>
    <w:rsid w:val="1E0D3F78"/>
    <w:rsid w:val="1E6C2189"/>
    <w:rsid w:val="1E8933F8"/>
    <w:rsid w:val="1EAA2CB1"/>
    <w:rsid w:val="1EC70D56"/>
    <w:rsid w:val="1F3C2B3F"/>
    <w:rsid w:val="1F582F0E"/>
    <w:rsid w:val="1F5B3593"/>
    <w:rsid w:val="1F5D2A80"/>
    <w:rsid w:val="1FAF4A23"/>
    <w:rsid w:val="1FE52659"/>
    <w:rsid w:val="20664E02"/>
    <w:rsid w:val="20B8420E"/>
    <w:rsid w:val="21184C03"/>
    <w:rsid w:val="214410AE"/>
    <w:rsid w:val="214D63B6"/>
    <w:rsid w:val="21662DDE"/>
    <w:rsid w:val="2183306E"/>
    <w:rsid w:val="21867A05"/>
    <w:rsid w:val="218E2416"/>
    <w:rsid w:val="21A654E8"/>
    <w:rsid w:val="21AC4A97"/>
    <w:rsid w:val="21AF6021"/>
    <w:rsid w:val="22294462"/>
    <w:rsid w:val="22970B49"/>
    <w:rsid w:val="22B32985"/>
    <w:rsid w:val="2377323E"/>
    <w:rsid w:val="24094E4E"/>
    <w:rsid w:val="24810163"/>
    <w:rsid w:val="248A1543"/>
    <w:rsid w:val="24900D0D"/>
    <w:rsid w:val="24A46BB3"/>
    <w:rsid w:val="24B93C4E"/>
    <w:rsid w:val="24DD5B8E"/>
    <w:rsid w:val="24F133E8"/>
    <w:rsid w:val="25B02F79"/>
    <w:rsid w:val="264C1531"/>
    <w:rsid w:val="26B94695"/>
    <w:rsid w:val="26F8242D"/>
    <w:rsid w:val="28620794"/>
    <w:rsid w:val="28C9022D"/>
    <w:rsid w:val="28E055A3"/>
    <w:rsid w:val="28E263AC"/>
    <w:rsid w:val="28F91132"/>
    <w:rsid w:val="28FA0BB3"/>
    <w:rsid w:val="28FB65E3"/>
    <w:rsid w:val="28FB6E3C"/>
    <w:rsid w:val="2904007E"/>
    <w:rsid w:val="2919153E"/>
    <w:rsid w:val="29BD7D3C"/>
    <w:rsid w:val="29E11288"/>
    <w:rsid w:val="2A1F2862"/>
    <w:rsid w:val="2A212BB1"/>
    <w:rsid w:val="2A64640A"/>
    <w:rsid w:val="2A677739"/>
    <w:rsid w:val="2AD52E64"/>
    <w:rsid w:val="2B293BCF"/>
    <w:rsid w:val="2BC502AE"/>
    <w:rsid w:val="2BE9422C"/>
    <w:rsid w:val="2C2027B4"/>
    <w:rsid w:val="2C440DBA"/>
    <w:rsid w:val="2C5E2BCD"/>
    <w:rsid w:val="2C7B5463"/>
    <w:rsid w:val="2C82701B"/>
    <w:rsid w:val="2CC53257"/>
    <w:rsid w:val="2D1966F0"/>
    <w:rsid w:val="2D564730"/>
    <w:rsid w:val="2D7E07DD"/>
    <w:rsid w:val="2D98242B"/>
    <w:rsid w:val="2DCF3D31"/>
    <w:rsid w:val="2E075A2A"/>
    <w:rsid w:val="2E372688"/>
    <w:rsid w:val="2EDA5880"/>
    <w:rsid w:val="2F736A12"/>
    <w:rsid w:val="2F7610B9"/>
    <w:rsid w:val="2F9D630E"/>
    <w:rsid w:val="3025663B"/>
    <w:rsid w:val="3029023F"/>
    <w:rsid w:val="303224C4"/>
    <w:rsid w:val="30C05869"/>
    <w:rsid w:val="30CC1A3F"/>
    <w:rsid w:val="30F55230"/>
    <w:rsid w:val="31E2510D"/>
    <w:rsid w:val="320378D5"/>
    <w:rsid w:val="32263D5F"/>
    <w:rsid w:val="32625925"/>
    <w:rsid w:val="326F53C5"/>
    <w:rsid w:val="32E321CB"/>
    <w:rsid w:val="33087D71"/>
    <w:rsid w:val="3331550C"/>
    <w:rsid w:val="33A53D1B"/>
    <w:rsid w:val="33B33916"/>
    <w:rsid w:val="34024FA4"/>
    <w:rsid w:val="341260F7"/>
    <w:rsid w:val="341D5FA7"/>
    <w:rsid w:val="345179FF"/>
    <w:rsid w:val="358D06F3"/>
    <w:rsid w:val="35AC3AF6"/>
    <w:rsid w:val="35B77D36"/>
    <w:rsid w:val="3608233F"/>
    <w:rsid w:val="362A09FC"/>
    <w:rsid w:val="36682CF3"/>
    <w:rsid w:val="36936DA9"/>
    <w:rsid w:val="36A4650C"/>
    <w:rsid w:val="36B10C29"/>
    <w:rsid w:val="36EB413B"/>
    <w:rsid w:val="36EE152E"/>
    <w:rsid w:val="37043692"/>
    <w:rsid w:val="373B05AC"/>
    <w:rsid w:val="37595392"/>
    <w:rsid w:val="379D7225"/>
    <w:rsid w:val="37D3298A"/>
    <w:rsid w:val="37DD15AA"/>
    <w:rsid w:val="37F3794D"/>
    <w:rsid w:val="39370FDE"/>
    <w:rsid w:val="395632B0"/>
    <w:rsid w:val="3A5B1046"/>
    <w:rsid w:val="3AC76C6D"/>
    <w:rsid w:val="3B2319C9"/>
    <w:rsid w:val="3B907E13"/>
    <w:rsid w:val="3B950993"/>
    <w:rsid w:val="3BF94CD6"/>
    <w:rsid w:val="3C166D9A"/>
    <w:rsid w:val="3C34782E"/>
    <w:rsid w:val="3CA53D1A"/>
    <w:rsid w:val="3CA549DE"/>
    <w:rsid w:val="3CB76B29"/>
    <w:rsid w:val="3D8D7D4F"/>
    <w:rsid w:val="3E123D30"/>
    <w:rsid w:val="3E124BBB"/>
    <w:rsid w:val="3E613DBB"/>
    <w:rsid w:val="3E7518FE"/>
    <w:rsid w:val="3F7B0026"/>
    <w:rsid w:val="3FE24CEC"/>
    <w:rsid w:val="3FE80450"/>
    <w:rsid w:val="400224F5"/>
    <w:rsid w:val="402703EC"/>
    <w:rsid w:val="40477A06"/>
    <w:rsid w:val="40A208CD"/>
    <w:rsid w:val="40C94933"/>
    <w:rsid w:val="40FC76BA"/>
    <w:rsid w:val="41061B71"/>
    <w:rsid w:val="410C31D2"/>
    <w:rsid w:val="416845DA"/>
    <w:rsid w:val="42900673"/>
    <w:rsid w:val="4294348F"/>
    <w:rsid w:val="429F54CA"/>
    <w:rsid w:val="42EB5186"/>
    <w:rsid w:val="43076CD6"/>
    <w:rsid w:val="430B2155"/>
    <w:rsid w:val="433D49DF"/>
    <w:rsid w:val="43444309"/>
    <w:rsid w:val="435F6DBE"/>
    <w:rsid w:val="43B9120A"/>
    <w:rsid w:val="43C06776"/>
    <w:rsid w:val="447C0EBD"/>
    <w:rsid w:val="449778A1"/>
    <w:rsid w:val="451A7EFE"/>
    <w:rsid w:val="45510972"/>
    <w:rsid w:val="45852136"/>
    <w:rsid w:val="45CC2BA0"/>
    <w:rsid w:val="46051B00"/>
    <w:rsid w:val="46296068"/>
    <w:rsid w:val="466E39E0"/>
    <w:rsid w:val="46C71DA3"/>
    <w:rsid w:val="46E97F6B"/>
    <w:rsid w:val="47215957"/>
    <w:rsid w:val="47427551"/>
    <w:rsid w:val="475F25DE"/>
    <w:rsid w:val="476F1D24"/>
    <w:rsid w:val="47C702AC"/>
    <w:rsid w:val="48567212"/>
    <w:rsid w:val="487A531F"/>
    <w:rsid w:val="48EF17BA"/>
    <w:rsid w:val="49747FC0"/>
    <w:rsid w:val="49B04CC4"/>
    <w:rsid w:val="49F8647F"/>
    <w:rsid w:val="4AA62F9F"/>
    <w:rsid w:val="4AD90ADD"/>
    <w:rsid w:val="4AD94921"/>
    <w:rsid w:val="4AE23D4E"/>
    <w:rsid w:val="4B373821"/>
    <w:rsid w:val="4B77489F"/>
    <w:rsid w:val="4BEF1B80"/>
    <w:rsid w:val="4C08609F"/>
    <w:rsid w:val="4C35447D"/>
    <w:rsid w:val="4CE070D4"/>
    <w:rsid w:val="4D2E008F"/>
    <w:rsid w:val="4D5E13E5"/>
    <w:rsid w:val="4DB37C0B"/>
    <w:rsid w:val="4DCF5942"/>
    <w:rsid w:val="4DDC6134"/>
    <w:rsid w:val="4DEB4A5E"/>
    <w:rsid w:val="4E3F59DF"/>
    <w:rsid w:val="4E5B1DFE"/>
    <w:rsid w:val="4E7C3473"/>
    <w:rsid w:val="4F11005F"/>
    <w:rsid w:val="4F7C5A38"/>
    <w:rsid w:val="4F9B4994"/>
    <w:rsid w:val="50CA2BBB"/>
    <w:rsid w:val="50D82998"/>
    <w:rsid w:val="518B635C"/>
    <w:rsid w:val="51A71BCD"/>
    <w:rsid w:val="51BE7EB6"/>
    <w:rsid w:val="51D41A9B"/>
    <w:rsid w:val="51DB0783"/>
    <w:rsid w:val="51F85750"/>
    <w:rsid w:val="51FE0D6E"/>
    <w:rsid w:val="52187956"/>
    <w:rsid w:val="524A0300"/>
    <w:rsid w:val="5304323C"/>
    <w:rsid w:val="53883342"/>
    <w:rsid w:val="53B316E5"/>
    <w:rsid w:val="53B646D1"/>
    <w:rsid w:val="545F7ABE"/>
    <w:rsid w:val="547603F7"/>
    <w:rsid w:val="54C471EA"/>
    <w:rsid w:val="54D6754F"/>
    <w:rsid w:val="54EB0CEC"/>
    <w:rsid w:val="5514409A"/>
    <w:rsid w:val="55476388"/>
    <w:rsid w:val="556D0220"/>
    <w:rsid w:val="557716CB"/>
    <w:rsid w:val="558B3B7E"/>
    <w:rsid w:val="55EF798F"/>
    <w:rsid w:val="564451BE"/>
    <w:rsid w:val="564C7DF6"/>
    <w:rsid w:val="56752209"/>
    <w:rsid w:val="56770186"/>
    <w:rsid w:val="56800342"/>
    <w:rsid w:val="568020FC"/>
    <w:rsid w:val="56B363EB"/>
    <w:rsid w:val="56C369A4"/>
    <w:rsid w:val="56C854A7"/>
    <w:rsid w:val="56E8138D"/>
    <w:rsid w:val="56F52281"/>
    <w:rsid w:val="57AD3F96"/>
    <w:rsid w:val="57B343A9"/>
    <w:rsid w:val="583D5228"/>
    <w:rsid w:val="589C325A"/>
    <w:rsid w:val="58A851CD"/>
    <w:rsid w:val="58E631E6"/>
    <w:rsid w:val="58FB757B"/>
    <w:rsid w:val="5AC32B55"/>
    <w:rsid w:val="5AD002D9"/>
    <w:rsid w:val="5AFD79D4"/>
    <w:rsid w:val="5B2F646E"/>
    <w:rsid w:val="5B7A197A"/>
    <w:rsid w:val="5B96396A"/>
    <w:rsid w:val="5BC338AD"/>
    <w:rsid w:val="5BD20B76"/>
    <w:rsid w:val="5BF50719"/>
    <w:rsid w:val="5C172697"/>
    <w:rsid w:val="5C655B81"/>
    <w:rsid w:val="5CDC6150"/>
    <w:rsid w:val="5D1A1CFE"/>
    <w:rsid w:val="5D326BDC"/>
    <w:rsid w:val="5D907F8D"/>
    <w:rsid w:val="5DE22239"/>
    <w:rsid w:val="5E2907AA"/>
    <w:rsid w:val="5E421759"/>
    <w:rsid w:val="5E5520A5"/>
    <w:rsid w:val="5E7277DA"/>
    <w:rsid w:val="5EB4379F"/>
    <w:rsid w:val="5EBB24AF"/>
    <w:rsid w:val="5ED96003"/>
    <w:rsid w:val="5F7F2125"/>
    <w:rsid w:val="5F8D4616"/>
    <w:rsid w:val="5F906D7E"/>
    <w:rsid w:val="5FC5111D"/>
    <w:rsid w:val="5FD23DA2"/>
    <w:rsid w:val="5FF9600D"/>
    <w:rsid w:val="60166968"/>
    <w:rsid w:val="606C5F06"/>
    <w:rsid w:val="60FA4C7F"/>
    <w:rsid w:val="61227EAA"/>
    <w:rsid w:val="61295756"/>
    <w:rsid w:val="619D2AE1"/>
    <w:rsid w:val="61A94AF6"/>
    <w:rsid w:val="61C827FF"/>
    <w:rsid w:val="62334364"/>
    <w:rsid w:val="62475D15"/>
    <w:rsid w:val="62641BCB"/>
    <w:rsid w:val="627A6223"/>
    <w:rsid w:val="629B41E9"/>
    <w:rsid w:val="63522B22"/>
    <w:rsid w:val="63807B3D"/>
    <w:rsid w:val="63B374DF"/>
    <w:rsid w:val="63BE13EF"/>
    <w:rsid w:val="646C5E1F"/>
    <w:rsid w:val="646C77B5"/>
    <w:rsid w:val="64CC5B14"/>
    <w:rsid w:val="6513023B"/>
    <w:rsid w:val="65853710"/>
    <w:rsid w:val="659B6E96"/>
    <w:rsid w:val="65F32326"/>
    <w:rsid w:val="66947F33"/>
    <w:rsid w:val="66AA273A"/>
    <w:rsid w:val="66B5206E"/>
    <w:rsid w:val="66D45F6D"/>
    <w:rsid w:val="66EA142C"/>
    <w:rsid w:val="67591069"/>
    <w:rsid w:val="67A07D7A"/>
    <w:rsid w:val="67A61834"/>
    <w:rsid w:val="6820669D"/>
    <w:rsid w:val="6829061A"/>
    <w:rsid w:val="685A6BE0"/>
    <w:rsid w:val="68767F83"/>
    <w:rsid w:val="6879257D"/>
    <w:rsid w:val="689C49E5"/>
    <w:rsid w:val="68B860E6"/>
    <w:rsid w:val="68E32614"/>
    <w:rsid w:val="68E56428"/>
    <w:rsid w:val="68EA74FF"/>
    <w:rsid w:val="69076303"/>
    <w:rsid w:val="692D4546"/>
    <w:rsid w:val="69C574C2"/>
    <w:rsid w:val="6A417359"/>
    <w:rsid w:val="6A5D472D"/>
    <w:rsid w:val="6A750EFA"/>
    <w:rsid w:val="6B2D0CC8"/>
    <w:rsid w:val="6B377D68"/>
    <w:rsid w:val="6B591737"/>
    <w:rsid w:val="6B920C8D"/>
    <w:rsid w:val="6BA6592B"/>
    <w:rsid w:val="6BB360F8"/>
    <w:rsid w:val="6BEF0763"/>
    <w:rsid w:val="6C1F0271"/>
    <w:rsid w:val="6C2471CC"/>
    <w:rsid w:val="6C3118E9"/>
    <w:rsid w:val="6C321D9C"/>
    <w:rsid w:val="6C7F0F6A"/>
    <w:rsid w:val="6D467F4B"/>
    <w:rsid w:val="6DC56458"/>
    <w:rsid w:val="6E241705"/>
    <w:rsid w:val="6E6F5EAC"/>
    <w:rsid w:val="6EC4333A"/>
    <w:rsid w:val="6F38191E"/>
    <w:rsid w:val="6F3D3AB7"/>
    <w:rsid w:val="6F453E29"/>
    <w:rsid w:val="6F5B6D37"/>
    <w:rsid w:val="6F9B59F7"/>
    <w:rsid w:val="6FA71F50"/>
    <w:rsid w:val="70293003"/>
    <w:rsid w:val="709B1841"/>
    <w:rsid w:val="70AB7959"/>
    <w:rsid w:val="70E5282C"/>
    <w:rsid w:val="716C67CB"/>
    <w:rsid w:val="71A207D6"/>
    <w:rsid w:val="71AD775D"/>
    <w:rsid w:val="71CB3CB6"/>
    <w:rsid w:val="71EA25F3"/>
    <w:rsid w:val="72236D90"/>
    <w:rsid w:val="72B6460B"/>
    <w:rsid w:val="72FA0C86"/>
    <w:rsid w:val="72FA3456"/>
    <w:rsid w:val="738549F4"/>
    <w:rsid w:val="73AA71DF"/>
    <w:rsid w:val="73BA645C"/>
    <w:rsid w:val="744B6DE7"/>
    <w:rsid w:val="746337E3"/>
    <w:rsid w:val="7536413E"/>
    <w:rsid w:val="75776887"/>
    <w:rsid w:val="75C869D2"/>
    <w:rsid w:val="75DE71E0"/>
    <w:rsid w:val="761F4CB8"/>
    <w:rsid w:val="76574CE1"/>
    <w:rsid w:val="76713991"/>
    <w:rsid w:val="76A2766B"/>
    <w:rsid w:val="76D96A9F"/>
    <w:rsid w:val="77041B24"/>
    <w:rsid w:val="775766A7"/>
    <w:rsid w:val="777621C9"/>
    <w:rsid w:val="783766EF"/>
    <w:rsid w:val="7859790A"/>
    <w:rsid w:val="78754F57"/>
    <w:rsid w:val="78C61ADE"/>
    <w:rsid w:val="78CE219D"/>
    <w:rsid w:val="79142BE8"/>
    <w:rsid w:val="79B7320B"/>
    <w:rsid w:val="79B7342D"/>
    <w:rsid w:val="79D974FF"/>
    <w:rsid w:val="79E56DA4"/>
    <w:rsid w:val="7A770A62"/>
    <w:rsid w:val="7A8247F2"/>
    <w:rsid w:val="7A8C6771"/>
    <w:rsid w:val="7A9E3CE0"/>
    <w:rsid w:val="7AA5078F"/>
    <w:rsid w:val="7ACD53E6"/>
    <w:rsid w:val="7B144613"/>
    <w:rsid w:val="7BBB4D2B"/>
    <w:rsid w:val="7BC71922"/>
    <w:rsid w:val="7BE17FB3"/>
    <w:rsid w:val="7BE2675B"/>
    <w:rsid w:val="7C0E45A1"/>
    <w:rsid w:val="7C385F4F"/>
    <w:rsid w:val="7C7B6789"/>
    <w:rsid w:val="7D187856"/>
    <w:rsid w:val="7D20753B"/>
    <w:rsid w:val="7D4C0447"/>
    <w:rsid w:val="7DFE543A"/>
    <w:rsid w:val="7E2455E9"/>
    <w:rsid w:val="7ED9201D"/>
    <w:rsid w:val="7ED95BF4"/>
    <w:rsid w:val="7EFC5586"/>
    <w:rsid w:val="7F9F2870"/>
    <w:rsid w:val="7FB55D4B"/>
    <w:rsid w:val="7FEE14C2"/>
    <w:rsid w:val="7FEF6182"/>
    <w:rsid w:val="7FF74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qFormat/>
    <w:uiPriority w:val="0"/>
    <w:pPr>
      <w:jc w:val="left"/>
    </w:pPr>
  </w:style>
  <w:style w:type="paragraph" w:styleId="14">
    <w:name w:val="Body Text"/>
    <w:basedOn w:val="1"/>
    <w:next w:val="15"/>
    <w:link w:val="89"/>
    <w:qFormat/>
    <w:uiPriority w:val="0"/>
    <w:pPr>
      <w:spacing w:after="120"/>
    </w:pPr>
  </w:style>
  <w:style w:type="paragraph" w:styleId="15">
    <w:name w:val="Title"/>
    <w:basedOn w:val="1"/>
    <w:link w:val="51"/>
    <w:qFormat/>
    <w:uiPriority w:val="0"/>
    <w:pPr>
      <w:spacing w:before="240" w:after="60"/>
      <w:jc w:val="center"/>
      <w:outlineLvl w:val="0"/>
    </w:pPr>
    <w:rPr>
      <w:rFonts w:ascii="Arial" w:hAnsi="Arial" w:cs="Arial"/>
      <w:b/>
      <w:bCs/>
      <w:sz w:val="32"/>
      <w:szCs w:val="32"/>
    </w:r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Plain Text"/>
    <w:basedOn w:val="1"/>
    <w:semiHidden/>
    <w:unhideWhenUsed/>
    <w:qFormat/>
    <w:uiPriority w:val="99"/>
    <w:rPr>
      <w:rFonts w:ascii="宋体" w:hAnsi="Courier New" w:cs="Courier New"/>
    </w:rPr>
  </w:style>
  <w:style w:type="paragraph" w:styleId="19">
    <w:name w:val="Date"/>
    <w:basedOn w:val="1"/>
    <w:next w:val="1"/>
    <w:link w:val="241"/>
    <w:semiHidden/>
    <w:unhideWhenUsed/>
    <w:qFormat/>
    <w:uiPriority w:val="99"/>
    <w:pPr>
      <w:ind w:left="100" w:leftChars="2500"/>
    </w:pPr>
  </w:style>
  <w:style w:type="paragraph" w:styleId="20">
    <w:name w:val="Balloon Text"/>
    <w:basedOn w:val="1"/>
    <w:link w:val="48"/>
    <w:semiHidden/>
    <w:unhideWhenUsed/>
    <w:qFormat/>
    <w:uiPriority w:val="99"/>
    <w:rPr>
      <w:sz w:val="18"/>
      <w:szCs w:val="18"/>
    </w:rPr>
  </w:style>
  <w:style w:type="paragraph" w:styleId="21">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22">
    <w:name w:val="header"/>
    <w:basedOn w:val="1"/>
    <w:link w:val="46"/>
    <w:qFormat/>
    <w:uiPriority w:val="99"/>
    <w:pPr>
      <w:tabs>
        <w:tab w:val="center" w:pos="4153"/>
        <w:tab w:val="right" w:pos="8306"/>
      </w:tabs>
      <w:adjustRightInd/>
      <w:snapToGrid w:val="0"/>
      <w:jc w:val="center"/>
    </w:pPr>
    <w:rPr>
      <w:sz w:val="18"/>
      <w:szCs w:val="18"/>
    </w:rPr>
  </w:style>
  <w:style w:type="paragraph" w:styleId="23">
    <w:name w:val="toc 1"/>
    <w:basedOn w:val="1"/>
    <w:next w:val="1"/>
    <w:unhideWhenUsed/>
    <w:qFormat/>
    <w:uiPriority w:val="39"/>
    <w:rPr>
      <w:rFonts w:ascii="宋体"/>
    </w:rPr>
  </w:style>
  <w:style w:type="paragraph" w:styleId="24">
    <w:name w:val="toc 4"/>
    <w:basedOn w:val="1"/>
    <w:next w:val="1"/>
    <w:unhideWhenUsed/>
    <w:qFormat/>
    <w:uiPriority w:val="39"/>
    <w:pPr>
      <w:tabs>
        <w:tab w:val="right" w:leader="dot" w:pos="9344"/>
      </w:tabs>
      <w:spacing w:line="300" w:lineRule="exact"/>
      <w:ind w:left="629"/>
    </w:pPr>
    <w:rPr>
      <w:rFonts w:ascii="宋体"/>
    </w:rPr>
  </w:style>
  <w:style w:type="paragraph" w:styleId="25">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6">
    <w:name w:val="toc 6"/>
    <w:basedOn w:val="1"/>
    <w:next w:val="1"/>
    <w:unhideWhenUsed/>
    <w:qFormat/>
    <w:uiPriority w:val="39"/>
    <w:pPr>
      <w:spacing w:line="300" w:lineRule="exact"/>
      <w:ind w:left="1049"/>
    </w:pPr>
    <w:rPr>
      <w:rFonts w:ascii="宋体"/>
    </w:rPr>
  </w:style>
  <w:style w:type="paragraph" w:styleId="27">
    <w:name w:val="table of figures"/>
    <w:basedOn w:val="1"/>
    <w:next w:val="1"/>
    <w:semiHidden/>
    <w:qFormat/>
    <w:uiPriority w:val="0"/>
    <w:pPr>
      <w:adjustRightInd/>
      <w:spacing w:line="240" w:lineRule="auto"/>
      <w:jc w:val="left"/>
    </w:pPr>
    <w:rPr>
      <w:szCs w:val="24"/>
    </w:rPr>
  </w:style>
  <w:style w:type="paragraph" w:styleId="28">
    <w:name w:val="toc 2"/>
    <w:basedOn w:val="1"/>
    <w:next w:val="1"/>
    <w:unhideWhenUsed/>
    <w:qFormat/>
    <w:uiPriority w:val="39"/>
    <w:pPr>
      <w:tabs>
        <w:tab w:val="right" w:leader="dot" w:pos="9344"/>
      </w:tabs>
      <w:spacing w:line="300" w:lineRule="exact"/>
      <w:ind w:left="210"/>
    </w:pPr>
    <w:rPr>
      <w:rFonts w:ascii="宋体"/>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Char"/>
    <w:link w:val="2"/>
    <w:qFormat/>
    <w:uiPriority w:val="0"/>
    <w:rPr>
      <w:b/>
      <w:bCs/>
      <w:kern w:val="44"/>
      <w:sz w:val="44"/>
      <w:szCs w:val="44"/>
    </w:rPr>
  </w:style>
  <w:style w:type="character" w:customStyle="1" w:styleId="38">
    <w:name w:val="标题 2 Char"/>
    <w:link w:val="3"/>
    <w:qFormat/>
    <w:uiPriority w:val="0"/>
    <w:rPr>
      <w:rFonts w:ascii="Arial" w:hAnsi="Arial" w:eastAsia="黑体"/>
      <w:b/>
      <w:bCs/>
      <w:kern w:val="2"/>
      <w:sz w:val="32"/>
      <w:szCs w:val="32"/>
    </w:rPr>
  </w:style>
  <w:style w:type="character" w:customStyle="1" w:styleId="39">
    <w:name w:val="标题 3 Char"/>
    <w:link w:val="4"/>
    <w:qFormat/>
    <w:uiPriority w:val="0"/>
    <w:rPr>
      <w:b/>
      <w:bCs/>
      <w:kern w:val="2"/>
      <w:sz w:val="32"/>
      <w:szCs w:val="32"/>
    </w:rPr>
  </w:style>
  <w:style w:type="character" w:customStyle="1" w:styleId="40">
    <w:name w:val="标题 4 Char"/>
    <w:link w:val="5"/>
    <w:qFormat/>
    <w:uiPriority w:val="0"/>
    <w:rPr>
      <w:rFonts w:ascii="Arial" w:hAnsi="Arial" w:eastAsia="黑体"/>
      <w:b/>
      <w:bCs/>
      <w:kern w:val="2"/>
      <w:sz w:val="28"/>
      <w:szCs w:val="28"/>
    </w:rPr>
  </w:style>
  <w:style w:type="character" w:customStyle="1" w:styleId="41">
    <w:name w:val="标题 5 Char"/>
    <w:link w:val="6"/>
    <w:qFormat/>
    <w:uiPriority w:val="0"/>
    <w:rPr>
      <w:b/>
      <w:bCs/>
      <w:kern w:val="2"/>
      <w:sz w:val="28"/>
      <w:szCs w:val="28"/>
    </w:rPr>
  </w:style>
  <w:style w:type="character" w:customStyle="1" w:styleId="42">
    <w:name w:val="标题 6 Char"/>
    <w:link w:val="7"/>
    <w:qFormat/>
    <w:uiPriority w:val="0"/>
    <w:rPr>
      <w:rFonts w:ascii="Arial" w:hAnsi="Arial" w:eastAsia="黑体"/>
      <w:b/>
      <w:bCs/>
      <w:kern w:val="2"/>
      <w:sz w:val="24"/>
      <w:szCs w:val="24"/>
    </w:rPr>
  </w:style>
  <w:style w:type="character" w:customStyle="1" w:styleId="43">
    <w:name w:val="标题 7 Char"/>
    <w:link w:val="8"/>
    <w:qFormat/>
    <w:uiPriority w:val="0"/>
    <w:rPr>
      <w:b/>
      <w:bCs/>
      <w:kern w:val="2"/>
      <w:sz w:val="24"/>
      <w:szCs w:val="24"/>
    </w:rPr>
  </w:style>
  <w:style w:type="character" w:customStyle="1" w:styleId="44">
    <w:name w:val="标题 8 Char"/>
    <w:link w:val="9"/>
    <w:qFormat/>
    <w:uiPriority w:val="0"/>
    <w:rPr>
      <w:rFonts w:ascii="Arial" w:hAnsi="Arial" w:eastAsia="黑体"/>
      <w:kern w:val="2"/>
      <w:sz w:val="24"/>
      <w:szCs w:val="24"/>
    </w:rPr>
  </w:style>
  <w:style w:type="character" w:customStyle="1" w:styleId="45">
    <w:name w:val="标题 9 Char"/>
    <w:link w:val="10"/>
    <w:qFormat/>
    <w:uiPriority w:val="0"/>
    <w:rPr>
      <w:rFonts w:ascii="Arial" w:hAnsi="Arial" w:eastAsia="黑体"/>
      <w:kern w:val="2"/>
      <w:sz w:val="21"/>
      <w:szCs w:val="21"/>
    </w:rPr>
  </w:style>
  <w:style w:type="character" w:customStyle="1" w:styleId="46">
    <w:name w:val="页眉 Char"/>
    <w:link w:val="22"/>
    <w:qFormat/>
    <w:uiPriority w:val="99"/>
    <w:rPr>
      <w:kern w:val="2"/>
      <w:sz w:val="18"/>
      <w:szCs w:val="18"/>
    </w:rPr>
  </w:style>
  <w:style w:type="character" w:customStyle="1" w:styleId="47">
    <w:name w:val="页脚 Char"/>
    <w:link w:val="21"/>
    <w:qFormat/>
    <w:uiPriority w:val="99"/>
    <w:rPr>
      <w:rFonts w:ascii="宋体"/>
      <w:kern w:val="2"/>
      <w:sz w:val="18"/>
      <w:szCs w:val="18"/>
    </w:rPr>
  </w:style>
  <w:style w:type="character" w:customStyle="1" w:styleId="48">
    <w:name w:val="批注框文本 Char"/>
    <w:link w:val="20"/>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kern w:val="2"/>
      <w:sz w:val="21"/>
      <w:szCs w:val="21"/>
    </w:rPr>
  </w:style>
  <w:style w:type="character" w:customStyle="1" w:styleId="51">
    <w:name w:val="标题 Char"/>
    <w:link w:val="15"/>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5"/>
    <w:semiHidden/>
    <w:qFormat/>
    <w:uiPriority w:val="0"/>
    <w:rPr>
      <w:rFonts w:ascii="宋体"/>
      <w:kern w:val="2"/>
      <w:sz w:val="18"/>
      <w:szCs w:val="18"/>
    </w:rPr>
  </w:style>
  <w:style w:type="paragraph" w:customStyle="1" w:styleId="103">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Lines="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Lines="0" w:afterLines="0"/>
      <w:outlineLvl w:val="9"/>
    </w:pPr>
    <w:rPr>
      <w:rFonts w:ascii="宋体" w:eastAsia="宋体"/>
    </w:rPr>
  </w:style>
  <w:style w:type="paragraph" w:customStyle="1" w:styleId="166">
    <w:name w:val="标准文件_五级无标题"/>
    <w:basedOn w:val="106"/>
    <w:qFormat/>
    <w:uiPriority w:val="0"/>
    <w:pPr>
      <w:spacing w:beforeLines="0" w:afterLines="0"/>
      <w:outlineLvl w:val="9"/>
    </w:pPr>
    <w:rPr>
      <w:rFonts w:ascii="宋体" w:eastAsia="宋体"/>
    </w:rPr>
  </w:style>
  <w:style w:type="paragraph" w:customStyle="1" w:styleId="167">
    <w:name w:val="标准文件_三级无标题"/>
    <w:basedOn w:val="97"/>
    <w:qFormat/>
    <w:uiPriority w:val="0"/>
    <w:pPr>
      <w:spacing w:beforeLines="0" w:afterLines="0"/>
      <w:outlineLvl w:val="9"/>
    </w:pPr>
    <w:rPr>
      <w:rFonts w:ascii="宋体" w:eastAsia="宋体"/>
    </w:rPr>
  </w:style>
  <w:style w:type="paragraph" w:customStyle="1" w:styleId="168">
    <w:name w:val="标准文件_二级无标题"/>
    <w:basedOn w:val="68"/>
    <w:qFormat/>
    <w:uiPriority w:val="0"/>
    <w:pPr>
      <w:spacing w:beforeLines="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1"/>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1"/>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wrap="around"/>
      <w:spacing w:before="57"/>
    </w:pPr>
    <w:rPr>
      <w:sz w:val="21"/>
    </w:rPr>
  </w:style>
  <w:style w:type="paragraph" w:customStyle="1" w:styleId="200">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Lines="0" w:afterLines="0" w:line="276" w:lineRule="auto"/>
      <w:outlineLvl w:val="9"/>
    </w:pPr>
    <w:rPr>
      <w:rFonts w:ascii="宋体" w:eastAsia="宋体"/>
    </w:rPr>
  </w:style>
  <w:style w:type="paragraph" w:customStyle="1" w:styleId="215">
    <w:name w:val="标准文件_附录二级无标题"/>
    <w:basedOn w:val="82"/>
    <w:qFormat/>
    <w:uiPriority w:val="0"/>
    <w:pPr>
      <w:spacing w:beforeLines="0" w:afterLines="0" w:line="276" w:lineRule="auto"/>
      <w:outlineLvl w:val="9"/>
    </w:pPr>
    <w:rPr>
      <w:rFonts w:ascii="宋体" w:eastAsia="宋体"/>
    </w:rPr>
  </w:style>
  <w:style w:type="paragraph" w:customStyle="1" w:styleId="216">
    <w:name w:val="标准文件_附录三级无标题"/>
    <w:basedOn w:val="84"/>
    <w:qFormat/>
    <w:uiPriority w:val="0"/>
    <w:pPr>
      <w:spacing w:beforeLines="0" w:afterLines="0" w:line="276" w:lineRule="auto"/>
      <w:outlineLvl w:val="9"/>
    </w:pPr>
    <w:rPr>
      <w:rFonts w:ascii="宋体" w:eastAsia="宋体"/>
    </w:rPr>
  </w:style>
  <w:style w:type="paragraph" w:customStyle="1" w:styleId="217">
    <w:name w:val="标准文件_附录四级无标题"/>
    <w:basedOn w:val="85"/>
    <w:qFormat/>
    <w:uiPriority w:val="0"/>
    <w:pPr>
      <w:spacing w:beforeLines="0" w:afterLines="0" w:line="276" w:lineRule="auto"/>
      <w:outlineLvl w:val="9"/>
    </w:pPr>
    <w:rPr>
      <w:rFonts w:ascii="宋体" w:eastAsia="宋体"/>
    </w:rPr>
  </w:style>
  <w:style w:type="paragraph" w:customStyle="1" w:styleId="218">
    <w:name w:val="标准文件_附录五级无标题"/>
    <w:basedOn w:val="87"/>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Lines="0" w:afterLines="0" w:line="276" w:lineRule="auto"/>
    </w:pPr>
    <w:rPr>
      <w:rFonts w:ascii="宋体" w:eastAsia="宋体"/>
    </w:rPr>
  </w:style>
  <w:style w:type="paragraph" w:customStyle="1" w:styleId="220">
    <w:name w:val="标准文件_引言二级无标题"/>
    <w:basedOn w:val="204"/>
    <w:next w:val="59"/>
    <w:qFormat/>
    <w:uiPriority w:val="0"/>
    <w:pPr>
      <w:spacing w:beforeLines="0" w:afterLines="0" w:line="276" w:lineRule="auto"/>
    </w:pPr>
    <w:rPr>
      <w:rFonts w:ascii="宋体" w:eastAsia="宋体"/>
    </w:rPr>
  </w:style>
  <w:style w:type="paragraph" w:customStyle="1" w:styleId="221">
    <w:name w:val="标准文件_引言三级无标题"/>
    <w:basedOn w:val="205"/>
    <w:qFormat/>
    <w:uiPriority w:val="0"/>
    <w:pPr>
      <w:spacing w:beforeLines="0" w:afterLines="0" w:line="276" w:lineRule="auto"/>
    </w:pPr>
    <w:rPr>
      <w:rFonts w:ascii="宋体" w:eastAsia="宋体"/>
    </w:rPr>
  </w:style>
  <w:style w:type="paragraph" w:customStyle="1" w:styleId="222">
    <w:name w:val="标准文件_引言四级无标题"/>
    <w:basedOn w:val="206"/>
    <w:next w:val="59"/>
    <w:qFormat/>
    <w:uiPriority w:val="0"/>
    <w:pPr>
      <w:spacing w:beforeLines="0" w:afterLines="0" w:line="276" w:lineRule="auto"/>
    </w:pPr>
    <w:rPr>
      <w:rFonts w:ascii="宋体" w:eastAsia="宋体"/>
    </w:rPr>
  </w:style>
  <w:style w:type="paragraph" w:customStyle="1" w:styleId="223">
    <w:name w:val="标准文件_引言五级无标题"/>
    <w:basedOn w:val="207"/>
    <w:next w:val="59"/>
    <w:qFormat/>
    <w:uiPriority w:val="0"/>
    <w:pPr>
      <w:spacing w:beforeLines="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qFormat/>
    <w:uiPriority w:val="0"/>
    <w:rPr>
      <w:rFonts w:ascii="黑体" w:eastAsia="黑体"/>
      <w:spacing w:val="85"/>
      <w:w w:val="100"/>
      <w:position w:val="3"/>
      <w:sz w:val="28"/>
      <w:szCs w:val="28"/>
    </w:rPr>
  </w:style>
  <w:style w:type="paragraph" w:customStyle="1" w:styleId="233">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34">
    <w:name w:val="一级条标题"/>
    <w:basedOn w:val="235"/>
    <w:next w:val="233"/>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5">
    <w:name w:val="章标题"/>
    <w:next w:val="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6">
    <w:name w:val="二级条标题"/>
    <w:basedOn w:val="234"/>
    <w:next w:val="233"/>
    <w:qFormat/>
    <w:uiPriority w:val="0"/>
    <w:pPr>
      <w:numPr>
        <w:ilvl w:val="2"/>
      </w:numPr>
      <w:spacing w:before="50" w:after="50"/>
      <w:ind w:left="1417"/>
      <w:outlineLvl w:val="9"/>
    </w:pPr>
  </w:style>
  <w:style w:type="paragraph" w:customStyle="1" w:styleId="237">
    <w:name w:val="正文表标题"/>
    <w:next w:val="233"/>
    <w:qFormat/>
    <w:uiPriority w:val="0"/>
    <w:pPr>
      <w:numPr>
        <w:ilvl w:val="1"/>
        <w:numId w:val="33"/>
      </w:numPr>
      <w:tabs>
        <w:tab w:val="left" w:pos="360"/>
      </w:tabs>
      <w:spacing w:beforeLines="50" w:afterLines="50"/>
      <w:jc w:val="center"/>
    </w:pPr>
    <w:rPr>
      <w:rFonts w:ascii="黑体" w:hAnsi="Times New Roman" w:eastAsia="黑体" w:cs="Times New Roman"/>
      <w:sz w:val="21"/>
      <w:szCs w:val="21"/>
      <w:lang w:val="en-US" w:eastAsia="zh-CN" w:bidi="ar-SA"/>
    </w:rPr>
  </w:style>
  <w:style w:type="paragraph" w:styleId="238">
    <w:name w:val="List Paragraph"/>
    <w:basedOn w:val="1"/>
    <w:qFormat/>
    <w:uiPriority w:val="34"/>
    <w:pPr>
      <w:ind w:firstLine="420" w:firstLineChars="200"/>
    </w:pPr>
  </w:style>
  <w:style w:type="paragraph" w:customStyle="1" w:styleId="239">
    <w:name w:val="三级条标题"/>
    <w:basedOn w:val="236"/>
    <w:next w:val="233"/>
    <w:qFormat/>
    <w:uiPriority w:val="0"/>
    <w:pPr>
      <w:numPr>
        <w:ilvl w:val="3"/>
      </w:numPr>
    </w:pPr>
    <w:rPr>
      <w:rFonts w:hAnsi="黑体"/>
    </w:rPr>
  </w:style>
  <w:style w:type="paragraph" w:customStyle="1" w:styleId="240">
    <w:name w:val="数字编号列项（二级）"/>
    <w:qFormat/>
    <w:uiPriority w:val="0"/>
    <w:pPr>
      <w:numPr>
        <w:ilvl w:val="1"/>
        <w:numId w:val="34"/>
      </w:numPr>
      <w:jc w:val="both"/>
    </w:pPr>
    <w:rPr>
      <w:rFonts w:ascii="宋体" w:hAnsi="Times New Roman" w:eastAsia="宋体" w:cs="Times New Roman"/>
      <w:sz w:val="21"/>
      <w:lang w:val="en-US" w:eastAsia="zh-CN" w:bidi="ar-SA"/>
    </w:rPr>
  </w:style>
  <w:style w:type="character" w:customStyle="1" w:styleId="241">
    <w:name w:val="日期 Char"/>
    <w:basedOn w:val="31"/>
    <w:link w:val="19"/>
    <w:semiHidden/>
    <w:qFormat/>
    <w:uiPriority w:val="99"/>
    <w:rPr>
      <w:rFonts w:ascii="Calibri" w:hAnsi="Calibri"/>
      <w:kern w:val="2"/>
      <w:sz w:val="21"/>
      <w:szCs w:val="21"/>
    </w:rPr>
  </w:style>
  <w:style w:type="paragraph" w:customStyle="1" w:styleId="242">
    <w:name w:val="字母编号列项（一级）"/>
    <w:qFormat/>
    <w:uiPriority w:val="0"/>
    <w:pPr>
      <w:jc w:val="both"/>
    </w:pPr>
    <w:rPr>
      <w:rFonts w:ascii="宋体" w:hAnsi="Times New Roman" w:eastAsia="宋体" w:cs="Times New Roman"/>
      <w:sz w:val="21"/>
      <w:lang w:val="en-US" w:eastAsia="zh-CN" w:bidi="ar-SA"/>
    </w:rPr>
  </w:style>
  <w:style w:type="paragraph" w:customStyle="1" w:styleId="243">
    <w:name w:val="Table Paragraph"/>
    <w:basedOn w:val="1"/>
    <w:qFormat/>
    <w:uiPriority w:val="1"/>
    <w:pPr>
      <w:autoSpaceDE w:val="0"/>
      <w:autoSpaceDN w:val="0"/>
      <w:adjustRightInd/>
      <w:spacing w:line="240" w:lineRule="auto"/>
      <w:jc w:val="left"/>
    </w:pPr>
    <w:rPr>
      <w:rFonts w:ascii="宋体" w:hAnsi="宋体" w:cs="宋体"/>
      <w:kern w:val="0"/>
      <w:sz w:val="22"/>
      <w:szCs w:val="22"/>
      <w:lang w:val="zh-CN" w:bidi="zh-CN"/>
    </w:rPr>
  </w:style>
  <w:style w:type="table" w:customStyle="1" w:styleId="244">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CCBF461B8524E0C8E8FFD034A3EA620"/>
        <w:style w:val=""/>
        <w:category>
          <w:name w:val="常规"/>
          <w:gallery w:val="placeholder"/>
        </w:category>
        <w:types>
          <w:type w:val="bbPlcHdr"/>
        </w:types>
        <w:behaviors>
          <w:behavior w:val="content"/>
        </w:behaviors>
        <w:description w:val=""/>
        <w:guid w:val="{0739AB00-DDBA-49E7-9004-5F817661F4EA}"/>
      </w:docPartPr>
      <w:docPartBody>
        <w:p w14:paraId="4DE8240E">
          <w:pPr>
            <w:pStyle w:val="5"/>
          </w:pPr>
          <w:r>
            <w:rPr>
              <w:rStyle w:val="4"/>
              <w:rFonts w:hint="eastAsia"/>
            </w:rPr>
            <w:t>单击或点击此处输入文字。</w:t>
          </w:r>
        </w:p>
      </w:docPartBody>
    </w:docPart>
    <w:docPart>
      <w:docPartPr>
        <w:name w:val="1AE70135FD834ABC837D5BB1B249C901"/>
        <w:style w:val=""/>
        <w:category>
          <w:name w:val="常规"/>
          <w:gallery w:val="placeholder"/>
        </w:category>
        <w:types>
          <w:type w:val="bbPlcHdr"/>
        </w:types>
        <w:behaviors>
          <w:behavior w:val="content"/>
        </w:behaviors>
        <w:description w:val=""/>
        <w:guid w:val="{75E8B980-620D-423F-869F-0FC760E320FD}"/>
      </w:docPartPr>
      <w:docPartBody>
        <w:p w14:paraId="47E84BD7">
          <w:pPr>
            <w:pStyle w:val="6"/>
          </w:pPr>
          <w:r>
            <w:rPr>
              <w:rStyle w:val="4"/>
              <w:rFonts w:hint="eastAsia"/>
            </w:rPr>
            <w:t>选择一项。</w:t>
          </w:r>
        </w:p>
      </w:docPartBody>
    </w:docPart>
    <w:docPart>
      <w:docPartPr>
        <w:name w:val="8371590E737F47AFA03D56031C5E8076"/>
        <w:style w:val=""/>
        <w:category>
          <w:name w:val="常规"/>
          <w:gallery w:val="placeholder"/>
        </w:category>
        <w:types>
          <w:type w:val="bbPlcHdr"/>
        </w:types>
        <w:behaviors>
          <w:behavior w:val="content"/>
        </w:behaviors>
        <w:description w:val=""/>
        <w:guid w:val="{FCC0C031-76A9-4AF0-9ACF-AC84954050D8}"/>
      </w:docPartPr>
      <w:docPartBody>
        <w:p w14:paraId="2A38A02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8E617E"/>
    <w:rsid w:val="0000351E"/>
    <w:rsid w:val="00057FDF"/>
    <w:rsid w:val="000F79F8"/>
    <w:rsid w:val="001E1CAE"/>
    <w:rsid w:val="001F2623"/>
    <w:rsid w:val="00306EA5"/>
    <w:rsid w:val="00323C80"/>
    <w:rsid w:val="0041767C"/>
    <w:rsid w:val="004365DB"/>
    <w:rsid w:val="00492B4A"/>
    <w:rsid w:val="004D006D"/>
    <w:rsid w:val="005957DD"/>
    <w:rsid w:val="0062204C"/>
    <w:rsid w:val="006658DB"/>
    <w:rsid w:val="00695F75"/>
    <w:rsid w:val="006D4CBC"/>
    <w:rsid w:val="007C386D"/>
    <w:rsid w:val="007F3784"/>
    <w:rsid w:val="008770BB"/>
    <w:rsid w:val="00877DC4"/>
    <w:rsid w:val="008D5AC3"/>
    <w:rsid w:val="008E617E"/>
    <w:rsid w:val="00984FFF"/>
    <w:rsid w:val="009927AD"/>
    <w:rsid w:val="00A80D5B"/>
    <w:rsid w:val="00AD1E7C"/>
    <w:rsid w:val="00BE32ED"/>
    <w:rsid w:val="00C30276"/>
    <w:rsid w:val="00DB0CDF"/>
    <w:rsid w:val="00E537EE"/>
    <w:rsid w:val="00EF11C2"/>
    <w:rsid w:val="00F15104"/>
    <w:rsid w:val="00F22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CCBF461B8524E0C8E8FFD034A3EA6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AE70135FD834ABC837D5BB1B249C9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371590E737F47AFA03D56031C5E807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07939-A752-4E6A-80B8-644CD63E4F10}">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13</Pages>
  <Words>3912</Words>
  <Characters>5111</Characters>
  <Lines>59</Lines>
  <Paragraphs>16</Paragraphs>
  <TotalTime>40</TotalTime>
  <ScaleCrop>false</ScaleCrop>
  <LinksUpToDate>false</LinksUpToDate>
  <CharactersWithSpaces>5563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2023-10-31T02:54:00Z</dcterms:created>
  <dc:creator>xiao'mi'wu</dc:creator>
  <dc:description>&lt;config cover="true" show_menu="true" version="1.0.0" doctype="SDKXY"&gt;_x000d_
&lt;/config&gt;</dc:description>
  <cp:lastModifiedBy>宁静以致远~</cp:lastModifiedBy>
  <cp:lastPrinted>2023-10-31T08:57:00Z</cp:lastPrinted>
  <dcterms:modified xsi:type="dcterms:W3CDTF">2025-10-10T06:16:19Z</dcterms:modified>
  <dc:title>团体标准</dc:title>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573CD880B7B549BD832C0B2B5B23C462_13</vt:lpwstr>
  </property>
  <property fmtid="{D5CDD505-2E9C-101B-9397-08002B2CF9AE}" pid="16" name="DoublePage">
    <vt:lpwstr>true</vt:lpwstr>
  </property>
  <property fmtid="{D5CDD505-2E9C-101B-9397-08002B2CF9AE}" pid="17" name="KSOTemplateDocerSaveRecord">
    <vt:lpwstr>eyJoZGlkIjoiYjY5ODdiYWZhYzQxMDhkMWZjZjVjZDA1OGFkNjQzYjgiLCJ1c2VySWQiOiI4NjU1NDkwMjgifQ==</vt:lpwstr>
  </property>
</Properties>
</file>