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0517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508A7C">
            <w:pPr>
              <w:pStyle w:val="20"/>
              <w:framePr w:wrap="notBeside" w:vAnchor="page" w:hAnchor="page" w:x="1372" w:y="568"/>
              <w:tabs>
                <w:tab w:val="clear" w:pos="4153"/>
                <w:tab w:val="clear" w:pos="8306"/>
              </w:tabs>
              <w:spacing w:line="240" w:lineRule="auto"/>
              <w:jc w:val="left"/>
              <w:rPr>
                <w:rFonts w:hint="eastAsia" w:ascii="黑体" w:hAnsi="黑体" w:eastAsia="黑体"/>
                <w:kern w:val="0"/>
                <w:sz w:val="21"/>
                <w:szCs w:val="21"/>
              </w:rPr>
            </w:pPr>
            <w:bookmarkStart w:id="0" w:name="_Hlk201067678"/>
            <w:bookmarkEnd w:id="0"/>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45" w:type="dxa"/>
          </w:tcPr>
          <w:p w14:paraId="44DD9E86">
            <w:pPr>
              <w:pStyle w:val="20"/>
              <w:framePr w:wrap="notBeside" w:vAnchor="page" w:hAnchor="page" w:x="1372" w:y="568"/>
              <w:tabs>
                <w:tab w:val="clear" w:pos="4153"/>
                <w:tab w:val="clear" w:pos="8306"/>
              </w:tabs>
              <w:spacing w:line="240" w:lineRule="auto"/>
              <w:ind w:left="3"/>
              <w:jc w:val="both"/>
              <w:rPr>
                <w:rFonts w:hint="eastAsia"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1"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17.220.20</w:t>
            </w:r>
            <w:r>
              <w:rPr>
                <w:rFonts w:ascii="黑体" w:hAnsi="黑体" w:eastAsia="黑体"/>
                <w:kern w:val="0"/>
                <w:sz w:val="21"/>
                <w:szCs w:val="21"/>
              </w:rPr>
              <w:fldChar w:fldCharType="end"/>
            </w:r>
            <w:bookmarkEnd w:id="1"/>
          </w:p>
        </w:tc>
      </w:tr>
      <w:tr w14:paraId="0E08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320E13">
            <w:pPr>
              <w:pStyle w:val="20"/>
              <w:framePr w:wrap="notBeside" w:vAnchor="page" w:hAnchor="page" w:x="1372" w:y="568"/>
              <w:tabs>
                <w:tab w:val="clear" w:pos="4153"/>
                <w:tab w:val="clear" w:pos="8306"/>
              </w:tabs>
              <w:spacing w:before="40" w:line="240" w:lineRule="auto"/>
              <w:jc w:val="left"/>
              <w:rPr>
                <w:rFonts w:hint="eastAsia"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45" w:type="dxa"/>
          </w:tcPr>
          <w:p w14:paraId="1D52D6D5">
            <w:pPr>
              <w:pStyle w:val="20"/>
              <w:framePr w:wrap="notBeside" w:vAnchor="page" w:hAnchor="page" w:x="1372" w:y="568"/>
              <w:tabs>
                <w:tab w:val="clear" w:pos="4153"/>
                <w:tab w:val="clear" w:pos="8306"/>
              </w:tabs>
              <w:spacing w:before="40" w:line="240" w:lineRule="auto"/>
              <w:jc w:val="left"/>
              <w:rPr>
                <w:rFonts w:hint="eastAsia" w:ascii="黑体" w:hAnsi="黑体" w:eastAsia="黑体"/>
                <w:kern w:val="0"/>
                <w:sz w:val="21"/>
                <w:szCs w:val="21"/>
              </w:rPr>
            </w:pPr>
            <w:r>
              <w:rPr>
                <w:rFonts w:ascii="黑体" w:hAnsi="黑体" w:eastAsia="黑体"/>
                <w:kern w:val="0"/>
                <w:sz w:val="21"/>
                <w:szCs w:val="21"/>
              </w:rPr>
              <w:fldChar w:fldCharType="begin">
                <w:ffData>
                  <w:name w:val="CSDN"/>
                  <w:enabled/>
                  <w:calcOnExit w:val="0"/>
                  <w:textInput>
                    <w:default w:val="点击此处添加CCS号"/>
                  </w:textInput>
                </w:ffData>
              </w:fldChar>
            </w:r>
            <w:bookmarkStart w:id="2" w:name="CSDN"/>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N 22</w:t>
            </w:r>
            <w:r>
              <w:rPr>
                <w:rFonts w:ascii="黑体" w:hAnsi="黑体" w:eastAsia="黑体"/>
                <w:kern w:val="0"/>
                <w:sz w:val="21"/>
                <w:szCs w:val="21"/>
              </w:rPr>
              <w:fldChar w:fldCharType="end"/>
            </w:r>
            <w:bookmarkEnd w:id="2"/>
          </w:p>
        </w:tc>
      </w:tr>
    </w:tbl>
    <w:p w14:paraId="7180337F">
      <w:pPr>
        <w:pStyle w:val="59"/>
        <w:framePr w:w="9639" w:h="624" w:hRule="exact" w:hSpace="181" w:vSpace="181" w:wrap="around" w:hAnchor="page" w:x="1305" w:y="2269"/>
        <w:jc w:val="both"/>
        <w:rPr>
          <w:rFonts w:hint="eastAsia" w:ascii="黑体" w:hAnsi="黑体" w:eastAsia="黑体"/>
          <w:b w:val="0"/>
          <w:bCs w:val="0"/>
          <w:sz w:val="48"/>
          <w:szCs w:val="48"/>
        </w:rPr>
      </w:pPr>
      <w:bookmarkStart w:id="3" w:name="_Hlk26473981"/>
      <w:r>
        <w:rPr>
          <w:rFonts w:hint="eastAsia" w:ascii="黑体" w:hAnsi="黑体" w:eastAsia="黑体"/>
          <w:b w:val="0"/>
          <w:bCs w:val="0"/>
          <w:sz w:val="48"/>
          <w:szCs w:val="48"/>
        </w:rPr>
        <w:t xml:space="preserve">团 </w:t>
      </w:r>
      <w:r>
        <w:rPr>
          <w:rFonts w:ascii="黑体" w:hAnsi="黑体" w:eastAsia="黑体"/>
          <w:b w:val="0"/>
          <w:bCs w:val="0"/>
          <w:sz w:val="48"/>
          <w:szCs w:val="48"/>
        </w:rPr>
        <w:t xml:space="preserve">     </w:t>
      </w:r>
      <w:r>
        <w:rPr>
          <w:rFonts w:hint="eastAsia" w:ascii="黑体" w:hAnsi="黑体" w:eastAsia="黑体"/>
          <w:b w:val="0"/>
          <w:bCs w:val="0"/>
          <w:sz w:val="48"/>
          <w:szCs w:val="48"/>
        </w:rPr>
        <w:t xml:space="preserve">体 </w:t>
      </w:r>
      <w:r>
        <w:rPr>
          <w:rFonts w:ascii="黑体" w:hAnsi="黑体" w:eastAsia="黑体"/>
          <w:b w:val="0"/>
          <w:bCs w:val="0"/>
          <w:sz w:val="48"/>
          <w:szCs w:val="48"/>
        </w:rPr>
        <w:t xml:space="preserve">     </w:t>
      </w:r>
      <w:r>
        <w:rPr>
          <w:rFonts w:hint="eastAsia" w:ascii="黑体" w:hAnsi="黑体" w:eastAsia="黑体"/>
          <w:b w:val="0"/>
          <w:bCs w:val="0"/>
          <w:sz w:val="48"/>
          <w:szCs w:val="48"/>
        </w:rPr>
        <w:t xml:space="preserve">标 </w:t>
      </w:r>
      <w:r>
        <w:rPr>
          <w:rFonts w:ascii="黑体" w:hAnsi="黑体" w:eastAsia="黑体"/>
          <w:b w:val="0"/>
          <w:bCs w:val="0"/>
          <w:sz w:val="48"/>
          <w:szCs w:val="48"/>
        </w:rPr>
        <w:t xml:space="preserve">     </w:t>
      </w:r>
      <w:r>
        <w:rPr>
          <w:rFonts w:hint="eastAsia" w:ascii="黑体" w:hAnsi="黑体" w:eastAsia="黑体"/>
          <w:b w:val="0"/>
          <w:bCs w:val="0"/>
          <w:sz w:val="48"/>
          <w:szCs w:val="48"/>
        </w:rPr>
        <w:t>准</w:t>
      </w:r>
    </w:p>
    <w:bookmarkEnd w:id="3"/>
    <w:p w14:paraId="5E447D6E">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48CCD31">
      <w:pPr>
        <w:pStyle w:val="59"/>
        <w:framePr w:w="9639" w:h="6976" w:hRule="exact" w:hSpace="0" w:vSpace="0" w:wrap="around" w:hAnchor="page" w:y="6408"/>
        <w:jc w:val="center"/>
        <w:rPr>
          <w:rFonts w:hint="eastAsia" w:ascii="黑体" w:hAnsi="黑体" w:eastAsia="黑体"/>
          <w:b w:val="0"/>
          <w:bCs w:val="0"/>
          <w:w w:val="100"/>
        </w:rPr>
      </w:pPr>
    </w:p>
    <w:p w14:paraId="28A87751">
      <w:pPr>
        <w:pStyle w:val="204"/>
        <w:framePr w:h="6974" w:hRule="exact" w:wrap="around" w:x="1419" w:anchorLock="1"/>
        <w:rPr>
          <w:rFonts w:hint="eastAsia"/>
        </w:rPr>
      </w:pPr>
      <w:r>
        <w:rPr>
          <w:rFonts w:hint="eastAsia"/>
        </w:rPr>
        <w:t>单相交流标准电能表瞬联电气接口</w:t>
      </w:r>
    </w:p>
    <w:p w14:paraId="61F61FD6">
      <w:pPr>
        <w:pStyle w:val="204"/>
        <w:framePr w:h="6974" w:hRule="exact" w:wrap="around" w:x="1419" w:anchorLock="1"/>
        <w:rPr>
          <w:rFonts w:hint="eastAsia"/>
        </w:rPr>
      </w:pPr>
      <w:r>
        <w:rPr>
          <w:rFonts w:hint="eastAsia"/>
        </w:rPr>
        <w:t>技术规范</w:t>
      </w:r>
    </w:p>
    <w:p w14:paraId="3A304489">
      <w:pPr>
        <w:framePr w:w="9639" w:h="6974" w:hRule="exact" w:wrap="around" w:vAnchor="page" w:hAnchor="page" w:x="1419" w:y="6408" w:anchorLock="1"/>
        <w:ind w:left="-1418"/>
      </w:pPr>
    </w:p>
    <w:p w14:paraId="68C215E8">
      <w:pPr>
        <w:pStyle w:val="132"/>
        <w:framePr w:w="9639" w:h="6974" w:hRule="exact" w:wrap="around" w:vAnchor="page" w:hAnchor="page" w:x="1419" w:y="6408" w:anchorLock="1"/>
        <w:textAlignment w:val="bottom"/>
        <w:rPr>
          <w:rFonts w:eastAsia="黑体"/>
          <w:szCs w:val="28"/>
        </w:rPr>
      </w:pPr>
      <w:r>
        <w:rPr>
          <w:rFonts w:eastAsia="黑体"/>
          <w:szCs w:val="28"/>
        </w:rPr>
        <w:t>T</w:t>
      </w:r>
      <w:r>
        <w:rPr>
          <w:rFonts w:hint="eastAsia" w:eastAsia="黑体"/>
          <w:szCs w:val="28"/>
        </w:rPr>
        <w:t>e</w:t>
      </w:r>
      <w:r>
        <w:rPr>
          <w:rFonts w:eastAsia="黑体"/>
          <w:szCs w:val="28"/>
        </w:rPr>
        <w:t>chnical specification for instant connection electrical interface of</w:t>
      </w:r>
      <w:r>
        <w:rPr>
          <w:rFonts w:eastAsia="黑体"/>
          <w:color w:val="C00000"/>
          <w:szCs w:val="28"/>
        </w:rPr>
        <w:t xml:space="preserve"> </w:t>
      </w:r>
      <w:r>
        <w:rPr>
          <w:rFonts w:hint="eastAsia" w:eastAsia="黑体"/>
          <w:szCs w:val="28"/>
        </w:rPr>
        <w:t>single-phase</w:t>
      </w:r>
      <w:r>
        <w:rPr>
          <w:rFonts w:eastAsia="黑体"/>
          <w:szCs w:val="28"/>
        </w:rPr>
        <w:t xml:space="preserve"> </w:t>
      </w:r>
      <w:r>
        <w:rPr>
          <w:rFonts w:hint="eastAsia" w:eastAsia="黑体"/>
          <w:szCs w:val="28"/>
        </w:rPr>
        <w:t>AC</w:t>
      </w:r>
      <w:r>
        <w:rPr>
          <w:rFonts w:hint="eastAsia" w:eastAsia="黑体"/>
          <w:color w:val="C00000"/>
          <w:szCs w:val="28"/>
        </w:rPr>
        <w:t xml:space="preserve"> </w:t>
      </w:r>
      <w:r>
        <w:rPr>
          <w:rFonts w:eastAsia="黑体"/>
          <w:szCs w:val="28"/>
        </w:rPr>
        <w:t>standard meter</w:t>
      </w:r>
      <w:r>
        <w:rPr>
          <w:rFonts w:hint="eastAsia" w:eastAsia="黑体"/>
          <w:szCs w:val="28"/>
        </w:rPr>
        <w:t>s</w:t>
      </w:r>
      <w:r>
        <w:rPr>
          <w:rFonts w:eastAsia="黑体"/>
          <w:color w:val="C00000"/>
          <w:szCs w:val="28"/>
        </w:rPr>
        <w:t xml:space="preserve"> </w:t>
      </w:r>
    </w:p>
    <w:p w14:paraId="78CF52D3">
      <w:pPr>
        <w:framePr w:w="9639" w:h="6974" w:hRule="exact" w:wrap="around" w:vAnchor="page" w:hAnchor="page" w:x="1419" w:y="6408" w:anchorLock="1"/>
        <w:spacing w:line="760" w:lineRule="exact"/>
        <w:ind w:left="-1418"/>
      </w:pPr>
    </w:p>
    <w:p w14:paraId="44A957EC">
      <w:pPr>
        <w:pStyle w:val="132"/>
        <w:framePr w:w="9639" w:h="6974" w:hRule="exact" w:wrap="around" w:vAnchor="page" w:hAnchor="page" w:x="1419" w:y="6408" w:anchorLock="1"/>
        <w:spacing w:before="440" w:after="160"/>
        <w:ind w:firstLine="480" w:firstLineChars="200"/>
        <w:jc w:val="both"/>
        <w:textAlignment w:val="bottom"/>
        <w:rPr>
          <w:sz w:val="24"/>
          <w:szCs w:val="28"/>
        </w:rPr>
      </w:pPr>
      <w:r>
        <w:rPr>
          <w:rFonts w:hint="eastAsia"/>
          <w:sz w:val="24"/>
          <w:szCs w:val="28"/>
        </w:rPr>
        <w:t>（在提交反馈意见时，请将您知道的相关专利连同支持性文件一并附上）</w:t>
      </w:r>
    </w:p>
    <w:p w14:paraId="2F9EC889">
      <w:pPr>
        <w:pStyle w:val="132"/>
        <w:framePr w:w="9639" w:h="6974" w:hRule="exact" w:wrap="around" w:vAnchor="page" w:hAnchor="page" w:x="1419" w:y="6408" w:anchorLock="1"/>
        <w:spacing w:before="440" w:after="160"/>
        <w:ind w:firstLine="3840" w:firstLineChars="1600"/>
        <w:jc w:val="both"/>
        <w:textAlignment w:val="bottom"/>
        <w:rPr>
          <w:sz w:val="24"/>
          <w:szCs w:val="28"/>
        </w:rPr>
      </w:pPr>
      <w:r>
        <w:rPr>
          <w:rFonts w:hint="eastAsia"/>
          <w:sz w:val="24"/>
          <w:szCs w:val="28"/>
        </w:rPr>
        <w:t>（征求意见稿）</w:t>
      </w:r>
    </w:p>
    <w:p w14:paraId="797FF467">
      <w:pPr>
        <w:pStyle w:val="132"/>
        <w:framePr w:w="9639" w:h="6974" w:hRule="exact" w:wrap="around" w:vAnchor="page" w:hAnchor="page" w:x="1419" w:y="6408" w:anchorLock="1"/>
        <w:spacing w:before="180" w:line="240" w:lineRule="atLeast"/>
        <w:ind w:firstLine="4200" w:firstLineChars="2000"/>
        <w:jc w:val="both"/>
        <w:textAlignment w:val="bottom"/>
        <w:rPr>
          <w:sz w:val="21"/>
          <w:szCs w:val="28"/>
        </w:rPr>
      </w:pPr>
      <w:r>
        <w:rPr>
          <w:sz w:val="21"/>
          <w:szCs w:val="28"/>
        </w:rPr>
        <w:t>202</w:t>
      </w:r>
      <w:r>
        <w:rPr>
          <w:rFonts w:hint="eastAsia"/>
          <w:sz w:val="21"/>
          <w:szCs w:val="28"/>
        </w:rPr>
        <w:t>5</w:t>
      </w:r>
      <w:r>
        <w:rPr>
          <w:sz w:val="21"/>
          <w:szCs w:val="28"/>
        </w:rPr>
        <w:t>.</w:t>
      </w:r>
      <w:r>
        <w:rPr>
          <w:rFonts w:hint="eastAsia"/>
          <w:sz w:val="21"/>
          <w:szCs w:val="28"/>
        </w:rPr>
        <w:t>11</w:t>
      </w:r>
    </w:p>
    <w:p w14:paraId="3CCFFBF2">
      <w:pPr>
        <w:pStyle w:val="200"/>
        <w:framePr w:wrap="around" w:y="14176"/>
      </w:pPr>
      <w:r>
        <w:fldChar w:fldCharType="begin">
          <w:ffData>
            <w:name w:val="PLSH_DATE_Y"/>
            <w:enabled/>
            <w:calcOnExit w:val="0"/>
            <w:textInput>
              <w:default w:val="XXXX"/>
              <w:maxLength w:val="4"/>
            </w:textInput>
          </w:ffData>
        </w:fldChar>
      </w:r>
      <w:bookmarkStart w:id="4" w:name="PLSH_DATE_Y"/>
      <w:r>
        <w:instrText xml:space="preserve"> FORMTEXT </w:instrText>
      </w:r>
      <w:r>
        <w:fldChar w:fldCharType="separate"/>
      </w:r>
      <w:r>
        <w:t>XXXX</w:t>
      </w:r>
      <w:r>
        <w:fldChar w:fldCharType="end"/>
      </w:r>
      <w:bookmarkEnd w:id="4"/>
      <w:r>
        <w:t xml:space="preserve"> - </w:t>
      </w:r>
      <w:r>
        <w:fldChar w:fldCharType="begin">
          <w:ffData>
            <w:name w:val="PLSH_DATE_M"/>
            <w:enabled/>
            <w:calcOnExit w:val="0"/>
            <w:textInput>
              <w:default w:val="XX"/>
              <w:maxLength w:val="2"/>
            </w:textInput>
          </w:ffData>
        </w:fldChar>
      </w:r>
      <w:bookmarkStart w:id="5" w:name="PLSH_DATE_M"/>
      <w:r>
        <w:instrText xml:space="preserve"> FORMTEXT </w:instrText>
      </w:r>
      <w:r>
        <w:fldChar w:fldCharType="separate"/>
      </w:r>
      <w:r>
        <w:t>XX</w:t>
      </w:r>
      <w:r>
        <w:fldChar w:fldCharType="end"/>
      </w:r>
      <w:bookmarkEnd w:id="5"/>
      <w:r>
        <w:t xml:space="preserve"> - </w:t>
      </w:r>
      <w:r>
        <w:fldChar w:fldCharType="begin">
          <w:ffData>
            <w:name w:val="PLSH_DATE_D"/>
            <w:enabled/>
            <w:calcOnExit w:val="0"/>
            <w:textInput>
              <w:default w:val="XX"/>
              <w:maxLength w:val="2"/>
            </w:textInput>
          </w:ffData>
        </w:fldChar>
      </w:r>
      <w:bookmarkStart w:id="6" w:name="PLSH_DATE_D"/>
      <w:r>
        <w:instrText xml:space="preserve"> FORMTEXT </w:instrText>
      </w:r>
      <w:r>
        <w:fldChar w:fldCharType="separate"/>
      </w:r>
      <w:r>
        <w:t>XX</w:t>
      </w:r>
      <w:r>
        <w:fldChar w:fldCharType="end"/>
      </w:r>
      <w:bookmarkEnd w:id="6"/>
      <w:r>
        <w:rPr>
          <w:rFonts w:hint="eastAsia"/>
        </w:rPr>
        <w:t>发布</w:t>
      </w:r>
    </w:p>
    <w:p w14:paraId="12013561">
      <w:pPr>
        <w:pStyle w:val="201"/>
        <w:framePr w:wrap="around" w:y="14176"/>
      </w:pPr>
      <w:r>
        <w:fldChar w:fldCharType="begin">
          <w:ffData>
            <w:name w:val="CROT_DATE_Y"/>
            <w:enabled/>
            <w:calcOnExit w:val="0"/>
            <w:textInput>
              <w:default w:val="XXXX"/>
              <w:maxLength w:val="4"/>
            </w:textInput>
          </w:ffData>
        </w:fldChar>
      </w:r>
      <w:bookmarkStart w:id="7" w:name="CROT_DATE_Y"/>
      <w:r>
        <w:instrText xml:space="preserve"> FORMTEXT </w:instrText>
      </w:r>
      <w:r>
        <w:fldChar w:fldCharType="separate"/>
      </w:r>
      <w:r>
        <w:t>XXXX</w:t>
      </w:r>
      <w:r>
        <w:fldChar w:fldCharType="end"/>
      </w:r>
      <w:bookmarkEnd w:id="7"/>
      <w:r>
        <w:t xml:space="preserve"> - </w:t>
      </w:r>
      <w:r>
        <w:fldChar w:fldCharType="begin">
          <w:ffData>
            <w:name w:val="CROT_DATE_M"/>
            <w:enabled/>
            <w:calcOnExit w:val="0"/>
            <w:textInput>
              <w:default w:val="XX"/>
              <w:maxLength w:val="2"/>
            </w:textInput>
          </w:ffData>
        </w:fldChar>
      </w:r>
      <w:bookmarkStart w:id="8" w:name="CROT_DATE_M"/>
      <w:r>
        <w:instrText xml:space="preserve"> FORMTEXT </w:instrText>
      </w:r>
      <w:r>
        <w:fldChar w:fldCharType="separate"/>
      </w:r>
      <w:r>
        <w:t>XX</w:t>
      </w:r>
      <w:r>
        <w:fldChar w:fldCharType="end"/>
      </w:r>
      <w:bookmarkEnd w:id="8"/>
      <w:r>
        <w:t xml:space="preserve"> - </w:t>
      </w:r>
      <w:r>
        <w:fldChar w:fldCharType="begin">
          <w:ffData>
            <w:name w:val="CROT_DATE_D"/>
            <w:enabled/>
            <w:calcOnExit w:val="0"/>
            <w:textInput>
              <w:default w:val="XX"/>
              <w:maxLength w:val="2"/>
            </w:textInput>
          </w:ffData>
        </w:fldChar>
      </w:r>
      <w:bookmarkStart w:id="9" w:name="CROT_DATE_D"/>
      <w:r>
        <w:instrText xml:space="preserve"> FORMTEXT </w:instrText>
      </w:r>
      <w:r>
        <w:fldChar w:fldCharType="separate"/>
      </w:r>
      <w:r>
        <w:t>XX</w:t>
      </w:r>
      <w:r>
        <w:fldChar w:fldCharType="end"/>
      </w:r>
      <w:bookmarkEnd w:id="9"/>
      <w:r>
        <w:rPr>
          <w:rFonts w:hint="eastAsia"/>
        </w:rPr>
        <w:t>实施</w:t>
      </w:r>
    </w:p>
    <w:p w14:paraId="53698222">
      <w:pPr>
        <w:pStyle w:val="202"/>
        <w:framePr w:wrap="around" w:x="1423" w:y="3457"/>
        <w:rPr>
          <w:rFonts w:hint="eastAsia" w:hAnsi="黑体"/>
        </w:rPr>
      </w:pPr>
      <w:r>
        <w:t xml:space="preserve">T/CIMA  </w:t>
      </w:r>
      <w:r>
        <w:rPr>
          <w:rFonts w:hint="eastAsia"/>
        </w:rPr>
        <w:t>0183</w:t>
      </w:r>
      <w:r>
        <w:t>-</w:t>
      </w:r>
      <w:r>
        <w:rPr>
          <w:rFonts w:hint="eastAsia"/>
        </w:rPr>
        <w:t>202</w:t>
      </w:r>
      <w:r>
        <w:rPr>
          <w:rFonts w:hint="eastAsia"/>
          <w:highlight w:val="yellow"/>
        </w:rPr>
        <w:t>X</w:t>
      </w:r>
    </w:p>
    <w:p w14:paraId="11B23F86">
      <w:pPr>
        <w:pStyle w:val="158"/>
        <w:framePr w:w="7950" w:hRule="auto" w:wrap="around" w:vAnchor="page" w:hAnchor="page" w:x="1986" w:y="15377"/>
        <w:ind w:firstLine="1050"/>
        <w:rPr>
          <w:rFonts w:hint="eastAsia" w:hAnsi="黑体"/>
          <w:sz w:val="28"/>
          <w:szCs w:val="28"/>
        </w:rPr>
      </w:pPr>
      <w:r>
        <w:rPr>
          <w:rFonts w:hAnsi="黑体"/>
          <w:sz w:val="28"/>
          <w:szCs w:val="28"/>
        </w:rPr>
        <w:t>中国仪器仪表行业协会   </w:t>
      </w:r>
      <w:r>
        <w:rPr>
          <w:rStyle w:val="255"/>
          <w:rFonts w:hAnsi="黑体"/>
        </w:rPr>
        <w:t>发布</w:t>
      </w:r>
    </w:p>
    <w:p w14:paraId="7E3BC41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sdt>
      <w:sdtPr>
        <w:rPr>
          <w:rFonts w:ascii="Calibri" w:hAnsi="Calibri" w:eastAsia="宋体" w:cs="Times New Roman"/>
          <w:color w:val="auto"/>
          <w:kern w:val="2"/>
          <w:sz w:val="21"/>
          <w:szCs w:val="21"/>
          <w:lang w:val="zh-CN"/>
        </w:rPr>
        <w:id w:val="432249865"/>
        <w:docPartObj>
          <w:docPartGallery w:val="Table of Contents"/>
          <w:docPartUnique/>
        </w:docPartObj>
      </w:sdtPr>
      <w:sdtEndPr>
        <w:rPr>
          <w:rFonts w:ascii="Calibri" w:hAnsi="Calibri" w:eastAsia="宋体" w:cs="Times New Roman"/>
          <w:b/>
          <w:bCs/>
          <w:color w:val="auto"/>
          <w:kern w:val="2"/>
          <w:sz w:val="21"/>
          <w:szCs w:val="21"/>
          <w:lang w:val="zh-CN"/>
        </w:rPr>
      </w:sdtEndPr>
      <w:sdtContent>
        <w:p w14:paraId="55DF2423">
          <w:pPr>
            <w:pStyle w:val="254"/>
            <w:jc w:val="center"/>
            <w:rPr>
              <w:rFonts w:hint="eastAsia"/>
              <w:b/>
              <w:bCs/>
              <w:color w:val="auto"/>
            </w:rPr>
          </w:pPr>
          <w:bookmarkStart w:id="10" w:name="BookMark2"/>
          <w:r>
            <w:rPr>
              <w:b/>
              <w:bCs/>
              <w:color w:val="auto"/>
              <w:lang w:val="zh-CN"/>
            </w:rPr>
            <w:t>目录</w:t>
          </w:r>
        </w:p>
        <w:p w14:paraId="6C7A34F2">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"1-3" \h \z \u </w:instrText>
          </w:r>
          <w:r>
            <w:fldChar w:fldCharType="separate"/>
          </w:r>
          <w:r>
            <w:fldChar w:fldCharType="begin"/>
          </w:r>
          <w:r>
            <w:instrText xml:space="preserve"> HYPERLINK \l "_Toc213850828" </w:instrText>
          </w:r>
          <w:r>
            <w:fldChar w:fldCharType="separate"/>
          </w:r>
          <w:r>
            <w:rPr>
              <w:rStyle w:val="37"/>
              <w:rFonts w:hint="eastAsia"/>
            </w:rPr>
            <w:t>前 言</w:t>
          </w:r>
          <w:r>
            <w:rPr>
              <w:rFonts w:hint="eastAsia"/>
            </w:rPr>
            <w:tab/>
          </w:r>
          <w:r>
            <w:rPr>
              <w:rFonts w:hint="eastAsia"/>
            </w:rPr>
            <w:fldChar w:fldCharType="begin"/>
          </w:r>
          <w:r>
            <w:rPr>
              <w:rFonts w:hint="eastAsia"/>
            </w:rPr>
            <w:instrText xml:space="preserve"> </w:instrText>
          </w:r>
          <w:r>
            <w:instrText xml:space="preserve">PAGEREF _Toc213850828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274E06C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"_Toc213850829" </w:instrText>
          </w:r>
          <w:r>
            <w:fldChar w:fldCharType="separate"/>
          </w:r>
          <w:r>
            <w:rPr>
              <w:rStyle w:val="37"/>
              <w:rFonts w:hint="eastAsia"/>
            </w:rPr>
            <w:t>1 范围</w:t>
          </w:r>
          <w:r>
            <w:rPr>
              <w:rFonts w:hint="eastAsia"/>
            </w:rPr>
            <w:tab/>
          </w:r>
          <w:r>
            <w:rPr>
              <w:rFonts w:hint="eastAsia"/>
            </w:rPr>
            <w:fldChar w:fldCharType="begin"/>
          </w:r>
          <w:r>
            <w:rPr>
              <w:rFonts w:hint="eastAsia"/>
            </w:rPr>
            <w:instrText xml:space="preserve"> </w:instrText>
          </w:r>
          <w:r>
            <w:instrText xml:space="preserve">PAGEREF _Toc213850829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766B244">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"_Toc213850830" </w:instrText>
          </w:r>
          <w:r>
            <w:fldChar w:fldCharType="separate"/>
          </w:r>
          <w:r>
            <w:rPr>
              <w:rStyle w:val="37"/>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_Toc213850830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9D1E0D3">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"_Toc213850831" </w:instrText>
          </w:r>
          <w:r>
            <w:fldChar w:fldCharType="separate"/>
          </w:r>
          <w:r>
            <w:rPr>
              <w:rStyle w:val="37"/>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_Toc213850831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3AADDE3">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"_Toc213850837" </w:instrText>
          </w:r>
          <w:r>
            <w:fldChar w:fldCharType="separate"/>
          </w:r>
          <w:r>
            <w:rPr>
              <w:rStyle w:val="37"/>
              <w:rFonts w:hint="eastAsia"/>
            </w:rPr>
            <w:t>4 缩略语</w:t>
          </w:r>
          <w:r>
            <w:rPr>
              <w:rFonts w:hint="eastAsia"/>
            </w:rPr>
            <w:tab/>
          </w:r>
          <w:r>
            <w:rPr>
              <w:rFonts w:hint="eastAsia"/>
            </w:rPr>
            <w:fldChar w:fldCharType="begin"/>
          </w:r>
          <w:r>
            <w:rPr>
              <w:rFonts w:hint="eastAsia"/>
            </w:rPr>
            <w:instrText xml:space="preserve"> </w:instrText>
          </w:r>
          <w:r>
            <w:instrText xml:space="preserve">PAGEREF _Toc213850837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D0F2223">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"_Toc213850838" </w:instrText>
          </w:r>
          <w:r>
            <w:fldChar w:fldCharType="separate"/>
          </w:r>
          <w:r>
            <w:rPr>
              <w:rStyle w:val="37"/>
              <w:rFonts w:hint="eastAsia"/>
            </w:rPr>
            <w:t>5 规格和尺寸</w:t>
          </w:r>
          <w:r>
            <w:rPr>
              <w:rFonts w:hint="eastAsia"/>
            </w:rPr>
            <w:tab/>
          </w:r>
          <w:r>
            <w:rPr>
              <w:rFonts w:hint="eastAsia"/>
            </w:rPr>
            <w:fldChar w:fldCharType="begin"/>
          </w:r>
          <w:r>
            <w:rPr>
              <w:rFonts w:hint="eastAsia"/>
            </w:rPr>
            <w:instrText xml:space="preserve"> </w:instrText>
          </w:r>
          <w:r>
            <w:instrText xml:space="preserve">PAGEREF _Toc213850838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89D55EF">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"_Toc213850843" </w:instrText>
          </w:r>
          <w:r>
            <w:fldChar w:fldCharType="separate"/>
          </w:r>
          <w:r>
            <w:rPr>
              <w:rStyle w:val="37"/>
              <w:rFonts w:hint="eastAsia"/>
            </w:rPr>
            <w:t>6 技术要求</w:t>
          </w:r>
          <w:r>
            <w:rPr>
              <w:rFonts w:hint="eastAsia"/>
            </w:rPr>
            <w:tab/>
          </w:r>
          <w:r>
            <w:rPr>
              <w:rFonts w:hint="eastAsia"/>
            </w:rPr>
            <w:fldChar w:fldCharType="begin"/>
          </w:r>
          <w:r>
            <w:rPr>
              <w:rFonts w:hint="eastAsia"/>
            </w:rPr>
            <w:instrText xml:space="preserve"> </w:instrText>
          </w:r>
          <w:r>
            <w:instrText xml:space="preserve">PAGEREF _Toc213850843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6F674A9">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"_Toc213850865" </w:instrText>
          </w:r>
          <w:r>
            <w:fldChar w:fldCharType="separate"/>
          </w:r>
          <w:r>
            <w:rPr>
              <w:rStyle w:val="37"/>
              <w:rFonts w:hint="eastAsia"/>
            </w:rPr>
            <w:t>7 试验方法</w:t>
          </w:r>
          <w:r>
            <w:rPr>
              <w:rFonts w:hint="eastAsia"/>
            </w:rPr>
            <w:tab/>
          </w:r>
          <w:r>
            <w:rPr>
              <w:rFonts w:hint="eastAsia"/>
            </w:rPr>
            <w:fldChar w:fldCharType="begin"/>
          </w:r>
          <w:r>
            <w:rPr>
              <w:rFonts w:hint="eastAsia"/>
            </w:rPr>
            <w:instrText xml:space="preserve"> </w:instrText>
          </w:r>
          <w:r>
            <w:instrText xml:space="preserve">PAGEREF _Toc213850865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E65223">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"_Toc213850880" </w:instrText>
          </w:r>
          <w:r>
            <w:fldChar w:fldCharType="separate"/>
          </w:r>
          <w:r>
            <w:rPr>
              <w:rStyle w:val="37"/>
              <w:rFonts w:hint="eastAsia"/>
              <w:spacing w:val="100"/>
            </w:rPr>
            <w:t>附录A</w:t>
          </w:r>
          <w:r>
            <w:rPr>
              <w:rStyle w:val="37"/>
              <w:rFonts w:hint="eastAsia"/>
            </w:rPr>
            <w:t xml:space="preserve"> （资料性） 标准表背面板整体布局</w:t>
          </w:r>
          <w:r>
            <w:rPr>
              <w:rFonts w:hint="eastAsia"/>
            </w:rPr>
            <w:tab/>
          </w:r>
          <w:r>
            <w:rPr>
              <w:rFonts w:hint="eastAsia"/>
            </w:rPr>
            <w:fldChar w:fldCharType="begin"/>
          </w:r>
          <w:r>
            <w:rPr>
              <w:rFonts w:hint="eastAsia"/>
            </w:rPr>
            <w:instrText xml:space="preserve"> </w:instrText>
          </w:r>
          <w:r>
            <w:instrText xml:space="preserve">PAGEREF _Toc213850880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9E9BAE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"_Toc213850887" </w:instrText>
          </w:r>
          <w:r>
            <w:fldChar w:fldCharType="separate"/>
          </w:r>
          <w:r>
            <w:rPr>
              <w:rStyle w:val="37"/>
              <w:rFonts w:hint="eastAsia"/>
              <w:spacing w:val="100"/>
            </w:rPr>
            <w:t>附录B</w:t>
          </w:r>
          <w:r>
            <w:rPr>
              <w:rStyle w:val="37"/>
              <w:rFonts w:hint="eastAsia"/>
            </w:rPr>
            <w:t xml:space="preserve"> （资料性） 标准表通信协议</w:t>
          </w:r>
          <w:r>
            <w:rPr>
              <w:rFonts w:hint="eastAsia"/>
            </w:rPr>
            <w:tab/>
          </w:r>
          <w:r>
            <w:rPr>
              <w:rFonts w:hint="eastAsia"/>
            </w:rPr>
            <w:fldChar w:fldCharType="begin"/>
          </w:r>
          <w:r>
            <w:rPr>
              <w:rFonts w:hint="eastAsia"/>
            </w:rPr>
            <w:instrText xml:space="preserve"> </w:instrText>
          </w:r>
          <w:r>
            <w:instrText xml:space="preserve">PAGEREF _Toc213850887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16B497AD">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"_Toc213850892" </w:instrText>
          </w:r>
          <w:r>
            <w:fldChar w:fldCharType="separate"/>
          </w:r>
          <w:r>
            <w:rPr>
              <w:rStyle w:val="37"/>
              <w:rFonts w:hint="eastAsia"/>
              <w:spacing w:val="100"/>
            </w:rPr>
            <w:t>附录C</w:t>
          </w:r>
          <w:r>
            <w:rPr>
              <w:rStyle w:val="37"/>
              <w:rFonts w:hint="eastAsia"/>
            </w:rPr>
            <w:t xml:space="preserve"> （资料性） 瞬联电气接口通信说明</w:t>
          </w:r>
          <w:r>
            <w:rPr>
              <w:rFonts w:hint="eastAsia"/>
            </w:rPr>
            <w:tab/>
          </w:r>
          <w:r>
            <w:rPr>
              <w:rFonts w:hint="eastAsia"/>
            </w:rPr>
            <w:fldChar w:fldCharType="begin"/>
          </w:r>
          <w:r>
            <w:rPr>
              <w:rFonts w:hint="eastAsia"/>
            </w:rPr>
            <w:instrText xml:space="preserve"> </w:instrText>
          </w:r>
          <w:r>
            <w:instrText xml:space="preserve">PAGEREF _Toc213850892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92B7448">
          <w:r>
            <w:rPr>
              <w:b/>
              <w:bCs/>
              <w:lang w:val="zh-CN"/>
            </w:rPr>
            <w:fldChar w:fldCharType="end"/>
          </w:r>
        </w:p>
      </w:sdtContent>
    </w:sdt>
    <w:p w14:paraId="0318BCFC">
      <w:pPr>
        <w:pStyle w:val="97"/>
        <w:spacing w:after="360"/>
        <w:rPr>
          <w:spacing w:val="320"/>
        </w:rPr>
      </w:pPr>
      <w:r>
        <w:rPr>
          <w:spacing w:val="320"/>
        </w:rPr>
        <w:br w:type="page"/>
      </w:r>
    </w:p>
    <w:p w14:paraId="6716C651">
      <w:pPr>
        <w:pStyle w:val="97"/>
        <w:spacing w:after="360"/>
      </w:pPr>
      <w:bookmarkStart w:id="11" w:name="_Toc8257"/>
      <w:bookmarkStart w:id="12" w:name="_Toc489340692"/>
      <w:bookmarkStart w:id="13" w:name="_Toc213850828"/>
      <w:r>
        <w:t>前</w:t>
      </w:r>
      <w:bookmarkStart w:id="14" w:name="BKQY"/>
      <w:r>
        <w:t>  言</w:t>
      </w:r>
      <w:bookmarkEnd w:id="11"/>
      <w:bookmarkEnd w:id="12"/>
      <w:bookmarkEnd w:id="13"/>
      <w:bookmarkEnd w:id="14"/>
    </w:p>
    <w:p w14:paraId="6FC30929">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本文件按照GB/T 1.1—2020《标准化工作导则  第1部分：标准化文件的结构和起草规则》的规定起草。</w:t>
      </w:r>
    </w:p>
    <w:p w14:paraId="284364C7">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请注意本文件的某些内容可能涉及专利。本文件的发布机构不承担识别这些专利的责任。</w:t>
      </w:r>
    </w:p>
    <w:p w14:paraId="3C7DFBF0">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本文件由中国仪器仪表行业协会电工仪器仪表分会提出。</w:t>
      </w:r>
    </w:p>
    <w:p w14:paraId="4836F144">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本文件由中国仪器仪表行业协会归口。</w:t>
      </w:r>
    </w:p>
    <w:p w14:paraId="7ED297B0">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本文件起草单位：。</w:t>
      </w:r>
    </w:p>
    <w:p w14:paraId="701240E8">
      <w:pPr>
        <w:pStyle w:val="97"/>
        <w:numPr>
          <w:ilvl w:val="0"/>
          <w:numId w:val="0"/>
        </w:numPr>
        <w:spacing w:before="0" w:afterLines="0" w:line="360" w:lineRule="auto"/>
        <w:ind w:firstLine="420" w:firstLineChars="200"/>
        <w:jc w:val="both"/>
        <w:outlineLvl w:val="9"/>
        <w:rPr>
          <w:rFonts w:hint="eastAsia" w:ascii="宋体" w:hAnsi="宋体" w:eastAsia="宋体"/>
          <w:sz w:val="21"/>
          <w:szCs w:val="21"/>
        </w:rPr>
      </w:pPr>
      <w:r>
        <w:rPr>
          <w:rFonts w:hint="eastAsia" w:ascii="宋体" w:hAnsi="宋体" w:eastAsia="宋体"/>
          <w:sz w:val="21"/>
          <w:szCs w:val="21"/>
        </w:rPr>
        <w:t>本文件主要起草人：</w:t>
      </w:r>
    </w:p>
    <w:p w14:paraId="0750FBCC">
      <w:pPr>
        <w:pStyle w:val="65"/>
        <w:ind w:firstLine="420"/>
      </w:pPr>
    </w:p>
    <w:p w14:paraId="48D869CC">
      <w:pPr>
        <w:pStyle w:val="65"/>
        <w:ind w:firstLine="420"/>
      </w:pPr>
    </w:p>
    <w:p w14:paraId="315F82CA">
      <w:pPr>
        <w:pStyle w:val="65"/>
        <w:ind w:firstLine="420"/>
      </w:pPr>
    </w:p>
    <w:p w14:paraId="38294464">
      <w:pPr>
        <w:pStyle w:val="65"/>
        <w:ind w:firstLine="420"/>
      </w:pPr>
    </w:p>
    <w:p w14:paraId="22319555">
      <w:pPr>
        <w:pStyle w:val="65"/>
        <w:ind w:firstLine="420"/>
      </w:pPr>
    </w:p>
    <w:p w14:paraId="633AB206">
      <w:pPr>
        <w:pStyle w:val="65"/>
        <w:ind w:firstLine="420"/>
      </w:pPr>
    </w:p>
    <w:p w14:paraId="5DCC6958">
      <w:pPr>
        <w:pStyle w:val="65"/>
        <w:ind w:firstLine="420"/>
      </w:pPr>
    </w:p>
    <w:p w14:paraId="05F234A8">
      <w:pPr>
        <w:pStyle w:val="65"/>
        <w:ind w:firstLine="420"/>
      </w:pPr>
    </w:p>
    <w:p w14:paraId="37DAC2C9">
      <w:pPr>
        <w:pStyle w:val="65"/>
        <w:ind w:firstLine="420"/>
      </w:pPr>
    </w:p>
    <w:p w14:paraId="5E6F63DF">
      <w:pPr>
        <w:pStyle w:val="65"/>
        <w:ind w:firstLine="420"/>
      </w:pPr>
    </w:p>
    <w:p w14:paraId="72574D75">
      <w:pPr>
        <w:pStyle w:val="65"/>
        <w:ind w:firstLine="420"/>
      </w:pPr>
    </w:p>
    <w:p w14:paraId="1A436D7A">
      <w:pPr>
        <w:pStyle w:val="65"/>
        <w:ind w:firstLine="420"/>
      </w:pPr>
    </w:p>
    <w:p w14:paraId="27CBB16C">
      <w:pPr>
        <w:pStyle w:val="65"/>
        <w:ind w:firstLine="420"/>
      </w:pPr>
    </w:p>
    <w:p w14:paraId="4C623661">
      <w:pPr>
        <w:pStyle w:val="65"/>
        <w:ind w:firstLine="420"/>
      </w:pPr>
    </w:p>
    <w:p w14:paraId="6ECCFF47">
      <w:pPr>
        <w:pStyle w:val="65"/>
        <w:ind w:firstLine="420"/>
      </w:pPr>
    </w:p>
    <w:p w14:paraId="496A310B">
      <w:pPr>
        <w:pStyle w:val="65"/>
        <w:ind w:firstLine="420"/>
      </w:pPr>
    </w:p>
    <w:p w14:paraId="09E83C5B">
      <w:pPr>
        <w:pStyle w:val="65"/>
        <w:ind w:firstLine="420"/>
      </w:pPr>
    </w:p>
    <w:p w14:paraId="2D601BDE">
      <w:pPr>
        <w:pStyle w:val="65"/>
        <w:ind w:firstLine="420"/>
      </w:pPr>
    </w:p>
    <w:p w14:paraId="5B19DEF3">
      <w:pPr>
        <w:pStyle w:val="65"/>
        <w:ind w:firstLine="420"/>
      </w:pPr>
    </w:p>
    <w:p w14:paraId="0A8AFF2D">
      <w:pPr>
        <w:pStyle w:val="65"/>
        <w:ind w:firstLine="420"/>
      </w:pPr>
    </w:p>
    <w:p w14:paraId="116C0E3C">
      <w:pPr>
        <w:pStyle w:val="65"/>
        <w:ind w:firstLine="420"/>
      </w:pPr>
    </w:p>
    <w:p w14:paraId="796ABFB4">
      <w:pPr>
        <w:pStyle w:val="65"/>
        <w:ind w:firstLine="420"/>
      </w:pPr>
    </w:p>
    <w:p w14:paraId="0F49472B">
      <w:pPr>
        <w:pStyle w:val="65"/>
        <w:ind w:firstLine="420"/>
      </w:pPr>
    </w:p>
    <w:p w14:paraId="093BE9F5">
      <w:pPr>
        <w:pStyle w:val="65"/>
        <w:ind w:firstLine="420"/>
      </w:pPr>
    </w:p>
    <w:p w14:paraId="5A8B0B5B">
      <w:pPr>
        <w:pStyle w:val="65"/>
        <w:ind w:firstLine="420"/>
      </w:pPr>
    </w:p>
    <w:p w14:paraId="233F9A78">
      <w:pPr>
        <w:pStyle w:val="65"/>
        <w:ind w:firstLine="420"/>
      </w:pPr>
    </w:p>
    <w:p w14:paraId="5A15C376">
      <w:pPr>
        <w:pStyle w:val="65"/>
        <w:ind w:firstLine="420"/>
      </w:pPr>
    </w:p>
    <w:p w14:paraId="0FF865DB">
      <w:pPr>
        <w:pStyle w:val="65"/>
        <w:ind w:firstLine="420"/>
      </w:pPr>
    </w:p>
    <w:p w14:paraId="476829D2">
      <w:pPr>
        <w:pStyle w:val="65"/>
        <w:ind w:firstLine="420"/>
      </w:pPr>
    </w:p>
    <w:p w14:paraId="02193E07">
      <w:pPr>
        <w:pStyle w:val="65"/>
        <w:ind w:firstLine="420"/>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linePitch="312" w:charSpace="0"/>
        </w:sectPr>
      </w:pPr>
    </w:p>
    <w:p w14:paraId="1D6D32C4">
      <w:pPr>
        <w:spacing w:line="20" w:lineRule="exact"/>
        <w:jc w:val="center"/>
        <w:rPr>
          <w:rFonts w:hint="eastAsia" w:ascii="黑体" w:hAnsi="黑体" w:eastAsia="黑体"/>
          <w:sz w:val="32"/>
          <w:szCs w:val="32"/>
        </w:rPr>
      </w:pPr>
    </w:p>
    <w:p w14:paraId="014140BB">
      <w:pPr>
        <w:spacing w:line="20" w:lineRule="exact"/>
        <w:jc w:val="center"/>
        <w:rPr>
          <w:rFonts w:hint="eastAsia" w:ascii="黑体" w:hAnsi="黑体" w:eastAsia="黑体"/>
          <w:sz w:val="32"/>
          <w:szCs w:val="32"/>
        </w:rPr>
      </w:pPr>
    </w:p>
    <w:sdt>
      <w:sdtPr>
        <w:rPr>
          <w:highlight w:val="yellow"/>
        </w:rPr>
        <w:tag w:val="NEW_STAND_NAME"/>
        <w:id w:val="49973758"/>
        <w:placeholder>
          <w:docPart w:val="75C40ECBF62A4F75B70425CC74A72ABC"/>
        </w:placeholder>
      </w:sdtPr>
      <w:sdtEndPr>
        <w:rPr>
          <w:highlight w:val="none"/>
        </w:rPr>
      </w:sdtEndPr>
      <w:sdtContent>
        <w:p w14:paraId="3F5D00E7">
          <w:pPr>
            <w:pStyle w:val="184"/>
            <w:spacing w:before="240" w:beforeLines="100" w:after="528" w:afterLines="220"/>
            <w:rPr>
              <w:rFonts w:hint="eastAsia"/>
            </w:rPr>
          </w:pPr>
          <w:r>
            <w:rPr>
              <w:rFonts w:hint="eastAsia"/>
            </w:rPr>
            <w:t>单相交流标准电能表瞬联电气接口技术规范</w:t>
          </w:r>
        </w:p>
      </w:sdtContent>
    </w:sdt>
    <w:p w14:paraId="6DF875E2">
      <w:pPr>
        <w:pStyle w:val="111"/>
        <w:spacing w:before="240" w:after="240"/>
      </w:pPr>
      <w:bookmarkStart w:id="15" w:name="_Toc213850829"/>
      <w:r>
        <w:rPr>
          <w:rFonts w:hint="eastAsia"/>
        </w:rPr>
        <w:t>范围</w:t>
      </w:r>
      <w:bookmarkEnd w:id="15"/>
    </w:p>
    <w:p w14:paraId="6FCF4DD8">
      <w:pPr>
        <w:pStyle w:val="65"/>
        <w:ind w:firstLine="420"/>
      </w:pPr>
      <w:bookmarkStart w:id="16" w:name="_Hlk173136950"/>
      <w:r>
        <w:rPr>
          <w:rFonts w:hint="eastAsia"/>
        </w:rPr>
        <w:t>本文件规定了单相交流标准电能表（以下简称“标准表”）瞬联电气接口的规格和尺寸、技术要求及试验方法。</w:t>
      </w:r>
    </w:p>
    <w:bookmarkEnd w:id="16"/>
    <w:p w14:paraId="7EEA4349">
      <w:pPr>
        <w:pStyle w:val="65"/>
        <w:ind w:firstLine="420"/>
      </w:pPr>
      <w:r>
        <w:rPr>
          <w:rFonts w:hint="eastAsia"/>
        </w:rPr>
        <w:t>本文件</w:t>
      </w:r>
      <w:bookmarkStart w:id="17" w:name="_Hlk173137017"/>
      <w:r>
        <w:rPr>
          <w:rFonts w:hint="eastAsia"/>
        </w:rPr>
        <w:t>适用于最大电流不超过120 A、准确度等级0</w:t>
      </w:r>
      <w:r>
        <w:t>.02</w:t>
      </w:r>
      <w:r>
        <w:rPr>
          <w:rFonts w:hint="eastAsia"/>
        </w:rPr>
        <w:t>级及以下、在受控环境中使用的标准表瞬联电气接口的设计、制造</w:t>
      </w:r>
      <w:bookmarkEnd w:id="17"/>
      <w:r>
        <w:rPr>
          <w:rFonts w:hint="eastAsia"/>
          <w:color w:val="000000" w:themeColor="text1"/>
          <w14:textFill>
            <w14:solidFill>
              <w14:schemeClr w14:val="tx1"/>
            </w14:solidFill>
          </w14:textFill>
        </w:rPr>
        <w:t>、使用和验收</w:t>
      </w:r>
      <w:r>
        <w:rPr>
          <w:rFonts w:hint="eastAsia"/>
        </w:rPr>
        <w:t>。</w:t>
      </w:r>
    </w:p>
    <w:p w14:paraId="7C245668">
      <w:pPr>
        <w:pStyle w:val="186"/>
        <w:ind w:left="800"/>
      </w:pPr>
      <w:r>
        <w:rPr>
          <w:rFonts w:hint="eastAsia"/>
        </w:rPr>
        <w:t>受控的环境指有温度、湿度调节和（或）电磁屏蔽等措施的场所，通常包括实验室、生产车间等。</w:t>
      </w:r>
    </w:p>
    <w:p w14:paraId="1913BC9C">
      <w:pPr>
        <w:pStyle w:val="111"/>
        <w:spacing w:before="240" w:after="240"/>
      </w:pPr>
      <w:bookmarkStart w:id="18" w:name="_Toc213850830"/>
      <w:r>
        <w:rPr>
          <w:rFonts w:hint="eastAsia"/>
        </w:rPr>
        <w:t>规范性引用文件</w:t>
      </w:r>
      <w:bookmarkEnd w:id="18"/>
    </w:p>
    <w:sdt>
      <w:sdtPr>
        <w:rPr>
          <w:rFonts w:hint="eastAsia"/>
        </w:rPr>
        <w:id w:val="767897401"/>
        <w:placeholder>
          <w:docPart w:val="3FAC0F25FC8C43569B1190E3F880651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53764A5">
          <w:pPr>
            <w:pStyle w:val="6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91CDBB7">
      <w:pPr>
        <w:pStyle w:val="65"/>
        <w:ind w:firstLine="420"/>
      </w:pPr>
      <w:r>
        <w:rPr>
          <w:rFonts w:hint="eastAsia"/>
        </w:rPr>
        <w:t xml:space="preserve">GB/T 4026-2019 </w:t>
      </w:r>
      <w:r>
        <w:t>人机界面标志标识的基本和安全规则　设备端子、导体终端和导体的标识</w:t>
      </w:r>
    </w:p>
    <w:p w14:paraId="4325EA26">
      <w:pPr>
        <w:pStyle w:val="65"/>
        <w:ind w:firstLine="420"/>
        <w:rPr>
          <w:strike/>
        </w:rPr>
      </w:pPr>
      <w:r>
        <w:rPr>
          <w:rFonts w:hint="eastAsia"/>
        </w:rPr>
        <w:t>G</w:t>
      </w:r>
      <w:r>
        <w:t xml:space="preserve">B/T 4208-2017 </w:t>
      </w:r>
      <w:r>
        <w:rPr>
          <w:rFonts w:hint="eastAsia"/>
        </w:rPr>
        <w:t>外壳防护等级（I</w:t>
      </w:r>
      <w:r>
        <w:t>P</w:t>
      </w:r>
      <w:r>
        <w:rPr>
          <w:rFonts w:hint="eastAsia"/>
        </w:rPr>
        <w:t>代码）</w:t>
      </w:r>
    </w:p>
    <w:p w14:paraId="20949883">
      <w:pPr>
        <w:pStyle w:val="65"/>
        <w:ind w:firstLine="420"/>
      </w:pPr>
      <w:r>
        <w:t xml:space="preserve">GB/T 5169.11-2017 </w:t>
      </w:r>
      <w:r>
        <w:rPr>
          <w:rFonts w:hint="eastAsia"/>
        </w:rPr>
        <w:t>电工电子产品着火危险试验 第1</w:t>
      </w:r>
      <w:r>
        <w:t>1</w:t>
      </w:r>
      <w:r>
        <w:rPr>
          <w:rFonts w:hint="eastAsia"/>
        </w:rPr>
        <w:t>部分：灼热丝/热丝基本试验方法 成品的灼热丝可燃性试验方法（G</w:t>
      </w:r>
      <w:r>
        <w:t>WEPT</w:t>
      </w:r>
      <w:r>
        <w:rPr>
          <w:rFonts w:hint="eastAsia"/>
        </w:rPr>
        <w:t>）</w:t>
      </w:r>
    </w:p>
    <w:p w14:paraId="7FAB91DC">
      <w:pPr>
        <w:pStyle w:val="65"/>
        <w:ind w:firstLine="420"/>
      </w:pPr>
      <w:r>
        <w:rPr>
          <w:rFonts w:hint="eastAsia"/>
        </w:rPr>
        <w:t>GB/T 5465-2023 电气</w:t>
      </w:r>
      <w:r>
        <w:rPr>
          <w:rFonts w:hint="eastAsia"/>
          <w:b/>
          <w:bCs/>
        </w:rPr>
        <w:t>气</w:t>
      </w:r>
      <w:r>
        <w:rPr>
          <w:rFonts w:hint="eastAsia"/>
        </w:rPr>
        <w:t>设备用图形符号 第2部分：图形符号</w:t>
      </w:r>
    </w:p>
    <w:p w14:paraId="74078E91">
      <w:pPr>
        <w:pStyle w:val="65"/>
        <w:ind w:firstLine="420"/>
      </w:pPr>
      <w:r>
        <w:t xml:space="preserve">GB/T 17215.211-2021 </w:t>
      </w:r>
      <w:r>
        <w:rPr>
          <w:rFonts w:hint="eastAsia"/>
        </w:rPr>
        <w:t>电测量设备（交流）通用要求、试验和试验条件 第1</w:t>
      </w:r>
      <w:r>
        <w:t>1</w:t>
      </w:r>
      <w:r>
        <w:rPr>
          <w:rFonts w:hint="eastAsia"/>
        </w:rPr>
        <w:t>部分：测量设备</w:t>
      </w:r>
    </w:p>
    <w:p w14:paraId="60F5555F">
      <w:pPr>
        <w:pStyle w:val="65"/>
        <w:ind w:firstLine="420"/>
      </w:pPr>
      <w:r>
        <w:rPr>
          <w:rFonts w:hint="eastAsia"/>
        </w:rPr>
        <w:t>G</w:t>
      </w:r>
      <w:r>
        <w:t xml:space="preserve">B/T 17215.231-2021 </w:t>
      </w:r>
      <w:r>
        <w:rPr>
          <w:rFonts w:hint="eastAsia"/>
        </w:rPr>
        <w:t>电测量设备（交流）通用要求、试验和试验条件 第3</w:t>
      </w:r>
      <w:r>
        <w:t>1</w:t>
      </w:r>
      <w:r>
        <w:rPr>
          <w:rFonts w:hint="eastAsia"/>
        </w:rPr>
        <w:t>部分：产品安全要求和试验</w:t>
      </w:r>
    </w:p>
    <w:p w14:paraId="3ED911BA">
      <w:pPr>
        <w:pStyle w:val="65"/>
        <w:ind w:firstLine="420"/>
      </w:pPr>
      <w:r>
        <w:rPr>
          <w:rFonts w:hint="eastAsia"/>
        </w:rPr>
        <w:t>GB/T 19582.2-2008 基于Modbus协议的工业自动化网络规范 第2部分：Modbus协议在串行链路上的实现指南</w:t>
      </w:r>
    </w:p>
    <w:p w14:paraId="2889DBD9">
      <w:pPr>
        <w:pStyle w:val="65"/>
        <w:ind w:firstLine="420"/>
      </w:pPr>
      <w:r>
        <w:rPr>
          <w:rFonts w:hint="eastAsia"/>
        </w:rPr>
        <w:t>GB/T 43918-2024 交流标准电能表</w:t>
      </w:r>
    </w:p>
    <w:p w14:paraId="4BC3CE0D">
      <w:pPr>
        <w:pStyle w:val="111"/>
        <w:spacing w:before="240" w:after="240"/>
      </w:pPr>
      <w:bookmarkStart w:id="19" w:name="_Toc213850831"/>
      <w:r>
        <w:rPr>
          <w:rFonts w:hint="eastAsia"/>
          <w:szCs w:val="21"/>
        </w:rPr>
        <w:t>术语和定义</w:t>
      </w:r>
      <w:bookmarkEnd w:id="19"/>
    </w:p>
    <w:sdt>
      <w:sdtPr>
        <w:rPr>
          <w:rFonts w:hint="eastAsia"/>
        </w:rPr>
        <w:id w:val="-109594487"/>
        <w:placeholder>
          <w:docPart w:val="40A6B442C482456B8F790CD87694AB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31C4A7BC">
          <w:pPr>
            <w:pStyle w:val="65"/>
            <w:ind w:firstLine="420"/>
          </w:pPr>
          <w:r>
            <w:rPr>
              <w:rFonts w:hint="eastAsia"/>
            </w:rPr>
            <w:t>GB/T 43918-2024、GB/T 17215.211-2021界定的以及下列术语和定义适用于本文件。</w:t>
          </w:r>
        </w:p>
      </w:sdtContent>
    </w:sdt>
    <w:p w14:paraId="6063970F">
      <w:pPr>
        <w:pStyle w:val="112"/>
        <w:spacing w:before="120" w:after="120"/>
      </w:pPr>
      <w:bookmarkStart w:id="20" w:name="_Toc202270328"/>
      <w:bookmarkEnd w:id="20"/>
      <w:bookmarkStart w:id="21" w:name="_Toc184756160"/>
      <w:bookmarkEnd w:id="21"/>
      <w:bookmarkStart w:id="22" w:name="_Toc198560552"/>
      <w:bookmarkEnd w:id="22"/>
      <w:bookmarkStart w:id="23" w:name="_Toc213850832"/>
      <w:bookmarkEnd w:id="23"/>
      <w:bookmarkStart w:id="24" w:name="_Toc202270532"/>
      <w:bookmarkEnd w:id="24"/>
    </w:p>
    <w:p w14:paraId="67A70A64">
      <w:pPr>
        <w:pStyle w:val="65"/>
        <w:ind w:firstLine="420"/>
        <w:rPr>
          <w:rFonts w:hint="eastAsia" w:ascii="黑体" w:hAnsi="黑体" w:eastAsia="黑体"/>
        </w:rPr>
      </w:pPr>
      <w:r>
        <w:rPr>
          <w:rFonts w:hint="eastAsia" w:ascii="黑体" w:hAnsi="黑体" w:eastAsia="黑体"/>
        </w:rPr>
        <w:t>交流标准电能表 standard</w:t>
      </w:r>
      <w:r>
        <w:rPr>
          <w:rFonts w:ascii="黑体" w:hAnsi="黑体" w:eastAsia="黑体"/>
        </w:rPr>
        <w:t xml:space="preserve"> meter for AC electrical energy</w:t>
      </w:r>
    </w:p>
    <w:p w14:paraId="0E468668">
      <w:pPr>
        <w:pStyle w:val="65"/>
        <w:ind w:firstLine="420"/>
      </w:pPr>
      <w:r>
        <w:rPr>
          <w:rFonts w:hint="eastAsia"/>
        </w:rPr>
        <w:t>设计并工作在交流系统中、在受控的实验室环境中使用，以获得最高准确度和稳定度，并溯源到国</w:t>
      </w:r>
    </w:p>
    <w:p w14:paraId="429F02B9">
      <w:pPr>
        <w:pStyle w:val="65"/>
        <w:ind w:firstLine="420"/>
      </w:pPr>
      <w:r>
        <w:rPr>
          <w:rFonts w:hint="eastAsia"/>
        </w:rPr>
        <w:t>家或国际基准，用于测最电能单位和功率单位的仪表。</w:t>
      </w:r>
    </w:p>
    <w:p w14:paraId="69383CDC">
      <w:pPr>
        <w:pStyle w:val="65"/>
        <w:ind w:firstLine="420"/>
      </w:pPr>
      <w:r>
        <w:rPr>
          <w:rFonts w:hint="eastAsia"/>
        </w:rPr>
        <w:t>[来源：GB/T 43918-2024，3.2]</w:t>
      </w:r>
    </w:p>
    <w:p w14:paraId="2D83B2F8">
      <w:pPr>
        <w:pStyle w:val="112"/>
        <w:spacing w:before="120" w:after="120"/>
      </w:pPr>
      <w:bookmarkStart w:id="25" w:name="_Toc213850833"/>
      <w:bookmarkEnd w:id="25"/>
      <w:bookmarkStart w:id="26" w:name="_Toc202270533"/>
      <w:bookmarkEnd w:id="26"/>
      <w:bookmarkStart w:id="27" w:name="_Toc198560553"/>
      <w:bookmarkEnd w:id="27"/>
      <w:bookmarkStart w:id="28" w:name="_Toc184756161"/>
      <w:bookmarkEnd w:id="28"/>
      <w:bookmarkStart w:id="29" w:name="_Toc202270329"/>
      <w:bookmarkEnd w:id="29"/>
    </w:p>
    <w:p w14:paraId="30758EEA">
      <w:pPr>
        <w:pStyle w:val="65"/>
        <w:ind w:firstLine="420"/>
      </w:pPr>
      <w:r>
        <w:rPr>
          <w:rFonts w:hint="eastAsia" w:ascii="黑体" w:hAnsi="黑体" w:eastAsia="黑体"/>
        </w:rPr>
        <w:t xml:space="preserve">电气接口 </w:t>
      </w:r>
      <w:r>
        <w:rPr>
          <w:rFonts w:ascii="黑体" w:hAnsi="黑体" w:eastAsia="黑体"/>
        </w:rPr>
        <w:t>electrical interface</w:t>
      </w:r>
      <w:r>
        <w:rPr>
          <w:rFonts w:hint="eastAsia" w:ascii="黑体" w:hAnsi="黑体" w:eastAsia="黑体"/>
        </w:rPr>
        <w:t xml:space="preserve">  </w:t>
      </w:r>
    </w:p>
    <w:p w14:paraId="28F8710A">
      <w:pPr>
        <w:pStyle w:val="65"/>
        <w:ind w:firstLine="420"/>
      </w:pPr>
      <w:r>
        <w:rPr>
          <w:rFonts w:hint="eastAsia"/>
        </w:rPr>
        <w:t>标准表与其他设备、电路或网络之间的连接口，以端子或端口的物理形态，实现相互之间的电能传输、数据传输和信号控制等功能。</w:t>
      </w:r>
    </w:p>
    <w:p w14:paraId="5E1551CA">
      <w:pPr>
        <w:pStyle w:val="186"/>
      </w:pPr>
      <w:r>
        <w:rPr>
          <w:rFonts w:hint="eastAsia"/>
        </w:rPr>
        <w:t>标准表的电气接口一般包括辅助电源接口、电压测量接口、电流测量接口、通信接口、脉冲输入\输出接口、接地端子等。</w:t>
      </w:r>
    </w:p>
    <w:p w14:paraId="72EFA552">
      <w:pPr>
        <w:pStyle w:val="65"/>
        <w:ind w:firstLine="420"/>
      </w:pPr>
      <w:r>
        <w:rPr>
          <w:rFonts w:hint="eastAsia"/>
        </w:rPr>
        <w:t>[来源：</w:t>
      </w:r>
      <w:r>
        <w:t>GB_T43210.1-2023</w:t>
      </w:r>
      <w:r>
        <w:rPr>
          <w:rFonts w:hint="eastAsia"/>
        </w:rPr>
        <w:t>，</w:t>
      </w:r>
      <w:r>
        <w:rPr>
          <w:rFonts w:hint="eastAsia"/>
          <w:color w:val="000000" w:themeColor="text1"/>
          <w14:textFill>
            <w14:solidFill>
              <w14:schemeClr w14:val="tx1"/>
            </w14:solidFill>
          </w14:textFill>
        </w:rPr>
        <w:t>3.1.3，</w:t>
      </w:r>
      <w:r>
        <w:rPr>
          <w:rFonts w:hint="eastAsia"/>
        </w:rPr>
        <w:t>有修改</w:t>
      </w:r>
      <w:r>
        <w:t>]</w:t>
      </w:r>
    </w:p>
    <w:p w14:paraId="6EA62D0D">
      <w:pPr>
        <w:pStyle w:val="65"/>
        <w:ind w:firstLine="420"/>
      </w:pPr>
    </w:p>
    <w:p w14:paraId="781B4C12">
      <w:pPr>
        <w:pStyle w:val="65"/>
        <w:ind w:firstLine="420"/>
      </w:pPr>
    </w:p>
    <w:p w14:paraId="4A425496">
      <w:pPr>
        <w:pStyle w:val="112"/>
        <w:spacing w:before="120" w:after="120"/>
      </w:pPr>
      <w:bookmarkStart w:id="30" w:name="_Toc202270534"/>
      <w:bookmarkEnd w:id="30"/>
      <w:bookmarkStart w:id="31" w:name="_Toc213850834"/>
      <w:bookmarkEnd w:id="31"/>
      <w:bookmarkStart w:id="32" w:name="_Toc202270330"/>
      <w:bookmarkEnd w:id="32"/>
      <w:bookmarkStart w:id="33" w:name="_Toc198560554"/>
      <w:bookmarkEnd w:id="33"/>
    </w:p>
    <w:p w14:paraId="6DB3D6AE">
      <w:pPr>
        <w:pStyle w:val="65"/>
        <w:ind w:firstLine="420"/>
      </w:pPr>
      <w:r>
        <w:rPr>
          <w:rFonts w:hint="eastAsia" w:ascii="黑体" w:hAnsi="黑体" w:eastAsia="黑体"/>
        </w:rPr>
        <w:t>瞬联电气接口 i</w:t>
      </w:r>
      <w:r>
        <w:rPr>
          <w:rFonts w:ascii="黑体" w:hAnsi="黑体" w:eastAsia="黑体"/>
        </w:rPr>
        <w:t>nstant connection</w:t>
      </w:r>
      <w:r>
        <w:rPr>
          <w:rFonts w:hint="eastAsia" w:ascii="黑体" w:hAnsi="黑体" w:eastAsia="黑体"/>
        </w:rPr>
        <w:t xml:space="preserve"> </w:t>
      </w:r>
      <w:r>
        <w:rPr>
          <w:rFonts w:ascii="黑体" w:hAnsi="黑体" w:eastAsia="黑体"/>
        </w:rPr>
        <w:t>electrical interface</w:t>
      </w:r>
      <w:r>
        <w:rPr>
          <w:rFonts w:hint="eastAsia" w:ascii="黑体" w:hAnsi="黑体" w:eastAsia="黑体"/>
        </w:rPr>
        <w:t xml:space="preserve">  </w:t>
      </w:r>
    </w:p>
    <w:p w14:paraId="273FC966">
      <w:pPr>
        <w:pStyle w:val="65"/>
        <w:ind w:firstLine="420"/>
      </w:pPr>
      <w:r>
        <w:rPr>
          <w:rFonts w:hint="eastAsia"/>
        </w:rPr>
        <w:t>采用标准化总成的电气接口形式，实现标准表与检定装置快速对接，且保证不同设备之间的兼容性和互换性。</w:t>
      </w:r>
    </w:p>
    <w:p w14:paraId="551E0F04">
      <w:pPr>
        <w:pStyle w:val="186"/>
      </w:pPr>
      <w:r>
        <w:rPr>
          <w:rFonts w:hint="eastAsia"/>
        </w:rPr>
        <w:t>标准表的瞬联电气接口是将包括辅助电源接口、电压测量接口、电流测量接口、通信接口、脉冲输入\输出接口、接地端子等，按照强弱电分离的原则，进行分类总成形成的标准化电气接口，实现标准表与检定装置的自动对接。</w:t>
      </w:r>
    </w:p>
    <w:p w14:paraId="7D32F8CC">
      <w:pPr>
        <w:pStyle w:val="112"/>
        <w:spacing w:before="120" w:after="120"/>
      </w:pPr>
      <w:bookmarkStart w:id="34" w:name="_Toc202270535"/>
      <w:bookmarkEnd w:id="34"/>
      <w:bookmarkStart w:id="35" w:name="_Toc202270331"/>
      <w:bookmarkEnd w:id="35"/>
      <w:bookmarkStart w:id="36" w:name="_Toc184756162"/>
      <w:bookmarkEnd w:id="36"/>
      <w:bookmarkStart w:id="37" w:name="_Toc213850835"/>
      <w:bookmarkEnd w:id="37"/>
      <w:bookmarkStart w:id="38" w:name="_Toc198560555"/>
      <w:bookmarkEnd w:id="38"/>
    </w:p>
    <w:p w14:paraId="277F9CFA">
      <w:pPr>
        <w:pStyle w:val="65"/>
        <w:ind w:firstLine="420"/>
        <w:rPr>
          <w:rFonts w:hint="eastAsia" w:ascii="黑体" w:hAnsi="黑体" w:eastAsia="黑体"/>
        </w:rPr>
      </w:pPr>
      <w:r>
        <w:rPr>
          <w:rFonts w:hint="eastAsia" w:ascii="黑体" w:hAnsi="黑体" w:eastAsia="黑体"/>
        </w:rPr>
        <w:t>辅助电源接口 au</w:t>
      </w:r>
      <w:r>
        <w:rPr>
          <w:rFonts w:ascii="黑体" w:hAnsi="黑体" w:eastAsia="黑体"/>
        </w:rPr>
        <w:t>xiliary power supply interface</w:t>
      </w:r>
    </w:p>
    <w:p w14:paraId="65B5E7D4">
      <w:pPr>
        <w:pStyle w:val="65"/>
        <w:ind w:firstLine="420"/>
      </w:pPr>
      <w:r>
        <w:rPr>
          <w:rFonts w:hint="eastAsia"/>
        </w:rPr>
        <w:t>标准表辅助电源电路的端子。</w:t>
      </w:r>
    </w:p>
    <w:p w14:paraId="0E8B9506">
      <w:pPr>
        <w:pStyle w:val="65"/>
        <w:ind w:firstLine="420"/>
      </w:pPr>
      <w:r>
        <w:rPr>
          <w:rFonts w:hint="eastAsia"/>
        </w:rPr>
        <w:t>[来源：</w:t>
      </w:r>
      <w:r>
        <w:t>GB/T 17215.211-2021</w:t>
      </w:r>
      <w:r>
        <w:rPr>
          <w:rFonts w:hint="eastAsia"/>
        </w:rPr>
        <w:t>,3</w:t>
      </w:r>
      <w:r>
        <w:t>.3.4</w:t>
      </w:r>
      <w:r>
        <w:rPr>
          <w:rFonts w:hint="eastAsia"/>
        </w:rPr>
        <w:t>，有修改</w:t>
      </w:r>
      <w:r>
        <w:t>]</w:t>
      </w:r>
    </w:p>
    <w:p w14:paraId="1BE0B4F7">
      <w:pPr>
        <w:pStyle w:val="112"/>
        <w:spacing w:before="120" w:after="120"/>
      </w:pPr>
      <w:bookmarkStart w:id="39" w:name="_Toc202270536"/>
      <w:bookmarkEnd w:id="39"/>
      <w:bookmarkStart w:id="40" w:name="_Toc213850836"/>
      <w:bookmarkEnd w:id="40"/>
      <w:bookmarkStart w:id="41" w:name="_Toc184756163"/>
      <w:bookmarkEnd w:id="41"/>
      <w:bookmarkStart w:id="42" w:name="_Toc202270332"/>
      <w:bookmarkEnd w:id="42"/>
      <w:bookmarkStart w:id="43" w:name="_Toc198560556"/>
      <w:bookmarkEnd w:id="43"/>
    </w:p>
    <w:p w14:paraId="168B1A89">
      <w:pPr>
        <w:pStyle w:val="65"/>
        <w:ind w:firstLine="420"/>
        <w:rPr>
          <w:rFonts w:hint="eastAsia" w:ascii="黑体" w:hAnsi="黑体" w:eastAsia="黑体"/>
        </w:rPr>
      </w:pPr>
      <w:r>
        <w:rPr>
          <w:rFonts w:hint="eastAsia" w:ascii="黑体" w:hAnsi="黑体" w:eastAsia="黑体"/>
        </w:rPr>
        <w:t>H</w:t>
      </w:r>
      <w:r>
        <w:rPr>
          <w:rFonts w:ascii="黑体" w:hAnsi="黑体" w:eastAsia="黑体"/>
        </w:rPr>
        <w:t>LV</w:t>
      </w:r>
      <w:r>
        <w:rPr>
          <w:rFonts w:hint="eastAsia" w:ascii="黑体" w:hAnsi="黑体" w:eastAsia="黑体"/>
        </w:rPr>
        <w:t xml:space="preserve">信号接口 </w:t>
      </w:r>
      <w:r>
        <w:rPr>
          <w:rFonts w:ascii="黑体" w:hAnsi="黑体" w:eastAsia="黑体"/>
        </w:rPr>
        <w:t xml:space="preserve">HLV </w:t>
      </w:r>
      <w:r>
        <w:rPr>
          <w:rFonts w:hint="eastAsia" w:ascii="黑体" w:hAnsi="黑体" w:eastAsia="黑体"/>
        </w:rPr>
        <w:t>si</w:t>
      </w:r>
      <w:r>
        <w:rPr>
          <w:rFonts w:ascii="黑体" w:hAnsi="黑体" w:eastAsia="黑体"/>
        </w:rPr>
        <w:t>gnal interface</w:t>
      </w:r>
    </w:p>
    <w:p w14:paraId="7185B316">
      <w:pPr>
        <w:pStyle w:val="65"/>
        <w:ind w:firstLine="420"/>
      </w:pPr>
      <w:r>
        <w:rPr>
          <w:rFonts w:hint="eastAsia"/>
        </w:rPr>
        <w:t>电压标称值被视为危险带电的、辅助输入或输出电路和其他非电网电源辅助电路的端子。</w:t>
      </w:r>
    </w:p>
    <w:p w14:paraId="31345179">
      <w:pPr>
        <w:pStyle w:val="186"/>
        <w:ind w:left="800"/>
      </w:pPr>
      <w:bookmarkStart w:id="44" w:name="_Hlk198561607"/>
      <w:r>
        <w:rPr>
          <w:rFonts w:hint="eastAsia"/>
        </w:rPr>
        <w:t>HLV(危险低电压</w:t>
      </w:r>
      <w:bookmarkEnd w:id="44"/>
      <w:r>
        <w:rPr>
          <w:rFonts w:hint="eastAsia"/>
        </w:rPr>
        <w:t>，Ha</w:t>
      </w:r>
      <w:r>
        <w:t>zardous low voltage</w:t>
      </w:r>
      <w:r>
        <w:rPr>
          <w:rFonts w:hint="eastAsia"/>
        </w:rPr>
        <w:t>)符合I</w:t>
      </w:r>
      <w:r>
        <w:t>EC 62052-31</w:t>
      </w:r>
      <w:r>
        <w:rPr>
          <w:rFonts w:hint="eastAsia"/>
        </w:rPr>
        <w:t>:2</w:t>
      </w:r>
      <w:r>
        <w:t>015</w:t>
      </w:r>
      <w:r>
        <w:rPr>
          <w:rFonts w:hint="eastAsia"/>
        </w:rPr>
        <w:t>中6</w:t>
      </w:r>
      <w:r>
        <w:t>.3.2</w:t>
      </w:r>
      <w:r>
        <w:rPr>
          <w:rFonts w:hint="eastAsia"/>
        </w:rPr>
        <w:t>规定的信号值视为危险带电。</w:t>
      </w:r>
    </w:p>
    <w:p w14:paraId="3F2659D0">
      <w:pPr>
        <w:pStyle w:val="65"/>
        <w:ind w:firstLine="420"/>
      </w:pPr>
      <w:r>
        <w:rPr>
          <w:rFonts w:hint="eastAsia"/>
        </w:rPr>
        <w:t>[来源：</w:t>
      </w:r>
      <w:r>
        <w:t>GB/T 17215.211-2021</w:t>
      </w:r>
      <w:r>
        <w:rPr>
          <w:rFonts w:hint="eastAsia"/>
        </w:rPr>
        <w:t>,3</w:t>
      </w:r>
      <w:r>
        <w:t>.3.5]</w:t>
      </w:r>
    </w:p>
    <w:p w14:paraId="3D5045A6">
      <w:pPr>
        <w:pStyle w:val="111"/>
        <w:spacing w:before="240" w:after="240"/>
      </w:pPr>
      <w:bookmarkStart w:id="45" w:name="_Toc202270333"/>
      <w:bookmarkEnd w:id="45"/>
      <w:bookmarkStart w:id="46" w:name="_Toc202270537"/>
      <w:bookmarkEnd w:id="46"/>
      <w:bookmarkStart w:id="47" w:name="_Toc184756164"/>
      <w:bookmarkEnd w:id="47"/>
      <w:bookmarkStart w:id="48" w:name="_Toc198560557"/>
      <w:bookmarkEnd w:id="48"/>
      <w:bookmarkStart w:id="49" w:name="_Toc213850837"/>
      <w:bookmarkStart w:id="50" w:name="_Hlk174780012"/>
      <w:r>
        <w:rPr>
          <w:rFonts w:hint="eastAsia"/>
        </w:rPr>
        <w:t>缩略语</w:t>
      </w:r>
      <w:bookmarkEnd w:id="49"/>
    </w:p>
    <w:p w14:paraId="4B8CB6EA">
      <w:pPr>
        <w:pStyle w:val="65"/>
        <w:ind w:firstLine="420"/>
      </w:pPr>
      <w:r>
        <w:rPr>
          <w:rFonts w:hint="eastAsia"/>
        </w:rPr>
        <w:t>下列缩略语适用于本文件。</w:t>
      </w:r>
    </w:p>
    <w:p w14:paraId="7051FF07">
      <w:pPr>
        <w:pStyle w:val="65"/>
        <w:ind w:firstLine="420"/>
      </w:pPr>
      <w:r>
        <w:t>RTU</w:t>
      </w:r>
      <w:r>
        <w:rPr>
          <w:rFonts w:hint="eastAsia"/>
        </w:rPr>
        <w:t>：远程终端单元 (Remote Terminal Unit)</w:t>
      </w:r>
    </w:p>
    <w:p w14:paraId="14B1AF73">
      <w:pPr>
        <w:pStyle w:val="65"/>
        <w:ind w:firstLine="420"/>
      </w:pPr>
      <w:r>
        <w:t>MODBUS</w:t>
      </w:r>
      <w:r>
        <w:rPr>
          <w:rFonts w:hint="eastAsia"/>
        </w:rPr>
        <w:t>：莫迪康总线（Modicon Bus）</w:t>
      </w:r>
    </w:p>
    <w:p w14:paraId="7FA484A6">
      <w:pPr>
        <w:pStyle w:val="65"/>
        <w:ind w:firstLine="420"/>
      </w:pPr>
      <w:r>
        <w:t>CRC</w:t>
      </w:r>
      <w:r>
        <w:rPr>
          <w:rFonts w:hint="eastAsia"/>
        </w:rPr>
        <w:t>：循环冗余校验（Cyclic redundancy check）</w:t>
      </w:r>
    </w:p>
    <w:p w14:paraId="6581C525">
      <w:pPr>
        <w:pStyle w:val="65"/>
        <w:ind w:firstLine="420"/>
      </w:pPr>
      <w:r>
        <w:rPr>
          <w:rFonts w:hint="eastAsia"/>
        </w:rPr>
        <w:t>RXD：接收数据（Receive Data ）</w:t>
      </w:r>
    </w:p>
    <w:p w14:paraId="3E750B8F">
      <w:pPr>
        <w:pStyle w:val="65"/>
        <w:ind w:firstLine="420"/>
      </w:pPr>
      <w:r>
        <w:rPr>
          <w:rFonts w:hint="eastAsia"/>
        </w:rPr>
        <w:t>TXD: 发送数据（Transmit Data）</w:t>
      </w:r>
    </w:p>
    <w:p w14:paraId="2B49551A">
      <w:pPr>
        <w:pStyle w:val="111"/>
        <w:spacing w:before="240" w:after="240"/>
      </w:pPr>
      <w:bookmarkStart w:id="51" w:name="_Toc213850838"/>
      <w:r>
        <w:rPr>
          <w:rFonts w:hint="eastAsia"/>
        </w:rPr>
        <w:t>规格和尺寸</w:t>
      </w:r>
      <w:bookmarkEnd w:id="51"/>
    </w:p>
    <w:p w14:paraId="37528C5B">
      <w:pPr>
        <w:pStyle w:val="112"/>
        <w:spacing w:before="120" w:after="120"/>
      </w:pPr>
      <w:bookmarkStart w:id="52" w:name="_Toc213850839"/>
      <w:r>
        <w:rPr>
          <w:rFonts w:hint="eastAsia"/>
        </w:rPr>
        <w:t>通用要求</w:t>
      </w:r>
      <w:bookmarkEnd w:id="52"/>
    </w:p>
    <w:p w14:paraId="74DF4497">
      <w:pPr>
        <w:pStyle w:val="65"/>
        <w:ind w:firstLine="420"/>
      </w:pPr>
      <w:r>
        <w:rPr>
          <w:rFonts w:hint="eastAsia"/>
        </w:rPr>
        <w:t>标准表瞬联电气接口使用的端子应采用标准化的端子形式，瞬联接口的布局，应满足标准表与检定装置之间实现快速对接的要求，以及与其它不同设备之间的兼容性和互换性的要求，瞬联电气接口的布局见附录A。</w:t>
      </w:r>
    </w:p>
    <w:p w14:paraId="34574446">
      <w:pPr>
        <w:pStyle w:val="186"/>
        <w:ind w:left="800"/>
      </w:pPr>
      <w:r>
        <w:rPr>
          <w:rFonts w:hint="eastAsia"/>
        </w:rPr>
        <w:t>标准表背面板应具有本文件规定的电气接口，其它常规的电气接线端子可自行定义。</w:t>
      </w:r>
    </w:p>
    <w:p w14:paraId="12E30F2B">
      <w:pPr>
        <w:pStyle w:val="112"/>
        <w:spacing w:before="120" w:after="120"/>
      </w:pPr>
      <w:bookmarkStart w:id="53" w:name="_Toc213850840"/>
      <w:r>
        <w:rPr>
          <w:rFonts w:hint="eastAsia"/>
        </w:rPr>
        <w:t>电流测量接口</w:t>
      </w:r>
      <w:bookmarkEnd w:id="53"/>
    </w:p>
    <w:p w14:paraId="2BC9A104">
      <w:pPr>
        <w:pStyle w:val="65"/>
        <w:ind w:firstLine="420"/>
      </w:pPr>
      <w:r>
        <w:rPr>
          <w:rFonts w:hint="eastAsia"/>
        </w:rPr>
        <w:t>电流测量接口应采用埋放式端子，端子的尺寸应与图1 结构相符合，电流端子的定义见附录A。</w:t>
      </w:r>
    </w:p>
    <w:p w14:paraId="7132D95D">
      <w:pPr>
        <w:pStyle w:val="65"/>
        <w:ind w:firstLine="420"/>
        <w:rPr>
          <w:sz w:val="15"/>
          <w:szCs w:val="15"/>
        </w:rPr>
      </w:pPr>
      <w:r>
        <w:rPr>
          <w:rFonts w:hint="eastAsia"/>
        </w:rPr>
        <w:t xml:space="preserve">                                                                         </w:t>
      </w:r>
    </w:p>
    <w:p w14:paraId="46C9A67E">
      <w:pPr>
        <w:pStyle w:val="65"/>
        <w:ind w:firstLine="420"/>
        <w:jc w:val="center"/>
      </w:pPr>
      <w:r>
        <w:drawing>
          <wp:inline distT="0" distB="0" distL="0" distR="0">
            <wp:extent cx="3239135" cy="1419225"/>
            <wp:effectExtent l="0" t="0" r="0" b="9525"/>
            <wp:docPr id="15424750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7503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51681" cy="1424913"/>
                    </a:xfrm>
                    <a:prstGeom prst="rect">
                      <a:avLst/>
                    </a:prstGeom>
                    <a:noFill/>
                    <a:ln>
                      <a:noFill/>
                    </a:ln>
                  </pic:spPr>
                </pic:pic>
              </a:graphicData>
            </a:graphic>
          </wp:inline>
        </w:drawing>
      </w:r>
    </w:p>
    <w:p w14:paraId="41050438">
      <w:pPr>
        <w:pStyle w:val="65"/>
        <w:ind w:firstLine="420"/>
      </w:pPr>
      <w:r>
        <w:rPr>
          <w:rFonts w:hint="eastAsia"/>
        </w:rPr>
        <w:t>图示说明：</w:t>
      </w:r>
    </w:p>
    <w:p w14:paraId="787FA704">
      <w:pPr>
        <w:pStyle w:val="65"/>
        <w:ind w:firstLine="450" w:firstLineChars="300"/>
        <w:rPr>
          <w:sz w:val="15"/>
          <w:szCs w:val="15"/>
        </w:rPr>
      </w:pPr>
      <w:r>
        <w:rPr>
          <w:rFonts w:hint="eastAsia"/>
          <w:sz w:val="15"/>
          <w:szCs w:val="15"/>
        </w:rPr>
        <w:t>--A：前端视角</w:t>
      </w:r>
    </w:p>
    <w:p w14:paraId="54373A04">
      <w:pPr>
        <w:pStyle w:val="65"/>
        <w:ind w:firstLine="450" w:firstLineChars="300"/>
        <w:rPr>
          <w:sz w:val="15"/>
          <w:szCs w:val="15"/>
        </w:rPr>
      </w:pPr>
      <w:r>
        <w:rPr>
          <w:rFonts w:hint="eastAsia"/>
          <w:sz w:val="15"/>
          <w:szCs w:val="15"/>
        </w:rPr>
        <w:t>--B：侧面视角</w:t>
      </w:r>
    </w:p>
    <w:p w14:paraId="65B98524">
      <w:pPr>
        <w:pStyle w:val="65"/>
        <w:ind w:firstLine="450" w:firstLineChars="300"/>
      </w:pPr>
      <w:r>
        <w:rPr>
          <w:rFonts w:hint="eastAsia"/>
          <w:sz w:val="15"/>
          <w:szCs w:val="15"/>
        </w:rPr>
        <w:t>--C：后端视角</w:t>
      </w:r>
    </w:p>
    <w:p w14:paraId="1935A02E">
      <w:pPr>
        <w:pStyle w:val="65"/>
        <w:ind w:firstLine="450" w:firstLineChars="300"/>
      </w:pPr>
      <w:r>
        <w:rPr>
          <w:rFonts w:hint="eastAsia"/>
          <w:sz w:val="15"/>
          <w:szCs w:val="15"/>
        </w:rPr>
        <w:t>--M18*1.5：外直径16 mm，螺距1.5 mm</w:t>
      </w:r>
    </w:p>
    <w:p w14:paraId="394EBFFB">
      <w:pPr>
        <w:pStyle w:val="65"/>
        <w:ind w:firstLine="450" w:firstLineChars="300"/>
        <w:rPr>
          <w:sz w:val="15"/>
          <w:szCs w:val="15"/>
        </w:rPr>
      </w:pPr>
      <w:r>
        <w:rPr>
          <w:rFonts w:hint="eastAsia"/>
          <w:sz w:val="15"/>
          <w:szCs w:val="15"/>
        </w:rPr>
        <w:t>--M6：后端金属导体螺柱直径6 mm</w:t>
      </w:r>
    </w:p>
    <w:p w14:paraId="1D27CDA9">
      <w:pPr>
        <w:pStyle w:val="65"/>
        <w:ind w:firstLine="450" w:firstLineChars="300"/>
        <w:rPr>
          <w:sz w:val="15"/>
          <w:szCs w:val="15"/>
        </w:rPr>
      </w:pPr>
      <w:r>
        <w:rPr>
          <w:rFonts w:hint="eastAsia"/>
          <w:sz w:val="15"/>
          <w:szCs w:val="15"/>
        </w:rPr>
        <w:t>--</w:t>
      </w:r>
      <w:r>
        <w:rPr>
          <w:rFonts w:ascii="Times New Roman"/>
          <w:sz w:val="15"/>
          <w:szCs w:val="15"/>
        </w:rPr>
        <w:t>Φ</w:t>
      </w:r>
      <w:r>
        <w:rPr>
          <w:rFonts w:hint="eastAsia"/>
          <w:sz w:val="15"/>
          <w:szCs w:val="15"/>
        </w:rPr>
        <w:t>22：前端直径22 mm</w:t>
      </w:r>
    </w:p>
    <w:p w14:paraId="1B099F31">
      <w:pPr>
        <w:pStyle w:val="65"/>
        <w:ind w:firstLine="420"/>
        <w:jc w:val="center"/>
      </w:pPr>
      <w:r>
        <w:rPr>
          <w:rFonts w:hint="eastAsia" w:ascii="黑体" w:hAnsi="黑体" w:eastAsia="黑体"/>
        </w:rPr>
        <w:t>图1 120 A电流测量接口的端子尺寸</w:t>
      </w:r>
      <w:r>
        <w:rPr>
          <w:rFonts w:hint="eastAsia"/>
        </w:rPr>
        <w:t xml:space="preserve">   </w:t>
      </w:r>
    </w:p>
    <w:p w14:paraId="5B2CE9A0">
      <w:pPr>
        <w:pStyle w:val="65"/>
        <w:ind w:firstLine="420"/>
        <w:jc w:val="center"/>
      </w:pPr>
    </w:p>
    <w:p w14:paraId="650B7C42">
      <w:pPr>
        <w:pStyle w:val="112"/>
        <w:spacing w:before="120" w:after="120"/>
      </w:pPr>
      <w:bookmarkStart w:id="54" w:name="_Toc213850841"/>
      <w:r>
        <w:rPr>
          <w:rFonts w:hint="eastAsia"/>
        </w:rPr>
        <w:t>电压测量接口和辅助电源接口</w:t>
      </w:r>
      <w:bookmarkEnd w:id="54"/>
    </w:p>
    <w:p w14:paraId="04AAE7B7">
      <w:pPr>
        <w:pStyle w:val="65"/>
        <w:ind w:firstLine="420"/>
      </w:pPr>
      <w:r>
        <w:rPr>
          <w:rFonts w:hint="eastAsia"/>
        </w:rPr>
        <w:t>电压测量接口和辅助电源接口的端子应采用：</w:t>
      </w:r>
    </w:p>
    <w:p w14:paraId="2B881500">
      <w:pPr>
        <w:pStyle w:val="65"/>
        <w:ind w:firstLine="420"/>
      </w:pPr>
      <w:r>
        <w:rPr>
          <w:rFonts w:hint="eastAsia"/>
        </w:rPr>
        <w:t>——单排8Pin脚的端子；</w:t>
      </w:r>
    </w:p>
    <w:p w14:paraId="1E9A5959">
      <w:pPr>
        <w:pStyle w:val="65"/>
        <w:ind w:firstLine="420"/>
      </w:pPr>
      <w:r>
        <w:rPr>
          <w:rFonts w:hint="eastAsia"/>
        </w:rPr>
        <w:t>——Pin脚之间的间距为10.16 mm;</w:t>
      </w:r>
    </w:p>
    <w:p w14:paraId="22627597">
      <w:pPr>
        <w:pStyle w:val="65"/>
        <w:ind w:firstLine="420"/>
      </w:pPr>
      <w:r>
        <w:rPr>
          <w:rFonts w:hint="eastAsia"/>
        </w:rPr>
        <w:t>——端子的尺寸应与图2的结构相符合。</w:t>
      </w:r>
    </w:p>
    <w:p w14:paraId="3645D58F">
      <w:pPr>
        <w:pStyle w:val="65"/>
        <w:ind w:firstLine="420"/>
      </w:pPr>
      <w:r>
        <w:rPr>
          <w:rFonts w:hint="eastAsia"/>
        </w:rPr>
        <w:t>电压测量接口和辅助电源接口定义见附录A。</w:t>
      </w:r>
    </w:p>
    <w:p w14:paraId="301E8F2A">
      <w:pPr>
        <w:pStyle w:val="65"/>
        <w:ind w:firstLine="420"/>
      </w:pPr>
      <w:r>
        <w:rPr>
          <w:rFonts w:ascii="黑体" w:hAnsi="黑体" w:eastAsia="黑体"/>
        </w:rPr>
        <w:drawing>
          <wp:anchor distT="0" distB="0" distL="114300" distR="114300" simplePos="0" relativeHeight="251661312" behindDoc="1" locked="0" layoutInCell="1" allowOverlap="1">
            <wp:simplePos x="0" y="0"/>
            <wp:positionH relativeFrom="margin">
              <wp:posOffset>699135</wp:posOffset>
            </wp:positionH>
            <wp:positionV relativeFrom="paragraph">
              <wp:posOffset>178435</wp:posOffset>
            </wp:positionV>
            <wp:extent cx="4642485" cy="2099945"/>
            <wp:effectExtent l="0" t="0" r="5715" b="0"/>
            <wp:wrapTopAndBottom/>
            <wp:docPr id="2006029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29741"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2485" cy="2099945"/>
                    </a:xfrm>
                    <a:prstGeom prst="rect">
                      <a:avLst/>
                    </a:prstGeom>
                    <a:noFill/>
                    <a:ln>
                      <a:noFill/>
                    </a:ln>
                  </pic:spPr>
                </pic:pic>
              </a:graphicData>
            </a:graphic>
          </wp:anchor>
        </w:drawing>
      </w:r>
      <w:r>
        <w:rPr>
          <w:rFonts w:hint="eastAsia"/>
        </w:rPr>
        <w:t xml:space="preserve">                                                                    </w:t>
      </w:r>
      <w:r>
        <w:rPr>
          <w:rFonts w:hint="eastAsia"/>
          <w:sz w:val="15"/>
          <w:szCs w:val="15"/>
        </w:rPr>
        <w:t>单位：mm</w:t>
      </w:r>
    </w:p>
    <w:p w14:paraId="1F670B49">
      <w:pPr>
        <w:pStyle w:val="65"/>
        <w:ind w:firstLine="420"/>
        <w:jc w:val="center"/>
        <w:rPr>
          <w:rFonts w:hint="eastAsia" w:ascii="黑体" w:hAnsi="黑体" w:eastAsia="黑体"/>
        </w:rPr>
      </w:pPr>
      <w:r>
        <w:rPr>
          <w:rFonts w:hint="eastAsia" w:ascii="黑体" w:hAnsi="黑体" w:eastAsia="黑体"/>
        </w:rPr>
        <w:t>图2  电压测量接口和辅助电源接口的端子尺寸</w:t>
      </w:r>
    </w:p>
    <w:p w14:paraId="4F28BEDE">
      <w:pPr>
        <w:pStyle w:val="65"/>
        <w:ind w:firstLine="420"/>
        <w:jc w:val="center"/>
        <w:rPr>
          <w:rFonts w:hint="eastAsia" w:ascii="黑体" w:hAnsi="黑体" w:eastAsia="黑体"/>
        </w:rPr>
      </w:pPr>
    </w:p>
    <w:p w14:paraId="692F3232">
      <w:pPr>
        <w:pStyle w:val="112"/>
        <w:spacing w:before="120" w:after="120"/>
      </w:pPr>
      <w:bookmarkStart w:id="55" w:name="_Toc213850842"/>
      <w:r>
        <w:rPr>
          <w:rFonts w:hint="eastAsia"/>
        </w:rPr>
        <w:t>脉冲接口和通信接口</w:t>
      </w:r>
      <w:bookmarkEnd w:id="55"/>
    </w:p>
    <w:p w14:paraId="52A5A96A">
      <w:pPr>
        <w:pStyle w:val="65"/>
        <w:ind w:firstLine="420"/>
      </w:pPr>
      <w:r>
        <w:rPr>
          <w:rFonts w:hint="eastAsia"/>
        </w:rPr>
        <w:t>脉冲输入\输出接口和通信接口应采用：</w:t>
      </w:r>
    </w:p>
    <w:p w14:paraId="38612E03">
      <w:pPr>
        <w:pStyle w:val="65"/>
        <w:ind w:firstLine="420"/>
      </w:pPr>
      <w:r>
        <w:rPr>
          <w:rFonts w:hint="eastAsia"/>
        </w:rPr>
        <w:t>——单排6Pin脚的端子；</w:t>
      </w:r>
    </w:p>
    <w:p w14:paraId="032EEF27">
      <w:pPr>
        <w:pStyle w:val="65"/>
        <w:ind w:firstLine="420"/>
      </w:pPr>
      <w:r>
        <w:rPr>
          <w:rFonts w:hint="eastAsia"/>
        </w:rPr>
        <w:t>——Pin脚之间的间距为5.08 mm;</w:t>
      </w:r>
    </w:p>
    <w:p w14:paraId="3A995847">
      <w:pPr>
        <w:pStyle w:val="65"/>
        <w:ind w:firstLine="420"/>
      </w:pPr>
      <w:r>
        <w:rPr>
          <w:rFonts w:hint="eastAsia"/>
        </w:rPr>
        <w:t>——端子的尺寸应与图3的结构相符合。</w:t>
      </w:r>
    </w:p>
    <w:p w14:paraId="27DC5C9C">
      <w:pPr>
        <w:pStyle w:val="65"/>
        <w:ind w:firstLine="420"/>
        <w:rPr>
          <w:color w:val="FF0000"/>
        </w:rPr>
      </w:pPr>
      <w:r>
        <w:rPr>
          <w:rFonts w:hint="eastAsia"/>
        </w:rPr>
        <w:t>脉冲接口和通信接口的定义见附录A</w:t>
      </w:r>
      <w:r>
        <w:rPr>
          <w:rFonts w:hint="eastAsia"/>
          <w:color w:val="FF0000"/>
        </w:rPr>
        <w:t>。</w:t>
      </w:r>
    </w:p>
    <w:p w14:paraId="4BD99BB9">
      <w:pPr>
        <w:pStyle w:val="65"/>
        <w:ind w:firstLine="7050" w:firstLineChars="4700"/>
      </w:pPr>
      <w:r>
        <w:rPr>
          <w:rFonts w:hint="eastAsia"/>
          <w:sz w:val="15"/>
          <w:szCs w:val="15"/>
        </w:rPr>
        <w:t>单位：mm</w:t>
      </w:r>
    </w:p>
    <w:p w14:paraId="7637D3E2">
      <w:pPr>
        <w:pStyle w:val="65"/>
        <w:ind w:firstLine="420"/>
        <w:jc w:val="center"/>
      </w:pPr>
      <w:r>
        <w:drawing>
          <wp:inline distT="0" distB="0" distL="0" distR="0">
            <wp:extent cx="3462655" cy="1619250"/>
            <wp:effectExtent l="0" t="0" r="4445" b="0"/>
            <wp:docPr id="9557530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5304"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49041" cy="1659353"/>
                    </a:xfrm>
                    <a:prstGeom prst="rect">
                      <a:avLst/>
                    </a:prstGeom>
                    <a:noFill/>
                    <a:ln>
                      <a:noFill/>
                    </a:ln>
                  </pic:spPr>
                </pic:pic>
              </a:graphicData>
            </a:graphic>
          </wp:inline>
        </w:drawing>
      </w:r>
    </w:p>
    <w:p w14:paraId="56C87079">
      <w:pPr>
        <w:pStyle w:val="65"/>
        <w:ind w:firstLine="420"/>
        <w:jc w:val="center"/>
      </w:pPr>
    </w:p>
    <w:p w14:paraId="628FB709">
      <w:pPr>
        <w:pStyle w:val="65"/>
        <w:ind w:firstLine="420"/>
        <w:jc w:val="center"/>
        <w:rPr>
          <w:rFonts w:hint="eastAsia" w:ascii="黑体" w:hAnsi="黑体" w:eastAsia="黑体"/>
        </w:rPr>
      </w:pPr>
      <w:r>
        <w:rPr>
          <w:rFonts w:hint="eastAsia" w:ascii="黑体" w:hAnsi="黑体" w:eastAsia="黑体"/>
        </w:rPr>
        <w:t>图3 脉冲接口和通信接口</w:t>
      </w:r>
    </w:p>
    <w:bookmarkEnd w:id="50"/>
    <w:p w14:paraId="3E6DAF62">
      <w:pPr>
        <w:pStyle w:val="111"/>
        <w:spacing w:before="240" w:after="240"/>
      </w:pPr>
      <w:bookmarkStart w:id="56" w:name="_Toc213850843"/>
      <w:r>
        <w:rPr>
          <w:rFonts w:hint="eastAsia"/>
        </w:rPr>
        <w:t>技术要求</w:t>
      </w:r>
      <w:bookmarkEnd w:id="56"/>
    </w:p>
    <w:p w14:paraId="10EE17A6">
      <w:pPr>
        <w:pStyle w:val="112"/>
        <w:spacing w:before="120" w:after="120"/>
      </w:pPr>
      <w:bookmarkStart w:id="57" w:name="_Toc213850844"/>
      <w:r>
        <w:rPr>
          <w:rFonts w:hint="eastAsia"/>
        </w:rPr>
        <w:t>外观</w:t>
      </w:r>
      <w:bookmarkEnd w:id="57"/>
    </w:p>
    <w:p w14:paraId="190DF501">
      <w:pPr>
        <w:pStyle w:val="65"/>
        <w:ind w:firstLine="420"/>
        <w:rPr>
          <w:color w:val="FF0000"/>
        </w:rPr>
      </w:pPr>
      <w:r>
        <w:rPr>
          <w:rFonts w:hint="eastAsia"/>
        </w:rPr>
        <w:t>标准表瞬联电气接口的外观应满足以下要求：</w:t>
      </w:r>
    </w:p>
    <w:p w14:paraId="477CD598">
      <w:pPr>
        <w:pStyle w:val="139"/>
        <w:numPr>
          <w:ilvl w:val="0"/>
          <w:numId w:val="0"/>
        </w:numPr>
        <w:ind w:left="852" w:hanging="426"/>
      </w:pPr>
      <w:r>
        <w:rPr>
          <w:rFonts w:hint="eastAsia"/>
        </w:rPr>
        <w:t>——各电气接口应具有清晰、明确、唯一的接口名称标识；</w:t>
      </w:r>
    </w:p>
    <w:p w14:paraId="1B1B04D5">
      <w:pPr>
        <w:pStyle w:val="139"/>
        <w:numPr>
          <w:ilvl w:val="0"/>
          <w:numId w:val="0"/>
        </w:numPr>
        <w:ind w:left="852" w:hanging="426"/>
      </w:pPr>
      <w:r>
        <w:rPr>
          <w:rFonts w:hint="eastAsia"/>
        </w:rPr>
        <w:t>——H</w:t>
      </w:r>
      <w:r>
        <w:t>LV</w:t>
      </w:r>
      <w:r>
        <w:rPr>
          <w:rFonts w:hint="eastAsia"/>
        </w:rPr>
        <w:t>信号接口应具有清晰明显的警示标志；</w:t>
      </w:r>
    </w:p>
    <w:p w14:paraId="76952655">
      <w:pPr>
        <w:pStyle w:val="139"/>
        <w:numPr>
          <w:ilvl w:val="0"/>
          <w:numId w:val="0"/>
        </w:numPr>
        <w:ind w:left="852" w:hanging="426"/>
      </w:pPr>
      <w:r>
        <w:rPr>
          <w:rFonts w:hint="eastAsia"/>
        </w:rPr>
        <w:t>——保护接地端子应符合G</w:t>
      </w:r>
      <w:r>
        <w:t>B/T 4026-2004</w:t>
      </w:r>
      <w:r>
        <w:rPr>
          <w:rFonts w:hint="eastAsia"/>
        </w:rPr>
        <w:t>中5</w:t>
      </w:r>
      <w:r>
        <w:t>.3</w:t>
      </w:r>
      <w:r>
        <w:rPr>
          <w:rFonts w:hint="eastAsia"/>
        </w:rPr>
        <w:t>的规定，采用颜色标志（绿-黄的标志）或适用的P</w:t>
      </w:r>
      <w:r>
        <w:t>E</w:t>
      </w:r>
      <w:r>
        <w:rPr>
          <w:rFonts w:hint="eastAsia"/>
        </w:rPr>
        <w:t>、P</w:t>
      </w:r>
      <w:r>
        <w:t>EN</w:t>
      </w:r>
      <w:r>
        <w:rPr>
          <w:rFonts w:hint="eastAsia"/>
        </w:rPr>
        <w:t>符号来识别，图形符号应符合G</w:t>
      </w:r>
      <w:r>
        <w:t>B/T 5465.2</w:t>
      </w:r>
      <w:r>
        <w:rPr>
          <w:rFonts w:hint="eastAsia"/>
        </w:rPr>
        <w:t>-2023的规定；</w:t>
      </w:r>
    </w:p>
    <w:p w14:paraId="52EC8B9B">
      <w:pPr>
        <w:pStyle w:val="139"/>
        <w:numPr>
          <w:ilvl w:val="0"/>
          <w:numId w:val="0"/>
        </w:numPr>
        <w:tabs>
          <w:tab w:val="left" w:pos="851"/>
          <w:tab w:val="clear" w:pos="852"/>
        </w:tabs>
        <w:ind w:left="852" w:hanging="426"/>
      </w:pPr>
      <w:r>
        <w:rPr>
          <w:rFonts w:hint="eastAsia"/>
        </w:rPr>
        <w:t>——所有的标识和标志应具有耐久性，不易被擦除。</w:t>
      </w:r>
    </w:p>
    <w:p w14:paraId="57B4958B">
      <w:pPr>
        <w:pStyle w:val="112"/>
        <w:spacing w:before="120" w:after="120"/>
      </w:pPr>
      <w:bookmarkStart w:id="58" w:name="_Toc213850845"/>
      <w:r>
        <w:rPr>
          <w:rFonts w:hint="eastAsia"/>
        </w:rPr>
        <w:t>环境要求</w:t>
      </w:r>
      <w:bookmarkEnd w:id="58"/>
    </w:p>
    <w:p w14:paraId="45D9E657">
      <w:pPr>
        <w:pStyle w:val="74"/>
        <w:spacing w:before="120" w:after="120"/>
      </w:pPr>
      <w:bookmarkStart w:id="59" w:name="_Toc213850846"/>
      <w:bookmarkStart w:id="60" w:name="_Toc202270546"/>
      <w:r>
        <w:rPr>
          <w:rFonts w:hint="eastAsia"/>
        </w:rPr>
        <w:t>气候适应性</w:t>
      </w:r>
      <w:bookmarkEnd w:id="59"/>
      <w:bookmarkEnd w:id="60"/>
    </w:p>
    <w:p w14:paraId="53666036">
      <w:pPr>
        <w:pStyle w:val="139"/>
        <w:numPr>
          <w:ilvl w:val="0"/>
          <w:numId w:val="0"/>
        </w:numPr>
        <w:ind w:firstLine="420" w:firstLineChars="200"/>
      </w:pPr>
      <w:r>
        <w:rPr>
          <w:rFonts w:hint="eastAsia"/>
        </w:rPr>
        <w:t>标准表的瞬联电气接口耐受的环境温度和环境湿度应符合</w:t>
      </w:r>
      <w:r>
        <w:t xml:space="preserve">GB/T </w:t>
      </w:r>
      <w:r>
        <w:rPr>
          <w:rFonts w:hint="eastAsia"/>
        </w:rPr>
        <w:t>43918</w:t>
      </w:r>
      <w:r>
        <w:t>-20</w:t>
      </w:r>
      <w:r>
        <w:rPr>
          <w:rFonts w:hint="eastAsia"/>
        </w:rPr>
        <w:t>24中第9章的规定。</w:t>
      </w:r>
    </w:p>
    <w:p w14:paraId="1985D1D5">
      <w:pPr>
        <w:pStyle w:val="74"/>
        <w:spacing w:before="120" w:after="120"/>
      </w:pPr>
      <w:bookmarkStart w:id="61" w:name="_Toc213850847"/>
      <w:bookmarkStart w:id="62" w:name="_Toc202270547"/>
      <w:r>
        <w:rPr>
          <w:rFonts w:hint="eastAsia"/>
        </w:rPr>
        <w:t>贮存环境</w:t>
      </w:r>
      <w:bookmarkEnd w:id="61"/>
      <w:bookmarkEnd w:id="62"/>
    </w:p>
    <w:p w14:paraId="3DCFA688">
      <w:pPr>
        <w:pStyle w:val="65"/>
        <w:ind w:firstLine="420"/>
      </w:pPr>
      <w:r>
        <w:rPr>
          <w:rFonts w:hint="eastAsia"/>
        </w:rPr>
        <w:t>标准表的瞬联电气接口耐受的贮存环境温度和环境湿度应符合</w:t>
      </w:r>
      <w:r>
        <w:t xml:space="preserve">GB/T </w:t>
      </w:r>
      <w:r>
        <w:rPr>
          <w:rFonts w:hint="eastAsia"/>
        </w:rPr>
        <w:t>43918</w:t>
      </w:r>
      <w:r>
        <w:t>-20</w:t>
      </w:r>
      <w:r>
        <w:rPr>
          <w:rFonts w:hint="eastAsia"/>
        </w:rPr>
        <w:t>24中11.3.1的规定。</w:t>
      </w:r>
    </w:p>
    <w:p w14:paraId="62347430">
      <w:pPr>
        <w:pStyle w:val="112"/>
        <w:spacing w:before="120" w:after="120"/>
      </w:pPr>
      <w:bookmarkStart w:id="63" w:name="_Toc213850848"/>
      <w:r>
        <w:rPr>
          <w:rFonts w:hint="eastAsia"/>
        </w:rPr>
        <w:t>机械性能</w:t>
      </w:r>
      <w:bookmarkEnd w:id="63"/>
    </w:p>
    <w:p w14:paraId="115A4BE7">
      <w:pPr>
        <w:pStyle w:val="74"/>
        <w:spacing w:before="120" w:after="120"/>
      </w:pPr>
      <w:bookmarkStart w:id="64" w:name="_Toc213850849"/>
      <w:bookmarkStart w:id="65" w:name="_Toc202270549"/>
      <w:r>
        <w:rPr>
          <w:rFonts w:hint="eastAsia"/>
        </w:rPr>
        <w:t>冲击</w:t>
      </w:r>
      <w:bookmarkEnd w:id="64"/>
      <w:bookmarkEnd w:id="65"/>
    </w:p>
    <w:p w14:paraId="501E9710">
      <w:pPr>
        <w:pStyle w:val="65"/>
        <w:ind w:firstLine="420"/>
      </w:pPr>
      <w:bookmarkStart w:id="66" w:name="_Hlk200026518"/>
      <w:r>
        <w:rPr>
          <w:rFonts w:hint="eastAsia"/>
        </w:rPr>
        <w:t>标准表瞬联电气接口机械冲击性能应符合</w:t>
      </w:r>
      <w:r>
        <w:t xml:space="preserve">GB/T </w:t>
      </w:r>
      <w:r>
        <w:rPr>
          <w:rFonts w:hint="eastAsia"/>
        </w:rPr>
        <w:t>43918</w:t>
      </w:r>
      <w:r>
        <w:t>-20</w:t>
      </w:r>
      <w:r>
        <w:rPr>
          <w:rFonts w:hint="eastAsia"/>
        </w:rPr>
        <w:t>24中5.2.3的规定</w:t>
      </w:r>
      <w:bookmarkEnd w:id="66"/>
      <w:r>
        <w:rPr>
          <w:rFonts w:hint="eastAsia"/>
        </w:rPr>
        <w:t>。</w:t>
      </w:r>
    </w:p>
    <w:p w14:paraId="409618DB">
      <w:pPr>
        <w:pStyle w:val="74"/>
        <w:spacing w:before="120" w:after="120"/>
      </w:pPr>
      <w:bookmarkStart w:id="67" w:name="_Toc213850850"/>
      <w:bookmarkStart w:id="68" w:name="_Toc202270550"/>
      <w:r>
        <w:rPr>
          <w:rFonts w:hint="eastAsia"/>
        </w:rPr>
        <w:t>振动</w:t>
      </w:r>
      <w:bookmarkEnd w:id="67"/>
      <w:bookmarkEnd w:id="68"/>
    </w:p>
    <w:p w14:paraId="59444D71">
      <w:pPr>
        <w:pStyle w:val="65"/>
        <w:ind w:firstLine="420"/>
      </w:pPr>
      <w:r>
        <w:rPr>
          <w:rFonts w:hint="eastAsia"/>
        </w:rPr>
        <w:t>标准表瞬联电气接口机械振动性能应符合</w:t>
      </w:r>
      <w:r>
        <w:t xml:space="preserve">GB/T </w:t>
      </w:r>
      <w:r>
        <w:rPr>
          <w:rFonts w:hint="eastAsia"/>
        </w:rPr>
        <w:t>43918</w:t>
      </w:r>
      <w:r>
        <w:t>-20</w:t>
      </w:r>
      <w:r>
        <w:rPr>
          <w:rFonts w:hint="eastAsia"/>
        </w:rPr>
        <w:t>24中5.2.2的规定。</w:t>
      </w:r>
    </w:p>
    <w:p w14:paraId="2C5BD79F">
      <w:pPr>
        <w:pStyle w:val="74"/>
        <w:spacing w:before="120" w:after="120"/>
      </w:pPr>
      <w:bookmarkStart w:id="69" w:name="_Toc213850851"/>
      <w:bookmarkStart w:id="70" w:name="_Toc202270551"/>
      <w:r>
        <w:rPr>
          <w:rFonts w:hint="eastAsia"/>
        </w:rPr>
        <w:t>耐热阻燃</w:t>
      </w:r>
      <w:bookmarkEnd w:id="69"/>
      <w:bookmarkEnd w:id="70"/>
    </w:p>
    <w:p w14:paraId="5A6BB3FF">
      <w:pPr>
        <w:pStyle w:val="139"/>
        <w:numPr>
          <w:ilvl w:val="0"/>
          <w:numId w:val="0"/>
        </w:numPr>
        <w:ind w:firstLine="420" w:firstLineChars="200"/>
      </w:pPr>
      <w:r>
        <w:rPr>
          <w:rFonts w:hint="eastAsia"/>
        </w:rPr>
        <w:t>标准表的瞬联电气接口耐热阻燃应符合</w:t>
      </w:r>
      <w:r>
        <w:t>GB/T 5169.11-2017</w:t>
      </w:r>
      <w:r>
        <w:rPr>
          <w:rFonts w:hint="eastAsia"/>
        </w:rPr>
        <w:t>的规定。</w:t>
      </w:r>
    </w:p>
    <w:p w14:paraId="70E5112E">
      <w:pPr>
        <w:pStyle w:val="74"/>
        <w:spacing w:before="120" w:after="120"/>
      </w:pPr>
      <w:bookmarkStart w:id="71" w:name="_Toc213850852"/>
      <w:bookmarkStart w:id="72" w:name="_Toc202270552"/>
      <w:r>
        <w:rPr>
          <w:rFonts w:hint="eastAsia"/>
        </w:rPr>
        <w:t>防护等级</w:t>
      </w:r>
      <w:bookmarkEnd w:id="71"/>
      <w:bookmarkEnd w:id="72"/>
    </w:p>
    <w:p w14:paraId="1ED0FFDC">
      <w:pPr>
        <w:pStyle w:val="65"/>
        <w:ind w:firstLine="420"/>
      </w:pPr>
      <w:bookmarkStart w:id="73" w:name="_Hlk200027891"/>
      <w:r>
        <w:rPr>
          <w:rFonts w:hint="eastAsia"/>
        </w:rPr>
        <w:t>标准表的瞬联电气接口的防护等级应符合GB/T 4208-2017的规定，不低于IP30要求</w:t>
      </w:r>
      <w:bookmarkEnd w:id="73"/>
      <w:r>
        <w:rPr>
          <w:rFonts w:hint="eastAsia"/>
        </w:rPr>
        <w:t>。</w:t>
      </w:r>
    </w:p>
    <w:p w14:paraId="52F44EFF">
      <w:pPr>
        <w:pStyle w:val="112"/>
        <w:spacing w:before="120" w:after="120"/>
      </w:pPr>
      <w:bookmarkStart w:id="74" w:name="_Toc213850853"/>
      <w:r>
        <w:rPr>
          <w:rFonts w:hint="eastAsia"/>
        </w:rPr>
        <w:t>电气性能</w:t>
      </w:r>
      <w:bookmarkEnd w:id="74"/>
    </w:p>
    <w:p w14:paraId="01876FB2">
      <w:pPr>
        <w:pStyle w:val="74"/>
        <w:spacing w:before="120" w:after="120"/>
      </w:pPr>
      <w:bookmarkStart w:id="75" w:name="_Toc202270554"/>
      <w:bookmarkStart w:id="76" w:name="_Toc213850854"/>
      <w:r>
        <w:rPr>
          <w:rFonts w:hint="eastAsia"/>
        </w:rPr>
        <w:t>电流测量</w:t>
      </w:r>
      <w:bookmarkEnd w:id="75"/>
      <w:r>
        <w:rPr>
          <w:rFonts w:hint="eastAsia"/>
        </w:rPr>
        <w:t>接口</w:t>
      </w:r>
      <w:bookmarkEnd w:id="76"/>
    </w:p>
    <w:p w14:paraId="43D4B816">
      <w:pPr>
        <w:pStyle w:val="65"/>
        <w:ind w:firstLine="420"/>
      </w:pPr>
      <w:r>
        <w:rPr>
          <w:rFonts w:hint="eastAsia"/>
        </w:rPr>
        <w:t>电流测量接口应能承受120 A的最大电流，通最大电流时，应符合G</w:t>
      </w:r>
      <w:r>
        <w:t>B/T 17215.231-2021</w:t>
      </w:r>
      <w:r>
        <w:rPr>
          <w:rFonts w:hint="eastAsia"/>
        </w:rPr>
        <w:t>中10.1和10.2的规定。</w:t>
      </w:r>
    </w:p>
    <w:p w14:paraId="52A6F537">
      <w:pPr>
        <w:pStyle w:val="74"/>
        <w:spacing w:before="120" w:after="120"/>
      </w:pPr>
      <w:bookmarkStart w:id="77" w:name="_Toc202270555"/>
      <w:bookmarkStart w:id="78" w:name="_Toc213850855"/>
      <w:r>
        <w:rPr>
          <w:rFonts w:hint="eastAsia"/>
        </w:rPr>
        <w:t>脉冲输入输出</w:t>
      </w:r>
      <w:bookmarkEnd w:id="77"/>
      <w:bookmarkEnd w:id="78"/>
    </w:p>
    <w:p w14:paraId="6A1A2063">
      <w:pPr>
        <w:pStyle w:val="65"/>
        <w:ind w:firstLine="420"/>
      </w:pPr>
      <w:r>
        <w:rPr>
          <w:rFonts w:hint="eastAsia"/>
        </w:rPr>
        <w:t>标准表的脉冲输入接口应符合G</w:t>
      </w:r>
      <w:r>
        <w:t>B/T 17215.211-2021</w:t>
      </w:r>
      <w:r>
        <w:rPr>
          <w:rFonts w:hint="eastAsia"/>
        </w:rPr>
        <w:t>中5</w:t>
      </w:r>
      <w:r>
        <w:t>.8</w:t>
      </w:r>
      <w:r>
        <w:rPr>
          <w:rFonts w:hint="eastAsia"/>
        </w:rPr>
        <w:t>.1的规定。脉冲输出接口应符合G</w:t>
      </w:r>
      <w:r>
        <w:t>B/T 17215.211-2021</w:t>
      </w:r>
      <w:r>
        <w:rPr>
          <w:rFonts w:hint="eastAsia"/>
        </w:rPr>
        <w:t>中5</w:t>
      </w:r>
      <w:r>
        <w:t>.7.3</w:t>
      </w:r>
      <w:r>
        <w:rPr>
          <w:rFonts w:hint="eastAsia"/>
        </w:rPr>
        <w:t>和</w:t>
      </w:r>
      <w:r>
        <w:t>5.7.4</w:t>
      </w:r>
      <w:r>
        <w:rPr>
          <w:rFonts w:hint="eastAsia"/>
        </w:rPr>
        <w:t>的规定。</w:t>
      </w:r>
    </w:p>
    <w:p w14:paraId="075954E7">
      <w:pPr>
        <w:pStyle w:val="74"/>
        <w:spacing w:before="120" w:after="120"/>
      </w:pPr>
      <w:bookmarkStart w:id="79" w:name="_Toc202270556"/>
      <w:bookmarkStart w:id="80" w:name="_Toc213850856"/>
      <w:r>
        <w:rPr>
          <w:rFonts w:hint="eastAsia"/>
        </w:rPr>
        <w:t>电气间隙和爬电距离</w:t>
      </w:r>
      <w:bookmarkEnd w:id="79"/>
      <w:bookmarkEnd w:id="80"/>
    </w:p>
    <w:p w14:paraId="091ADAB8">
      <w:pPr>
        <w:pStyle w:val="2"/>
        <w:spacing w:before="120" w:beforeLines="50" w:after="120" w:afterLines="50" w:line="240" w:lineRule="auto"/>
        <w:rPr>
          <w:rFonts w:ascii="黑体" w:hAnsi="Times New Roman" w:eastAsia="黑体"/>
          <w:b w:val="0"/>
          <w:bCs w:val="0"/>
          <w:kern w:val="0"/>
          <w:sz w:val="21"/>
          <w:szCs w:val="20"/>
        </w:rPr>
      </w:pPr>
      <w:bookmarkStart w:id="81" w:name="_Toc213850857"/>
      <w:bookmarkStart w:id="82" w:name="_Toc202270557"/>
      <w:r>
        <w:rPr>
          <w:rFonts w:hint="eastAsia" w:ascii="黑体" w:hAnsi="Times New Roman" w:eastAsia="黑体"/>
          <w:b w:val="0"/>
          <w:bCs w:val="0"/>
          <w:kern w:val="0"/>
          <w:sz w:val="21"/>
          <w:szCs w:val="20"/>
        </w:rPr>
        <w:t>6.4.3.1海拔高度2000 m及以下</w:t>
      </w:r>
      <w:bookmarkEnd w:id="81"/>
      <w:bookmarkEnd w:id="82"/>
    </w:p>
    <w:p w14:paraId="66456C2E">
      <w:pPr>
        <w:pStyle w:val="65"/>
        <w:ind w:firstLine="420"/>
      </w:pPr>
      <w:r>
        <w:rPr>
          <w:rFonts w:hint="eastAsia"/>
        </w:rPr>
        <w:t>工作在海拔高度2</w:t>
      </w:r>
      <w:r>
        <w:t>000</w:t>
      </w:r>
      <w:r>
        <w:rPr>
          <w:rFonts w:hint="eastAsia"/>
        </w:rPr>
        <w:t xml:space="preserve"> </w:t>
      </w:r>
      <w:r>
        <w:t>m</w:t>
      </w:r>
      <w:r>
        <w:rPr>
          <w:rFonts w:hint="eastAsia"/>
        </w:rPr>
        <w:t>及以下场所的标准表，其电压测量接口、电流测量接口及辅助电源接口的任何端子与接地端子之间，以及与脉冲输入输出接口、通信接口之间的电气间隙和爬电距离不应小于表1的规定。</w:t>
      </w:r>
    </w:p>
    <w:p w14:paraId="1054086A">
      <w:pPr>
        <w:pStyle w:val="65"/>
        <w:ind w:firstLine="420"/>
      </w:pPr>
    </w:p>
    <w:p w14:paraId="02D38CF9">
      <w:pPr>
        <w:pStyle w:val="65"/>
        <w:ind w:firstLine="420"/>
      </w:pPr>
    </w:p>
    <w:p w14:paraId="08D3E45B">
      <w:pPr>
        <w:pStyle w:val="119"/>
        <w:spacing w:before="120" w:after="120"/>
        <w:ind w:left="0" w:firstLine="420"/>
      </w:pPr>
      <w:bookmarkStart w:id="83" w:name="_Toc143845787"/>
      <w:bookmarkStart w:id="84" w:name="_Toc148358618"/>
      <w:bookmarkStart w:id="85" w:name="_Toc148355137"/>
      <w:r>
        <w:rPr>
          <w:rFonts w:hint="eastAsia"/>
        </w:rPr>
        <w:t>电气间隙和爬电距离</w:t>
      </w:r>
      <w:bookmarkEnd w:id="83"/>
      <w:bookmarkEnd w:id="84"/>
      <w:bookmarkEnd w:id="85"/>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07A24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vAlign w:val="center"/>
          </w:tcPr>
          <w:p w14:paraId="43EC3DDE">
            <w:pPr>
              <w:pStyle w:val="185"/>
              <w:rPr>
                <w:i/>
              </w:rPr>
            </w:pPr>
            <w:r>
              <w:rPr>
                <w:rFonts w:hint="eastAsia"/>
              </w:rPr>
              <w:t>电压（峰值）</w:t>
            </w:r>
            <w:r>
              <w:rPr>
                <w:rFonts w:hint="eastAsia"/>
                <w:i/>
              </w:rPr>
              <w:t>U</w:t>
            </w:r>
          </w:p>
          <w:p w14:paraId="590E5111">
            <w:pPr>
              <w:pStyle w:val="185"/>
            </w:pPr>
            <w:r>
              <w:t>V</w:t>
            </w:r>
          </w:p>
        </w:tc>
        <w:tc>
          <w:tcPr>
            <w:tcW w:w="3115" w:type="dxa"/>
            <w:tcBorders>
              <w:top w:val="single" w:color="auto" w:sz="8" w:space="0"/>
              <w:bottom w:val="single" w:color="auto" w:sz="8" w:space="0"/>
            </w:tcBorders>
            <w:vAlign w:val="center"/>
          </w:tcPr>
          <w:p w14:paraId="1548EB85">
            <w:pPr>
              <w:pStyle w:val="185"/>
            </w:pPr>
            <w:r>
              <w:rPr>
                <w:rFonts w:hint="eastAsia"/>
              </w:rPr>
              <w:t>最小电气间隙</w:t>
            </w:r>
          </w:p>
          <w:p w14:paraId="298007D6">
            <w:pPr>
              <w:pStyle w:val="185"/>
            </w:pPr>
            <w:r>
              <w:rPr>
                <w:rFonts w:hint="eastAsia"/>
              </w:rPr>
              <w:t>m</w:t>
            </w:r>
            <w:r>
              <w:t>m</w:t>
            </w:r>
          </w:p>
        </w:tc>
        <w:tc>
          <w:tcPr>
            <w:tcW w:w="3115" w:type="dxa"/>
            <w:tcBorders>
              <w:top w:val="single" w:color="auto" w:sz="8" w:space="0"/>
              <w:bottom w:val="single" w:color="auto" w:sz="8" w:space="0"/>
            </w:tcBorders>
            <w:vAlign w:val="center"/>
          </w:tcPr>
          <w:p w14:paraId="2FB97143">
            <w:pPr>
              <w:pStyle w:val="185"/>
            </w:pPr>
            <w:r>
              <w:rPr>
                <w:rFonts w:hint="eastAsia"/>
              </w:rPr>
              <w:t>最小爬电距离</w:t>
            </w:r>
          </w:p>
          <w:p w14:paraId="783AECFB">
            <w:pPr>
              <w:pStyle w:val="185"/>
            </w:pPr>
            <w:r>
              <w:rPr>
                <w:rFonts w:hint="eastAsia"/>
              </w:rPr>
              <w:t>m</w:t>
            </w:r>
            <w:r>
              <w:t>m</w:t>
            </w:r>
          </w:p>
        </w:tc>
      </w:tr>
      <w:tr w14:paraId="408EC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vAlign w:val="center"/>
          </w:tcPr>
          <w:p w14:paraId="7815B643">
            <w:pPr>
              <w:pStyle w:val="185"/>
            </w:pPr>
            <w:r>
              <w:rPr>
                <w:rFonts w:hint="eastAsia"/>
                <w:i/>
              </w:rPr>
              <w:t>U</w:t>
            </w:r>
            <w:r>
              <w:rPr>
                <w:rFonts w:hint="eastAsia"/>
              </w:rPr>
              <w:t>≤1</w:t>
            </w:r>
            <w:r>
              <w:t>00</w:t>
            </w:r>
          </w:p>
        </w:tc>
        <w:tc>
          <w:tcPr>
            <w:tcW w:w="3115" w:type="dxa"/>
            <w:tcBorders>
              <w:top w:val="single" w:color="auto" w:sz="8" w:space="0"/>
            </w:tcBorders>
            <w:vAlign w:val="center"/>
          </w:tcPr>
          <w:p w14:paraId="73FE15E2">
            <w:pPr>
              <w:pStyle w:val="185"/>
            </w:pPr>
            <w:r>
              <w:rPr>
                <w:rFonts w:hint="eastAsia"/>
              </w:rPr>
              <w:t>0</w:t>
            </w:r>
            <w:r>
              <w:t>.5</w:t>
            </w:r>
          </w:p>
        </w:tc>
        <w:tc>
          <w:tcPr>
            <w:tcW w:w="3115" w:type="dxa"/>
            <w:tcBorders>
              <w:top w:val="single" w:color="auto" w:sz="8" w:space="0"/>
            </w:tcBorders>
            <w:vAlign w:val="center"/>
          </w:tcPr>
          <w:p w14:paraId="759A6E84">
            <w:pPr>
              <w:pStyle w:val="185"/>
            </w:pPr>
            <w:r>
              <w:rPr>
                <w:rFonts w:hint="eastAsia"/>
              </w:rPr>
              <w:t>1</w:t>
            </w:r>
            <w:r>
              <w:t>.4</w:t>
            </w:r>
          </w:p>
        </w:tc>
      </w:tr>
      <w:tr w14:paraId="3857B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3FB74F8E">
            <w:pPr>
              <w:pStyle w:val="185"/>
            </w:pPr>
            <w:r>
              <w:rPr>
                <w:rFonts w:hint="eastAsia"/>
              </w:rPr>
              <w:t>1</w:t>
            </w:r>
            <w:r>
              <w:t>00</w:t>
            </w:r>
            <w:r>
              <w:rPr>
                <w:rFonts w:hint="eastAsia"/>
              </w:rPr>
              <w:t>＜</w:t>
            </w:r>
            <w:r>
              <w:rPr>
                <w:rFonts w:hint="eastAsia"/>
                <w:i/>
              </w:rPr>
              <w:t>U</w:t>
            </w:r>
            <w:r>
              <w:rPr>
                <w:rFonts w:hint="eastAsia"/>
              </w:rPr>
              <w:t>≤1</w:t>
            </w:r>
            <w:r>
              <w:t>50</w:t>
            </w:r>
          </w:p>
        </w:tc>
        <w:tc>
          <w:tcPr>
            <w:tcW w:w="3115" w:type="dxa"/>
            <w:vAlign w:val="center"/>
          </w:tcPr>
          <w:p w14:paraId="7673C476">
            <w:pPr>
              <w:pStyle w:val="185"/>
            </w:pPr>
            <w:r>
              <w:rPr>
                <w:rFonts w:hint="eastAsia"/>
              </w:rPr>
              <w:t>1</w:t>
            </w:r>
            <w:r>
              <w:t>.5</w:t>
            </w:r>
          </w:p>
        </w:tc>
        <w:tc>
          <w:tcPr>
            <w:tcW w:w="3115" w:type="dxa"/>
            <w:vAlign w:val="center"/>
          </w:tcPr>
          <w:p w14:paraId="5244E6D1">
            <w:pPr>
              <w:pStyle w:val="185"/>
            </w:pPr>
            <w:r>
              <w:rPr>
                <w:rFonts w:hint="eastAsia"/>
              </w:rPr>
              <w:t>1</w:t>
            </w:r>
            <w:r>
              <w:t>.6</w:t>
            </w:r>
          </w:p>
        </w:tc>
      </w:tr>
      <w:tr w14:paraId="30B94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17C0AE6A">
            <w:pPr>
              <w:pStyle w:val="185"/>
            </w:pPr>
            <w:r>
              <w:rPr>
                <w:rFonts w:hint="eastAsia"/>
              </w:rPr>
              <w:t>1</w:t>
            </w:r>
            <w:r>
              <w:t>50</w:t>
            </w:r>
            <w:r>
              <w:rPr>
                <w:rFonts w:hint="eastAsia"/>
              </w:rPr>
              <w:t>＜</w:t>
            </w:r>
            <w:r>
              <w:rPr>
                <w:rFonts w:hint="eastAsia"/>
                <w:i/>
              </w:rPr>
              <w:t>U</w:t>
            </w:r>
            <w:r>
              <w:rPr>
                <w:rFonts w:hint="eastAsia"/>
              </w:rPr>
              <w:t>≤</w:t>
            </w:r>
            <w:r>
              <w:t>300</w:t>
            </w:r>
          </w:p>
        </w:tc>
        <w:tc>
          <w:tcPr>
            <w:tcW w:w="3115" w:type="dxa"/>
            <w:vAlign w:val="center"/>
          </w:tcPr>
          <w:p w14:paraId="55EFCEFB">
            <w:pPr>
              <w:pStyle w:val="185"/>
            </w:pPr>
            <w:r>
              <w:rPr>
                <w:rFonts w:hint="eastAsia"/>
              </w:rPr>
              <w:t>3</w:t>
            </w:r>
            <w:r>
              <w:t>.0</w:t>
            </w:r>
          </w:p>
        </w:tc>
        <w:tc>
          <w:tcPr>
            <w:tcW w:w="3115" w:type="dxa"/>
            <w:vAlign w:val="center"/>
          </w:tcPr>
          <w:p w14:paraId="6BE44F0B">
            <w:pPr>
              <w:pStyle w:val="185"/>
            </w:pPr>
            <w:r>
              <w:rPr>
                <w:rFonts w:hint="eastAsia"/>
              </w:rPr>
              <w:t>3</w:t>
            </w:r>
            <w:r>
              <w:t>.2</w:t>
            </w:r>
          </w:p>
        </w:tc>
      </w:tr>
      <w:tr w14:paraId="6E710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vAlign w:val="center"/>
          </w:tcPr>
          <w:p w14:paraId="4FD99FB5">
            <w:pPr>
              <w:pStyle w:val="185"/>
            </w:pPr>
            <w:r>
              <w:t>300</w:t>
            </w:r>
            <w:r>
              <w:rPr>
                <w:rFonts w:hint="eastAsia"/>
              </w:rPr>
              <w:t>＜</w:t>
            </w:r>
            <w:r>
              <w:rPr>
                <w:rFonts w:hint="eastAsia"/>
                <w:i/>
              </w:rPr>
              <w:t>U</w:t>
            </w:r>
            <w:r>
              <w:rPr>
                <w:rFonts w:hint="eastAsia"/>
              </w:rPr>
              <w:t>≤</w:t>
            </w:r>
            <w:r>
              <w:t>600</w:t>
            </w:r>
          </w:p>
        </w:tc>
        <w:tc>
          <w:tcPr>
            <w:tcW w:w="3115" w:type="dxa"/>
            <w:vAlign w:val="center"/>
          </w:tcPr>
          <w:p w14:paraId="6AD0C20F">
            <w:pPr>
              <w:pStyle w:val="185"/>
            </w:pPr>
            <w:r>
              <w:rPr>
                <w:rFonts w:hint="eastAsia"/>
              </w:rPr>
              <w:t>5</w:t>
            </w:r>
            <w:r>
              <w:t>.5</w:t>
            </w:r>
          </w:p>
        </w:tc>
        <w:tc>
          <w:tcPr>
            <w:tcW w:w="3115" w:type="dxa"/>
            <w:vAlign w:val="center"/>
          </w:tcPr>
          <w:p w14:paraId="65B1BB73">
            <w:pPr>
              <w:pStyle w:val="185"/>
            </w:pPr>
            <w:r>
              <w:rPr>
                <w:rFonts w:hint="eastAsia"/>
              </w:rPr>
              <w:t>6</w:t>
            </w:r>
            <w:r>
              <w:t>.3</w:t>
            </w:r>
          </w:p>
        </w:tc>
      </w:tr>
    </w:tbl>
    <w:p w14:paraId="01A5693F">
      <w:pPr>
        <w:pStyle w:val="65"/>
        <w:ind w:firstLine="420"/>
      </w:pPr>
    </w:p>
    <w:p w14:paraId="41C342C5">
      <w:pPr>
        <w:pStyle w:val="2"/>
        <w:spacing w:before="120" w:beforeLines="50" w:after="120" w:afterLines="50" w:line="240" w:lineRule="auto"/>
        <w:rPr>
          <w:rFonts w:ascii="黑体" w:hAnsi="Times New Roman" w:eastAsia="黑体"/>
          <w:b w:val="0"/>
          <w:bCs w:val="0"/>
          <w:kern w:val="0"/>
          <w:sz w:val="21"/>
          <w:szCs w:val="20"/>
        </w:rPr>
      </w:pPr>
      <w:bookmarkStart w:id="86" w:name="_Toc202270558"/>
      <w:bookmarkStart w:id="87" w:name="_Toc213850858"/>
      <w:r>
        <w:rPr>
          <w:rFonts w:hint="eastAsia" w:ascii="黑体" w:hAnsi="Times New Roman" w:eastAsia="黑体"/>
          <w:b w:val="0"/>
          <w:bCs w:val="0"/>
          <w:kern w:val="0"/>
          <w:sz w:val="21"/>
          <w:szCs w:val="20"/>
        </w:rPr>
        <w:t>6.4.3.2海拔高度5000m及以下</w:t>
      </w:r>
      <w:bookmarkEnd w:id="86"/>
      <w:bookmarkEnd w:id="87"/>
    </w:p>
    <w:p w14:paraId="7AE551D6">
      <w:pPr>
        <w:pStyle w:val="65"/>
        <w:ind w:firstLine="420"/>
      </w:pPr>
      <w:r>
        <w:rPr>
          <w:rFonts w:hint="eastAsia"/>
        </w:rPr>
        <w:t>工作海拔高度在2</w:t>
      </w:r>
      <w:r>
        <w:t>000m</w:t>
      </w:r>
      <w:r>
        <w:rPr>
          <w:rFonts w:hint="eastAsia"/>
        </w:rPr>
        <w:t>以上、5</w:t>
      </w:r>
      <w:r>
        <w:t>000m</w:t>
      </w:r>
      <w:r>
        <w:rPr>
          <w:rFonts w:hint="eastAsia"/>
        </w:rPr>
        <w:t>及以下场所的标准表，其电气间隙应乘以表2规定的倍乘系数。</w:t>
      </w:r>
    </w:p>
    <w:p w14:paraId="4A8174FB">
      <w:pPr>
        <w:pStyle w:val="119"/>
        <w:spacing w:before="120" w:after="120"/>
        <w:ind w:left="0" w:firstLine="420"/>
      </w:pPr>
      <w:bookmarkStart w:id="88" w:name="_Toc148355138"/>
      <w:bookmarkStart w:id="89" w:name="_Toc143845788"/>
      <w:bookmarkStart w:id="90" w:name="_Toc148358619"/>
      <w:r>
        <w:rPr>
          <w:rFonts w:hint="eastAsia"/>
        </w:rPr>
        <w:t>海拔高度5</w:t>
      </w:r>
      <w:r>
        <w:t>000m</w:t>
      </w:r>
      <w:r>
        <w:rPr>
          <w:rFonts w:hint="eastAsia"/>
        </w:rPr>
        <w:t>以下电气间隙的倍乘系数</w:t>
      </w:r>
      <w:bookmarkEnd w:id="88"/>
      <w:bookmarkEnd w:id="89"/>
      <w:bookmarkEnd w:id="90"/>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72"/>
        <w:gridCol w:w="4672"/>
      </w:tblGrid>
      <w:tr w14:paraId="2A690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vAlign w:val="center"/>
          </w:tcPr>
          <w:p w14:paraId="63718CEF">
            <w:pPr>
              <w:pStyle w:val="185"/>
            </w:pPr>
            <w:r>
              <w:rPr>
                <w:rFonts w:hint="eastAsia"/>
              </w:rPr>
              <w:t>标准表工作的海拔高度</w:t>
            </w:r>
            <w:r>
              <w:rPr>
                <w:rFonts w:hint="eastAsia"/>
                <w:i/>
              </w:rPr>
              <w:t>h</w:t>
            </w:r>
          </w:p>
          <w:p w14:paraId="16389F2B">
            <w:pPr>
              <w:pStyle w:val="185"/>
            </w:pPr>
            <w:r>
              <w:rPr>
                <w:rFonts w:hint="eastAsia"/>
              </w:rPr>
              <w:t>m</w:t>
            </w:r>
          </w:p>
        </w:tc>
        <w:tc>
          <w:tcPr>
            <w:tcW w:w="4667" w:type="dxa"/>
            <w:tcBorders>
              <w:top w:val="single" w:color="auto" w:sz="8" w:space="0"/>
              <w:bottom w:val="single" w:color="auto" w:sz="8" w:space="0"/>
            </w:tcBorders>
            <w:vAlign w:val="center"/>
          </w:tcPr>
          <w:p w14:paraId="153EEF25">
            <w:pPr>
              <w:pStyle w:val="185"/>
            </w:pPr>
            <w:r>
              <w:rPr>
                <w:rFonts w:hint="eastAsia"/>
              </w:rPr>
              <w:t>倍乘系数</w:t>
            </w:r>
          </w:p>
        </w:tc>
      </w:tr>
      <w:tr w14:paraId="1EC0E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tcBorders>
              <w:top w:val="single" w:color="auto" w:sz="8" w:space="0"/>
            </w:tcBorders>
            <w:vAlign w:val="center"/>
          </w:tcPr>
          <w:p w14:paraId="1B151F3A">
            <w:pPr>
              <w:pStyle w:val="185"/>
            </w:pPr>
            <w:r>
              <w:rPr>
                <w:i/>
              </w:rPr>
              <w:t>h</w:t>
            </w:r>
            <w:r>
              <w:rPr>
                <w:rFonts w:hint="eastAsia"/>
              </w:rPr>
              <w:t>≤</w:t>
            </w:r>
            <w:r>
              <w:t>2000</w:t>
            </w:r>
          </w:p>
        </w:tc>
        <w:tc>
          <w:tcPr>
            <w:tcW w:w="4672" w:type="dxa"/>
            <w:tcBorders>
              <w:top w:val="single" w:color="auto" w:sz="8" w:space="0"/>
            </w:tcBorders>
            <w:vAlign w:val="center"/>
          </w:tcPr>
          <w:p w14:paraId="145BBF27">
            <w:pPr>
              <w:pStyle w:val="185"/>
            </w:pPr>
            <w:r>
              <w:rPr>
                <w:rFonts w:hint="eastAsia"/>
              </w:rPr>
              <w:t>1</w:t>
            </w:r>
            <w:r>
              <w:t>.0</w:t>
            </w:r>
          </w:p>
        </w:tc>
      </w:tr>
      <w:tr w14:paraId="1EFA6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vAlign w:val="center"/>
          </w:tcPr>
          <w:p w14:paraId="6A95C15A">
            <w:pPr>
              <w:pStyle w:val="185"/>
            </w:pPr>
            <w:r>
              <w:t>2001</w:t>
            </w:r>
            <w:r>
              <w:rPr>
                <w:rFonts w:hint="eastAsia"/>
              </w:rPr>
              <w:t>＜</w:t>
            </w:r>
            <w:r>
              <w:rPr>
                <w:i/>
              </w:rPr>
              <w:t>h</w:t>
            </w:r>
            <w:r>
              <w:rPr>
                <w:rFonts w:hint="eastAsia"/>
              </w:rPr>
              <w:t>≤</w:t>
            </w:r>
            <w:r>
              <w:t>3000</w:t>
            </w:r>
          </w:p>
        </w:tc>
        <w:tc>
          <w:tcPr>
            <w:tcW w:w="4672" w:type="dxa"/>
            <w:vAlign w:val="center"/>
          </w:tcPr>
          <w:p w14:paraId="0E279136">
            <w:pPr>
              <w:pStyle w:val="185"/>
            </w:pPr>
            <w:r>
              <w:rPr>
                <w:rFonts w:hint="eastAsia"/>
              </w:rPr>
              <w:t>1</w:t>
            </w:r>
            <w:r>
              <w:t>.14</w:t>
            </w:r>
          </w:p>
        </w:tc>
      </w:tr>
      <w:tr w14:paraId="5C72E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vAlign w:val="center"/>
          </w:tcPr>
          <w:p w14:paraId="083D3526">
            <w:pPr>
              <w:pStyle w:val="185"/>
            </w:pPr>
            <w:r>
              <w:t>3001</w:t>
            </w:r>
            <w:r>
              <w:rPr>
                <w:rFonts w:hint="eastAsia"/>
              </w:rPr>
              <w:t>＜</w:t>
            </w:r>
            <w:r>
              <w:rPr>
                <w:i/>
              </w:rPr>
              <w:t>h</w:t>
            </w:r>
            <w:r>
              <w:rPr>
                <w:rFonts w:hint="eastAsia"/>
              </w:rPr>
              <w:t>≤</w:t>
            </w:r>
            <w:r>
              <w:t>4000</w:t>
            </w:r>
          </w:p>
        </w:tc>
        <w:tc>
          <w:tcPr>
            <w:tcW w:w="4672" w:type="dxa"/>
            <w:vAlign w:val="center"/>
          </w:tcPr>
          <w:p w14:paraId="2F2C9593">
            <w:pPr>
              <w:pStyle w:val="185"/>
            </w:pPr>
            <w:r>
              <w:rPr>
                <w:rFonts w:hint="eastAsia"/>
              </w:rPr>
              <w:t>1</w:t>
            </w:r>
            <w:r>
              <w:t>.29</w:t>
            </w:r>
          </w:p>
        </w:tc>
      </w:tr>
      <w:tr w14:paraId="0193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tcBorders>
              <w:bottom w:val="single" w:color="auto" w:sz="8" w:space="0"/>
            </w:tcBorders>
            <w:vAlign w:val="center"/>
          </w:tcPr>
          <w:p w14:paraId="3F0805CA">
            <w:pPr>
              <w:pStyle w:val="185"/>
            </w:pPr>
            <w:r>
              <w:t>4001</w:t>
            </w:r>
            <w:r>
              <w:rPr>
                <w:rFonts w:hint="eastAsia"/>
              </w:rPr>
              <w:t>＜</w:t>
            </w:r>
            <w:r>
              <w:rPr>
                <w:i/>
              </w:rPr>
              <w:t>h</w:t>
            </w:r>
            <w:r>
              <w:rPr>
                <w:rFonts w:hint="eastAsia"/>
              </w:rPr>
              <w:t>≤</w:t>
            </w:r>
            <w:r>
              <w:t>5000</w:t>
            </w:r>
          </w:p>
        </w:tc>
        <w:tc>
          <w:tcPr>
            <w:tcW w:w="4672" w:type="dxa"/>
            <w:tcBorders>
              <w:bottom w:val="single" w:color="auto" w:sz="8" w:space="0"/>
            </w:tcBorders>
            <w:vAlign w:val="center"/>
          </w:tcPr>
          <w:p w14:paraId="31D2DDCA">
            <w:pPr>
              <w:pStyle w:val="185"/>
            </w:pPr>
            <w:r>
              <w:rPr>
                <w:rFonts w:hint="eastAsia"/>
              </w:rPr>
              <w:t>1</w:t>
            </w:r>
            <w:r>
              <w:t>.48</w:t>
            </w:r>
          </w:p>
        </w:tc>
      </w:tr>
      <w:tr w14:paraId="1A9E6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vAlign w:val="center"/>
          </w:tcPr>
          <w:p w14:paraId="0FAA7D87">
            <w:pPr>
              <w:pStyle w:val="186"/>
              <w:ind w:left="800"/>
            </w:pPr>
            <w:r>
              <w:rPr>
                <w:rFonts w:hint="eastAsia"/>
              </w:rPr>
              <w:t>表中数值取自G</w:t>
            </w:r>
            <w:r>
              <w:t>B/T 17215.231-2021</w:t>
            </w:r>
            <w:r>
              <w:rPr>
                <w:rFonts w:hint="eastAsia"/>
              </w:rPr>
              <w:t>的表5。</w:t>
            </w:r>
          </w:p>
        </w:tc>
      </w:tr>
    </w:tbl>
    <w:p w14:paraId="494272F6">
      <w:pPr>
        <w:pStyle w:val="74"/>
        <w:spacing w:before="120" w:after="120"/>
      </w:pPr>
      <w:bookmarkStart w:id="91" w:name="_Toc213850859"/>
      <w:bookmarkStart w:id="92" w:name="_Toc202270559"/>
      <w:r>
        <w:rPr>
          <w:rFonts w:hint="eastAsia"/>
        </w:rPr>
        <w:t>绝缘电阻</w:t>
      </w:r>
      <w:bookmarkEnd w:id="91"/>
      <w:bookmarkEnd w:id="92"/>
    </w:p>
    <w:p w14:paraId="154126F1">
      <w:pPr>
        <w:pStyle w:val="65"/>
        <w:ind w:firstLine="420"/>
      </w:pPr>
      <w:r>
        <w:rPr>
          <w:rFonts w:hint="eastAsia"/>
        </w:rPr>
        <w:t>标准表瞬联电气接口的导电部件和绝缘部件之间的绝缘电阻值不应小于1</w:t>
      </w:r>
      <w:r>
        <w:t>00</w:t>
      </w:r>
      <w:r>
        <w:rPr>
          <w:rFonts w:hint="eastAsia"/>
        </w:rPr>
        <w:t>MΩ。</w:t>
      </w:r>
    </w:p>
    <w:p w14:paraId="7F7FA5FE">
      <w:pPr>
        <w:pStyle w:val="112"/>
        <w:spacing w:before="120" w:after="120"/>
      </w:pPr>
      <w:bookmarkStart w:id="93" w:name="_Toc213850860"/>
      <w:r>
        <w:rPr>
          <w:rFonts w:hint="eastAsia"/>
        </w:rPr>
        <w:t>通信要求</w:t>
      </w:r>
      <w:bookmarkEnd w:id="93"/>
    </w:p>
    <w:p w14:paraId="5F0FF530">
      <w:pPr>
        <w:pStyle w:val="74"/>
        <w:spacing w:before="120" w:after="120"/>
      </w:pPr>
      <w:bookmarkStart w:id="94" w:name="_Toc202270561"/>
      <w:bookmarkStart w:id="95" w:name="_Toc213850861"/>
      <w:r>
        <w:rPr>
          <w:rFonts w:hint="eastAsia"/>
        </w:rPr>
        <w:t>通信方式</w:t>
      </w:r>
      <w:bookmarkEnd w:id="94"/>
      <w:bookmarkEnd w:id="95"/>
    </w:p>
    <w:p w14:paraId="023E0C48">
      <w:pPr>
        <w:pStyle w:val="65"/>
        <w:ind w:firstLine="420"/>
      </w:pPr>
      <w:r>
        <w:rPr>
          <w:rFonts w:hint="eastAsia"/>
        </w:rPr>
        <w:t>通信接口应支持RS232通信功能，</w:t>
      </w:r>
      <w:r>
        <w:t>全双工，点对点通信</w:t>
      </w:r>
      <w:r>
        <w:rPr>
          <w:rFonts w:hint="eastAsia"/>
        </w:rPr>
        <w:t>。</w:t>
      </w:r>
    </w:p>
    <w:p w14:paraId="2169D178">
      <w:pPr>
        <w:pStyle w:val="74"/>
        <w:spacing w:before="120" w:after="120"/>
      </w:pPr>
      <w:bookmarkStart w:id="96" w:name="_Toc213850862"/>
      <w:bookmarkStart w:id="97" w:name="_Toc202270562"/>
      <w:bookmarkStart w:id="98" w:name="_Hlk184751036"/>
      <w:r>
        <w:rPr>
          <w:rFonts w:hint="eastAsia"/>
        </w:rPr>
        <w:t>波特率</w:t>
      </w:r>
      <w:bookmarkEnd w:id="96"/>
      <w:bookmarkEnd w:id="97"/>
    </w:p>
    <w:bookmarkEnd w:id="98"/>
    <w:p w14:paraId="73959B9F">
      <w:pPr>
        <w:pStyle w:val="65"/>
        <w:ind w:firstLine="420"/>
      </w:pPr>
      <w:r>
        <w:rPr>
          <w:rFonts w:hint="eastAsia"/>
        </w:rPr>
        <w:t>通信波特率应可设置，波特率不应低于9600 bps。波特率的设置应有默认值，且波特率的默认值为9600 bps。</w:t>
      </w:r>
    </w:p>
    <w:p w14:paraId="4D8007FD">
      <w:pPr>
        <w:pStyle w:val="74"/>
        <w:spacing w:before="120" w:after="120"/>
      </w:pPr>
      <w:bookmarkStart w:id="99" w:name="_Toc213850863"/>
      <w:bookmarkStart w:id="100" w:name="_Toc202270563"/>
      <w:r>
        <w:rPr>
          <w:rFonts w:hint="eastAsia"/>
        </w:rPr>
        <w:t>通信协议</w:t>
      </w:r>
      <w:bookmarkEnd w:id="99"/>
      <w:bookmarkEnd w:id="100"/>
    </w:p>
    <w:p w14:paraId="43BF5E09">
      <w:pPr>
        <w:pStyle w:val="65"/>
        <w:ind w:firstLine="420"/>
        <w:rPr>
          <w:sz w:val="20"/>
        </w:rPr>
      </w:pPr>
      <w:r>
        <w:rPr>
          <w:rFonts w:hint="eastAsia"/>
        </w:rPr>
        <w:t>通信接口对上位机的通信协议应采用</w:t>
      </w:r>
      <w:bookmarkStart w:id="101" w:name="_Hlk213084580"/>
      <w:r>
        <w:rPr>
          <w:rFonts w:hint="eastAsia"/>
        </w:rPr>
        <w:t>RTU</w:t>
      </w:r>
      <w:bookmarkEnd w:id="101"/>
      <w:r>
        <w:rPr>
          <w:rFonts w:hint="eastAsia"/>
        </w:rPr>
        <w:t>的</w:t>
      </w:r>
      <w:r>
        <w:rPr>
          <w:rFonts w:hint="eastAsia"/>
          <w:szCs w:val="21"/>
        </w:rPr>
        <w:t>MODBUS协议，协议见附录B</w:t>
      </w:r>
      <w:r>
        <w:rPr>
          <w:rFonts w:hint="eastAsia"/>
          <w:sz w:val="20"/>
        </w:rPr>
        <w:t>。</w:t>
      </w:r>
      <w:r>
        <w:rPr>
          <w:rFonts w:hint="eastAsia"/>
        </w:rPr>
        <w:t>瞬联电气接口通信说明见附录C</w:t>
      </w:r>
      <w:r>
        <w:rPr>
          <w:rFonts w:hint="eastAsia"/>
          <w:sz w:val="20"/>
        </w:rPr>
        <w:t>。</w:t>
      </w:r>
      <w:r>
        <w:rPr>
          <w:rFonts w:hint="eastAsia"/>
        </w:rPr>
        <w:t xml:space="preserve">                                 </w:t>
      </w:r>
    </w:p>
    <w:p w14:paraId="1F87530B">
      <w:pPr>
        <w:pStyle w:val="74"/>
        <w:spacing w:before="120" w:after="120"/>
      </w:pPr>
      <w:bookmarkStart w:id="102" w:name="_Toc213850864"/>
      <w:bookmarkStart w:id="103" w:name="_Toc202270564"/>
      <w:r>
        <w:rPr>
          <w:rFonts w:hint="eastAsia"/>
        </w:rPr>
        <w:t>CRC校验</w:t>
      </w:r>
      <w:bookmarkEnd w:id="102"/>
      <w:bookmarkEnd w:id="103"/>
    </w:p>
    <w:p w14:paraId="25898352">
      <w:pPr>
        <w:pStyle w:val="65"/>
        <w:ind w:firstLine="420"/>
        <w:jc w:val="left"/>
      </w:pPr>
      <w:r>
        <w:rPr>
          <w:rFonts w:hint="eastAsia"/>
        </w:rPr>
        <w:t>通信帧校验应采用16位的CRC校验方式，MODBUS协议下的CRC校验应符合GB/T 19582.2-2008中6.5.1.2的规定。</w:t>
      </w:r>
    </w:p>
    <w:p w14:paraId="277FAEB7">
      <w:pPr>
        <w:pStyle w:val="111"/>
        <w:spacing w:before="240" w:after="240"/>
      </w:pPr>
      <w:bookmarkStart w:id="104" w:name="_Toc213850865"/>
      <w:r>
        <w:rPr>
          <w:rFonts w:hint="eastAsia"/>
        </w:rPr>
        <w:t>试验方法</w:t>
      </w:r>
      <w:bookmarkEnd w:id="104"/>
    </w:p>
    <w:p w14:paraId="685E78B9">
      <w:pPr>
        <w:pStyle w:val="112"/>
        <w:spacing w:before="120" w:after="120"/>
      </w:pPr>
      <w:bookmarkStart w:id="105" w:name="_Toc213850866"/>
      <w:r>
        <w:rPr>
          <w:rFonts w:hint="eastAsia"/>
        </w:rPr>
        <w:t>外观</w:t>
      </w:r>
      <w:bookmarkEnd w:id="105"/>
    </w:p>
    <w:p w14:paraId="0B4A2DAC">
      <w:pPr>
        <w:pStyle w:val="65"/>
        <w:ind w:firstLine="420"/>
      </w:pPr>
      <w:r>
        <w:rPr>
          <w:rFonts w:hint="eastAsia"/>
        </w:rPr>
        <w:t>目测法，标识和标志的耐久性按照G</w:t>
      </w:r>
      <w:r>
        <w:t>B/T 17215.231-2021</w:t>
      </w:r>
      <w:r>
        <w:rPr>
          <w:rFonts w:hint="eastAsia"/>
        </w:rPr>
        <w:t>中5</w:t>
      </w:r>
      <w:r>
        <w:t>.2.2</w:t>
      </w:r>
      <w:r>
        <w:rPr>
          <w:rFonts w:hint="eastAsia"/>
        </w:rPr>
        <w:t>的方法进行试验。</w:t>
      </w:r>
    </w:p>
    <w:p w14:paraId="37C6D881">
      <w:pPr>
        <w:pStyle w:val="112"/>
        <w:spacing w:before="120" w:after="120"/>
      </w:pPr>
      <w:bookmarkStart w:id="106" w:name="_Toc213850867"/>
      <w:r>
        <w:rPr>
          <w:rFonts w:hint="eastAsia"/>
        </w:rPr>
        <w:t>环境要求</w:t>
      </w:r>
      <w:bookmarkEnd w:id="106"/>
    </w:p>
    <w:p w14:paraId="626CAF78">
      <w:pPr>
        <w:pStyle w:val="74"/>
        <w:spacing w:before="120" w:after="120"/>
      </w:pPr>
      <w:bookmarkStart w:id="107" w:name="_Toc213850868"/>
      <w:bookmarkStart w:id="108" w:name="_Toc202270568"/>
      <w:r>
        <w:rPr>
          <w:rFonts w:hint="eastAsia"/>
        </w:rPr>
        <w:t>气候适应性</w:t>
      </w:r>
      <w:bookmarkEnd w:id="107"/>
      <w:bookmarkEnd w:id="108"/>
    </w:p>
    <w:p w14:paraId="7E9469EE">
      <w:pPr>
        <w:pStyle w:val="139"/>
        <w:numPr>
          <w:ilvl w:val="0"/>
          <w:numId w:val="0"/>
        </w:numPr>
        <w:ind w:firstLine="420" w:firstLineChars="200"/>
      </w:pPr>
      <w:r>
        <w:rPr>
          <w:rFonts w:hint="eastAsia"/>
        </w:rPr>
        <w:t>标准表的瞬联电气接口气候适应性应随标准表试验，按照</w:t>
      </w:r>
      <w:r>
        <w:t xml:space="preserve">GB/T </w:t>
      </w:r>
      <w:r>
        <w:rPr>
          <w:rFonts w:hint="eastAsia"/>
        </w:rPr>
        <w:t>43918</w:t>
      </w:r>
      <w:r>
        <w:t>-20</w:t>
      </w:r>
      <w:r>
        <w:rPr>
          <w:rFonts w:hint="eastAsia"/>
        </w:rPr>
        <w:t>24第9章规定的方法，进行不少于2个循环的交变热试验。</w:t>
      </w:r>
    </w:p>
    <w:p w14:paraId="1EB0B969">
      <w:pPr>
        <w:pStyle w:val="74"/>
        <w:spacing w:before="120" w:after="120"/>
      </w:pPr>
      <w:bookmarkStart w:id="109" w:name="_Toc202270569"/>
      <w:bookmarkStart w:id="110" w:name="_Toc213850869"/>
      <w:r>
        <w:rPr>
          <w:rFonts w:hint="eastAsia"/>
        </w:rPr>
        <w:t>贮存环境</w:t>
      </w:r>
      <w:bookmarkEnd w:id="109"/>
      <w:bookmarkEnd w:id="110"/>
    </w:p>
    <w:p w14:paraId="7CC5C4FC">
      <w:pPr>
        <w:pStyle w:val="65"/>
        <w:ind w:firstLine="420"/>
      </w:pPr>
      <w:r>
        <w:rPr>
          <w:rFonts w:hint="eastAsia"/>
        </w:rPr>
        <w:t>标准表的瞬联电气接口贮存应随标准表试验，按照</w:t>
      </w:r>
      <w:r>
        <w:t xml:space="preserve">GB/T </w:t>
      </w:r>
      <w:r>
        <w:rPr>
          <w:rFonts w:hint="eastAsia"/>
        </w:rPr>
        <w:t>43918</w:t>
      </w:r>
      <w:r>
        <w:t>-20</w:t>
      </w:r>
      <w:r>
        <w:rPr>
          <w:rFonts w:hint="eastAsia"/>
        </w:rPr>
        <w:t>24中11.3.2和11.3.3规定的方法，进行高温试验和低温试验。</w:t>
      </w:r>
    </w:p>
    <w:p w14:paraId="4A230191">
      <w:pPr>
        <w:pStyle w:val="112"/>
        <w:spacing w:before="120" w:after="120"/>
      </w:pPr>
      <w:bookmarkStart w:id="111" w:name="_Toc213850870"/>
      <w:r>
        <w:rPr>
          <w:rFonts w:hint="eastAsia"/>
        </w:rPr>
        <w:t>机械性能</w:t>
      </w:r>
      <w:bookmarkEnd w:id="111"/>
    </w:p>
    <w:p w14:paraId="3BFFE1A1">
      <w:pPr>
        <w:pStyle w:val="74"/>
        <w:spacing w:before="120" w:after="120"/>
      </w:pPr>
      <w:bookmarkStart w:id="112" w:name="_Toc202270571"/>
      <w:bookmarkStart w:id="113" w:name="_Toc213850871"/>
      <w:r>
        <w:rPr>
          <w:rFonts w:hint="eastAsia"/>
        </w:rPr>
        <w:t>冲击</w:t>
      </w:r>
      <w:bookmarkEnd w:id="112"/>
      <w:bookmarkEnd w:id="113"/>
    </w:p>
    <w:p w14:paraId="627FC20A">
      <w:pPr>
        <w:pStyle w:val="65"/>
        <w:ind w:firstLine="420"/>
      </w:pPr>
      <w:r>
        <w:rPr>
          <w:rFonts w:hint="eastAsia"/>
        </w:rPr>
        <w:t>标准表的瞬联电气接口</w:t>
      </w:r>
      <w:r>
        <w:rPr>
          <w:rFonts w:hint="eastAsia"/>
          <w:strike/>
        </w:rPr>
        <w:t>抗</w:t>
      </w:r>
      <w:r>
        <w:rPr>
          <w:rFonts w:hint="eastAsia"/>
        </w:rPr>
        <w:t>冲击试验应随标准表试验，试验按照</w:t>
      </w:r>
      <w:r>
        <w:t xml:space="preserve">GB/T </w:t>
      </w:r>
      <w:r>
        <w:rPr>
          <w:rFonts w:hint="eastAsia"/>
        </w:rPr>
        <w:t>43918</w:t>
      </w:r>
      <w:r>
        <w:t>-20</w:t>
      </w:r>
      <w:r>
        <w:rPr>
          <w:rFonts w:hint="eastAsia"/>
        </w:rPr>
        <w:t>24中5.2.3规定的方法进行试验。</w:t>
      </w:r>
    </w:p>
    <w:p w14:paraId="5A43F0B1">
      <w:pPr>
        <w:pStyle w:val="74"/>
        <w:spacing w:before="120" w:after="120"/>
      </w:pPr>
      <w:bookmarkStart w:id="114" w:name="_Toc202270572"/>
      <w:bookmarkStart w:id="115" w:name="_Toc213850872"/>
      <w:r>
        <w:rPr>
          <w:rFonts w:hint="eastAsia"/>
        </w:rPr>
        <w:t>振动</w:t>
      </w:r>
      <w:bookmarkEnd w:id="114"/>
      <w:bookmarkEnd w:id="115"/>
    </w:p>
    <w:p w14:paraId="7B75A830">
      <w:pPr>
        <w:pStyle w:val="65"/>
        <w:ind w:firstLine="420"/>
      </w:pPr>
      <w:r>
        <w:rPr>
          <w:rFonts w:hint="eastAsia"/>
        </w:rPr>
        <w:t>标准表的瞬联电气接口振动试验应随标准表试验，试验按照</w:t>
      </w:r>
      <w:r>
        <w:t xml:space="preserve">GB/T </w:t>
      </w:r>
      <w:r>
        <w:rPr>
          <w:rFonts w:hint="eastAsia"/>
        </w:rPr>
        <w:t>43918</w:t>
      </w:r>
      <w:r>
        <w:t>-20</w:t>
      </w:r>
      <w:r>
        <w:rPr>
          <w:rFonts w:hint="eastAsia"/>
        </w:rPr>
        <w:t>24中5.2.3规定的方法进行试验。</w:t>
      </w:r>
    </w:p>
    <w:p w14:paraId="6BC23D3C">
      <w:pPr>
        <w:pStyle w:val="74"/>
        <w:spacing w:before="120" w:after="120"/>
      </w:pPr>
      <w:bookmarkStart w:id="116" w:name="_Toc202270573"/>
      <w:bookmarkStart w:id="117" w:name="_Toc213850873"/>
      <w:r>
        <w:rPr>
          <w:rFonts w:hint="eastAsia"/>
        </w:rPr>
        <w:t>耐热阻燃</w:t>
      </w:r>
      <w:bookmarkEnd w:id="116"/>
      <w:bookmarkEnd w:id="117"/>
    </w:p>
    <w:p w14:paraId="15B4141F">
      <w:pPr>
        <w:pStyle w:val="65"/>
        <w:ind w:firstLine="420"/>
      </w:pPr>
      <w:r>
        <w:rPr>
          <w:rFonts w:hint="eastAsia"/>
        </w:rPr>
        <w:t>试验应按照G</w:t>
      </w:r>
      <w:r>
        <w:t>B/T 5169.11-2017</w:t>
      </w:r>
      <w:r>
        <w:rPr>
          <w:rFonts w:hint="eastAsia"/>
        </w:rPr>
        <w:t>规定的方法进行试验。</w:t>
      </w:r>
    </w:p>
    <w:p w14:paraId="38749D56">
      <w:pPr>
        <w:pStyle w:val="74"/>
        <w:spacing w:before="120" w:after="120"/>
      </w:pPr>
      <w:bookmarkStart w:id="118" w:name="_Toc202270574"/>
      <w:bookmarkStart w:id="119" w:name="_Toc213850874"/>
      <w:r>
        <w:rPr>
          <w:rFonts w:hint="eastAsia"/>
        </w:rPr>
        <w:t>防护等级</w:t>
      </w:r>
      <w:bookmarkEnd w:id="118"/>
      <w:bookmarkEnd w:id="119"/>
    </w:p>
    <w:p w14:paraId="6CC4CF4C">
      <w:pPr>
        <w:pStyle w:val="65"/>
        <w:ind w:firstLine="420"/>
      </w:pPr>
      <w:r>
        <w:rPr>
          <w:rFonts w:hint="eastAsia"/>
        </w:rPr>
        <w:t>标准表的瞬联电气接口防护等级随标准表试验，试验按照G</w:t>
      </w:r>
      <w:r>
        <w:t>B/T 4208-2017</w:t>
      </w:r>
      <w:r>
        <w:rPr>
          <w:rFonts w:hint="eastAsia"/>
        </w:rPr>
        <w:t>规定的方法进行试验。</w:t>
      </w:r>
    </w:p>
    <w:p w14:paraId="55517565">
      <w:pPr>
        <w:pStyle w:val="112"/>
        <w:spacing w:before="120" w:after="120"/>
      </w:pPr>
      <w:bookmarkStart w:id="120" w:name="_Toc213850875"/>
      <w:r>
        <w:rPr>
          <w:rFonts w:hint="eastAsia"/>
        </w:rPr>
        <w:t>电气性能</w:t>
      </w:r>
      <w:bookmarkEnd w:id="120"/>
    </w:p>
    <w:p w14:paraId="311174FD">
      <w:pPr>
        <w:pStyle w:val="74"/>
        <w:spacing w:before="120" w:after="120"/>
      </w:pPr>
      <w:bookmarkStart w:id="121" w:name="_Toc213850876"/>
      <w:bookmarkStart w:id="122" w:name="_Toc202270576"/>
      <w:r>
        <w:rPr>
          <w:rFonts w:hint="eastAsia"/>
        </w:rPr>
        <w:t>电流测量端子</w:t>
      </w:r>
      <w:bookmarkEnd w:id="121"/>
      <w:bookmarkEnd w:id="122"/>
    </w:p>
    <w:p w14:paraId="05C1EAD3">
      <w:pPr>
        <w:pStyle w:val="65"/>
        <w:ind w:firstLine="420"/>
      </w:pPr>
      <w:r>
        <w:rPr>
          <w:rFonts w:hint="eastAsia"/>
        </w:rPr>
        <w:t>电流测量端子的最大电流承载试验应按照G</w:t>
      </w:r>
      <w:r>
        <w:t>B/T 17215.231-2021</w:t>
      </w:r>
      <w:r>
        <w:rPr>
          <w:rFonts w:hint="eastAsia"/>
        </w:rPr>
        <w:t>中10.4规定的方法进行试验。</w:t>
      </w:r>
    </w:p>
    <w:p w14:paraId="7B5A5D1E">
      <w:pPr>
        <w:pStyle w:val="74"/>
        <w:spacing w:before="120" w:after="120"/>
      </w:pPr>
      <w:bookmarkStart w:id="123" w:name="_Toc213850877"/>
      <w:bookmarkStart w:id="124" w:name="_Toc202270577"/>
      <w:r>
        <w:rPr>
          <w:rFonts w:hint="eastAsia"/>
        </w:rPr>
        <w:t>脉冲输入输出</w:t>
      </w:r>
      <w:bookmarkEnd w:id="123"/>
      <w:bookmarkEnd w:id="124"/>
    </w:p>
    <w:p w14:paraId="54B33824">
      <w:pPr>
        <w:pStyle w:val="65"/>
        <w:ind w:firstLine="420"/>
      </w:pPr>
      <w:r>
        <w:rPr>
          <w:rFonts w:hint="eastAsia"/>
        </w:rPr>
        <w:t>脉冲输入试应验按照GB/T 17215.211-2021中5.8.2规定的方法进行试验。</w:t>
      </w:r>
    </w:p>
    <w:p w14:paraId="7A7D9ACF">
      <w:pPr>
        <w:pStyle w:val="65"/>
        <w:ind w:firstLine="420"/>
      </w:pPr>
      <w:r>
        <w:rPr>
          <w:rFonts w:hint="eastAsia"/>
        </w:rPr>
        <w:t>脉冲输出试验应按照GB/T 17215.211-2021中5.7.4.2规定的方法进行试验。</w:t>
      </w:r>
    </w:p>
    <w:p w14:paraId="3FA90051">
      <w:pPr>
        <w:pStyle w:val="74"/>
        <w:spacing w:before="120" w:after="120"/>
      </w:pPr>
      <w:bookmarkStart w:id="125" w:name="_Toc213850878"/>
      <w:bookmarkStart w:id="126" w:name="_Toc202270578"/>
      <w:r>
        <w:rPr>
          <w:rFonts w:hint="eastAsia"/>
        </w:rPr>
        <w:t>电气间隙和爬电距离</w:t>
      </w:r>
      <w:bookmarkEnd w:id="125"/>
      <w:bookmarkEnd w:id="126"/>
    </w:p>
    <w:p w14:paraId="517E0CD9">
      <w:pPr>
        <w:pStyle w:val="65"/>
        <w:ind w:firstLine="420"/>
      </w:pPr>
      <w:r>
        <w:rPr>
          <w:rFonts w:hint="eastAsia"/>
        </w:rPr>
        <w:t>电气间隙和爬电距离应按照GB/T 43918-2024中5.2.6的规定进行试验。</w:t>
      </w:r>
    </w:p>
    <w:p w14:paraId="6BBFD079">
      <w:pPr>
        <w:pStyle w:val="74"/>
        <w:spacing w:before="120" w:after="120"/>
      </w:pPr>
      <w:bookmarkStart w:id="127" w:name="_Toc213850879"/>
      <w:bookmarkStart w:id="128" w:name="_Toc202270579"/>
      <w:r>
        <w:rPr>
          <w:rFonts w:hint="eastAsia"/>
        </w:rPr>
        <w:t>绝缘电阻</w:t>
      </w:r>
      <w:bookmarkEnd w:id="127"/>
      <w:bookmarkEnd w:id="128"/>
    </w:p>
    <w:p w14:paraId="38ADA486">
      <w:pPr>
        <w:pStyle w:val="65"/>
        <w:ind w:firstLine="420"/>
      </w:pPr>
      <w:r>
        <w:rPr>
          <w:rFonts w:hint="eastAsia"/>
        </w:rPr>
        <w:t>应按照GB/T 15078-2021规定的方法进行试验。</w:t>
      </w:r>
    </w:p>
    <w:p w14:paraId="788D782D">
      <w:pPr>
        <w:pStyle w:val="65"/>
        <w:ind w:firstLine="420"/>
      </w:pPr>
    </w:p>
    <w:p w14:paraId="66484BD5">
      <w:pPr>
        <w:pStyle w:val="65"/>
        <w:ind w:firstLine="420"/>
      </w:pPr>
    </w:p>
    <w:p w14:paraId="7E922362">
      <w:pPr>
        <w:pStyle w:val="65"/>
        <w:ind w:firstLine="420"/>
      </w:pPr>
    </w:p>
    <w:p w14:paraId="47647437">
      <w:pPr>
        <w:pStyle w:val="65"/>
        <w:ind w:firstLine="420"/>
      </w:pPr>
    </w:p>
    <w:p w14:paraId="73CB4781">
      <w:pPr>
        <w:pStyle w:val="65"/>
        <w:ind w:firstLine="420"/>
      </w:pPr>
    </w:p>
    <w:p w14:paraId="588324C9">
      <w:pPr>
        <w:pStyle w:val="65"/>
        <w:ind w:firstLine="420"/>
      </w:pPr>
    </w:p>
    <w:p w14:paraId="3A2715DA">
      <w:pPr>
        <w:pStyle w:val="65"/>
        <w:ind w:firstLine="420"/>
      </w:pPr>
    </w:p>
    <w:p w14:paraId="087E1614">
      <w:pPr>
        <w:pStyle w:val="65"/>
        <w:ind w:firstLine="420"/>
      </w:pPr>
    </w:p>
    <w:p w14:paraId="6821B47C">
      <w:pPr>
        <w:pStyle w:val="65"/>
        <w:ind w:firstLine="420"/>
      </w:pPr>
    </w:p>
    <w:p w14:paraId="7015F43A">
      <w:pPr>
        <w:pStyle w:val="65"/>
        <w:ind w:firstLine="420"/>
      </w:pPr>
    </w:p>
    <w:p w14:paraId="15474697">
      <w:pPr>
        <w:pStyle w:val="65"/>
        <w:ind w:firstLine="420"/>
      </w:pPr>
    </w:p>
    <w:p w14:paraId="6A6BC986">
      <w:pPr>
        <w:pStyle w:val="65"/>
        <w:ind w:firstLine="420"/>
      </w:pPr>
    </w:p>
    <w:p w14:paraId="441EFC23">
      <w:pPr>
        <w:pStyle w:val="65"/>
        <w:ind w:firstLine="420"/>
      </w:pPr>
    </w:p>
    <w:p w14:paraId="73BB981D">
      <w:pPr>
        <w:pStyle w:val="85"/>
        <w:spacing w:before="100" w:beforeAutospacing="1" w:after="120"/>
        <w:ind w:left="567"/>
      </w:pPr>
      <w:bookmarkStart w:id="129" w:name="_Toc202270580"/>
      <w:bookmarkEnd w:id="129"/>
      <w:r>
        <w:br w:type="textWrapping"/>
      </w:r>
      <w:bookmarkStart w:id="130" w:name="_Toc213850880"/>
      <w:r>
        <w:rPr>
          <w:rFonts w:hint="eastAsia"/>
        </w:rPr>
        <w:t>（资料性）</w:t>
      </w:r>
      <w:r>
        <w:br w:type="textWrapping"/>
      </w:r>
      <w:r>
        <w:rPr>
          <w:rFonts w:hint="eastAsia"/>
        </w:rPr>
        <w:t>标准表背面板整体布局</w:t>
      </w:r>
      <w:bookmarkEnd w:id="130"/>
    </w:p>
    <w:p w14:paraId="7EC782B9">
      <w:pPr>
        <w:pStyle w:val="205"/>
        <w:numPr>
          <w:ilvl w:val="0"/>
          <w:numId w:val="0"/>
        </w:numPr>
        <w:jc w:val="both"/>
        <w:rPr>
          <w:rFonts w:hint="eastAsia"/>
          <w:vanish w:val="0"/>
        </w:rPr>
      </w:pPr>
    </w:p>
    <w:p w14:paraId="46EEEC84">
      <w:pPr>
        <w:pStyle w:val="206"/>
        <w:numPr>
          <w:ilvl w:val="0"/>
          <w:numId w:val="0"/>
        </w:numPr>
        <w:ind w:left="425"/>
        <w:jc w:val="both"/>
        <w:rPr>
          <w:vanish w:val="0"/>
        </w:rPr>
      </w:pPr>
    </w:p>
    <w:p w14:paraId="56F460CA">
      <w:pPr>
        <w:pStyle w:val="87"/>
        <w:spacing w:before="120" w:after="120"/>
        <w:ind w:firstLine="420"/>
      </w:pPr>
      <w:bookmarkStart w:id="131" w:name="_Toc202270063"/>
      <w:bookmarkStart w:id="132" w:name="_Toc198560603"/>
      <w:bookmarkStart w:id="133" w:name="_Toc202270582"/>
      <w:bookmarkStart w:id="134" w:name="_Toc184756198"/>
      <w:bookmarkStart w:id="135" w:name="_Toc213850881"/>
      <w:bookmarkStart w:id="136" w:name="_Toc213849434"/>
      <w:r>
        <w:rPr>
          <w:rFonts w:hint="eastAsia"/>
        </w:rPr>
        <w:t>单相标准表各端子结构布局</w:t>
      </w:r>
      <w:bookmarkEnd w:id="131"/>
      <w:bookmarkEnd w:id="132"/>
      <w:bookmarkEnd w:id="133"/>
      <w:bookmarkEnd w:id="134"/>
      <w:bookmarkEnd w:id="135"/>
      <w:bookmarkEnd w:id="136"/>
    </w:p>
    <w:p w14:paraId="7832013E">
      <w:pPr>
        <w:pStyle w:val="87"/>
        <w:numPr>
          <w:ilvl w:val="0"/>
          <w:numId w:val="0"/>
        </w:numPr>
        <w:spacing w:before="120" w:after="120"/>
        <w:ind w:left="420" w:leftChars="200"/>
      </w:pPr>
      <w:bookmarkStart w:id="137" w:name="_Toc184756199"/>
      <w:bookmarkStart w:id="138" w:name="_Toc202270064"/>
      <w:bookmarkStart w:id="139" w:name="_Toc198560604"/>
      <w:bookmarkStart w:id="140" w:name="_Toc213850882"/>
      <w:bookmarkStart w:id="141" w:name="_Toc213849435"/>
      <w:bookmarkStart w:id="142" w:name="_Toc202270583"/>
      <w:r>
        <w:rPr>
          <w:rFonts w:hint="eastAsia"/>
        </w:rPr>
        <w:t>A.1.1单相标准表背面板结构布局图</w:t>
      </w:r>
      <w:bookmarkEnd w:id="137"/>
      <w:bookmarkEnd w:id="138"/>
      <w:bookmarkEnd w:id="139"/>
      <w:bookmarkEnd w:id="140"/>
      <w:bookmarkEnd w:id="141"/>
      <w:bookmarkEnd w:id="142"/>
    </w:p>
    <w:p w14:paraId="31669BE3">
      <w:pPr>
        <w:pStyle w:val="65"/>
        <w:ind w:firstLine="420"/>
        <w:rPr>
          <w:sz w:val="15"/>
          <w:szCs w:val="15"/>
        </w:rPr>
      </w:pPr>
      <w:r>
        <w:rPr>
          <w:rFonts w:hint="eastAsia"/>
        </w:rPr>
        <w:t xml:space="preserve">单相标准表背面板的整体布局应与图A.1的结构相符合。 </w:t>
      </w:r>
    </w:p>
    <w:p w14:paraId="487730C0">
      <w:pPr>
        <w:pStyle w:val="65"/>
        <w:ind w:firstLine="420"/>
        <w:rPr>
          <w:rFonts w:hint="eastAsia" w:ascii="黑体" w:hAnsi="黑体" w:eastAsia="黑体"/>
        </w:rPr>
      </w:pPr>
      <w:r>
        <w:drawing>
          <wp:inline distT="0" distB="0" distL="0" distR="0">
            <wp:extent cx="5939790" cy="2305685"/>
            <wp:effectExtent l="0" t="0" r="3810" b="0"/>
            <wp:docPr id="12266995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99556"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39790" cy="2305685"/>
                    </a:xfrm>
                    <a:prstGeom prst="rect">
                      <a:avLst/>
                    </a:prstGeom>
                    <a:noFill/>
                    <a:ln>
                      <a:noFill/>
                    </a:ln>
                  </pic:spPr>
                </pic:pic>
              </a:graphicData>
            </a:graphic>
          </wp:inline>
        </w:drawing>
      </w:r>
      <w:r>
        <w:rPr>
          <w:rFonts w:hint="eastAsia"/>
        </w:rPr>
        <w:t xml:space="preserve">                                  </w:t>
      </w:r>
      <w:r>
        <w:rPr>
          <w:rFonts w:hint="eastAsia" w:ascii="黑体" w:hAnsi="黑体" w:eastAsia="黑体"/>
        </w:rPr>
        <w:t xml:space="preserve"> A.1 标准表背面板整体布局图 </w:t>
      </w:r>
    </w:p>
    <w:p w14:paraId="1F961510">
      <w:pPr>
        <w:pStyle w:val="65"/>
        <w:ind w:firstLine="420"/>
      </w:pPr>
    </w:p>
    <w:p w14:paraId="5BB2BC16">
      <w:pPr>
        <w:pStyle w:val="87"/>
        <w:numPr>
          <w:ilvl w:val="0"/>
          <w:numId w:val="0"/>
        </w:numPr>
        <w:spacing w:before="120" w:after="120"/>
        <w:ind w:firstLine="420" w:firstLineChars="200"/>
      </w:pPr>
      <w:bookmarkStart w:id="143" w:name="_Toc198560605"/>
      <w:bookmarkStart w:id="144" w:name="_Toc202270065"/>
      <w:bookmarkStart w:id="145" w:name="_Toc202270584"/>
      <w:bookmarkStart w:id="146" w:name="_Toc213849436"/>
      <w:bookmarkStart w:id="147" w:name="_Toc213850883"/>
      <w:bookmarkStart w:id="148" w:name="_Toc184756200"/>
      <w:r>
        <w:rPr>
          <w:rFonts w:hint="eastAsia"/>
        </w:rPr>
        <w:t>A.1.2单相标准表瞬联电气接口布局要求</w:t>
      </w:r>
      <w:bookmarkEnd w:id="143"/>
      <w:bookmarkEnd w:id="144"/>
      <w:bookmarkEnd w:id="145"/>
      <w:bookmarkEnd w:id="146"/>
      <w:bookmarkEnd w:id="147"/>
      <w:bookmarkEnd w:id="148"/>
    </w:p>
    <w:p w14:paraId="72E67773">
      <w:pPr>
        <w:pStyle w:val="65"/>
        <w:ind w:firstLine="840" w:firstLineChars="400"/>
      </w:pPr>
      <w:r>
        <w:rPr>
          <w:rFonts w:hint="eastAsia"/>
        </w:rPr>
        <w:t>电流测量接口、电压测量接口与辅助电源接口、脉冲接口和通信接口独立设计，强电与弱电分离。单相标准表瞬联电气接口布局应与图A.2的结构相符合。</w:t>
      </w:r>
    </w:p>
    <w:p w14:paraId="0E81605B">
      <w:pPr>
        <w:pStyle w:val="65"/>
        <w:ind w:firstLine="420"/>
      </w:pPr>
      <w:r>
        <w:rPr>
          <w:rFonts w:hint="eastAsia"/>
        </w:rPr>
        <w:t xml:space="preserve">                                                           </w:t>
      </w:r>
      <w:r>
        <w:rPr>
          <w:rFonts w:hint="eastAsia"/>
          <w:sz w:val="15"/>
          <w:szCs w:val="15"/>
        </w:rPr>
        <w:t>单位：mm</w:t>
      </w:r>
    </w:p>
    <w:p w14:paraId="145A33FD">
      <w:pPr>
        <w:pStyle w:val="65"/>
        <w:ind w:firstLine="199" w:firstLineChars="95"/>
        <w:jc w:val="center"/>
      </w:pPr>
      <w:r>
        <w:drawing>
          <wp:inline distT="0" distB="0" distL="0" distR="0">
            <wp:extent cx="2710180" cy="2074545"/>
            <wp:effectExtent l="0" t="0" r="0" b="1905"/>
            <wp:docPr id="12340633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63318"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38697" cy="2096477"/>
                    </a:xfrm>
                    <a:prstGeom prst="rect">
                      <a:avLst/>
                    </a:prstGeom>
                    <a:noFill/>
                    <a:ln>
                      <a:noFill/>
                    </a:ln>
                  </pic:spPr>
                </pic:pic>
              </a:graphicData>
            </a:graphic>
          </wp:inline>
        </w:drawing>
      </w:r>
    </w:p>
    <w:p w14:paraId="63893BD6">
      <w:pPr>
        <w:pStyle w:val="65"/>
        <w:ind w:firstLine="3349" w:firstLineChars="1595"/>
        <w:rPr>
          <w:rFonts w:hint="eastAsia" w:ascii="黑体" w:hAnsi="黑体" w:eastAsia="黑体"/>
        </w:rPr>
      </w:pPr>
      <w:r>
        <w:rPr>
          <w:rFonts w:hint="eastAsia" w:ascii="黑体" w:hAnsi="黑体" w:eastAsia="黑体"/>
        </w:rPr>
        <w:t>A.2 标准表瞬联电气接口布局图</w:t>
      </w:r>
    </w:p>
    <w:p w14:paraId="22C97329">
      <w:pPr>
        <w:pStyle w:val="65"/>
        <w:ind w:firstLine="3349" w:firstLineChars="1595"/>
      </w:pPr>
    </w:p>
    <w:p w14:paraId="2553AD62">
      <w:pPr>
        <w:pStyle w:val="87"/>
        <w:numPr>
          <w:ilvl w:val="0"/>
          <w:numId w:val="0"/>
        </w:numPr>
        <w:spacing w:before="120" w:after="120"/>
        <w:ind w:firstLine="420" w:firstLineChars="200"/>
      </w:pPr>
      <w:bookmarkStart w:id="149" w:name="_Toc202270066"/>
      <w:bookmarkStart w:id="150" w:name="_Toc213850884"/>
      <w:bookmarkStart w:id="151" w:name="_Toc202270585"/>
      <w:bookmarkStart w:id="152" w:name="_Toc198560606"/>
      <w:bookmarkStart w:id="153" w:name="_Toc184756201"/>
      <w:bookmarkStart w:id="154" w:name="_Toc213849437"/>
      <w:r>
        <w:rPr>
          <w:rFonts w:hint="eastAsia"/>
        </w:rPr>
        <w:t>A.2单相标准表瞬联电气接口-电流测量接口</w:t>
      </w:r>
      <w:bookmarkEnd w:id="149"/>
      <w:bookmarkEnd w:id="150"/>
      <w:bookmarkEnd w:id="151"/>
      <w:bookmarkEnd w:id="152"/>
      <w:bookmarkEnd w:id="153"/>
      <w:bookmarkEnd w:id="154"/>
    </w:p>
    <w:p w14:paraId="162F5901">
      <w:pPr>
        <w:pStyle w:val="65"/>
        <w:ind w:firstLine="420"/>
      </w:pPr>
      <w:r>
        <w:rPr>
          <w:rFonts w:hint="eastAsia"/>
        </w:rPr>
        <w:t>电流测量接口采用孔径为</w:t>
      </w:r>
      <w:r>
        <w:rPr>
          <w:rFonts w:hint="eastAsia" w:ascii="Arial Unicode MS" w:hAnsi="Arial Unicode MS" w:eastAsia="Arial Unicode MS" w:cs="Arial Unicode MS"/>
        </w:rPr>
        <w:t>ϕ</w:t>
      </w:r>
      <w:r>
        <w:rPr>
          <w:rFonts w:hint="eastAsia"/>
        </w:rPr>
        <w:t>6 mm的埋放式端子，电流采用单端子输入,端子排列应与图A.3的结构相符合,接口定义应符合表A.1的规定。</w:t>
      </w:r>
    </w:p>
    <w:p w14:paraId="31762B05">
      <w:pPr>
        <w:pStyle w:val="65"/>
        <w:ind w:firstLine="199" w:firstLineChars="95"/>
        <w:jc w:val="center"/>
      </w:pPr>
      <w:r>
        <w:drawing>
          <wp:inline distT="0" distB="0" distL="0" distR="0">
            <wp:extent cx="1833880" cy="903605"/>
            <wp:effectExtent l="0" t="0" r="0" b="0"/>
            <wp:docPr id="5669398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39857"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66053" cy="919999"/>
                    </a:xfrm>
                    <a:prstGeom prst="rect">
                      <a:avLst/>
                    </a:prstGeom>
                    <a:noFill/>
                    <a:ln>
                      <a:noFill/>
                    </a:ln>
                  </pic:spPr>
                </pic:pic>
              </a:graphicData>
            </a:graphic>
          </wp:inline>
        </w:drawing>
      </w:r>
    </w:p>
    <w:p w14:paraId="1D5D2660">
      <w:pPr>
        <w:pStyle w:val="65"/>
        <w:ind w:firstLine="2299" w:firstLineChars="1095"/>
        <w:jc w:val="left"/>
        <w:rPr>
          <w:rFonts w:hint="eastAsia" w:ascii="黑体" w:hAnsi="黑体" w:eastAsia="黑体"/>
        </w:rPr>
      </w:pPr>
      <w:r>
        <w:rPr>
          <w:rFonts w:hint="eastAsia" w:ascii="黑体" w:hAnsi="黑体" w:eastAsia="黑体"/>
        </w:rPr>
        <w:t>A.3 单相标准表瞬联电气接口-电流测量接口的端子排列图</w:t>
      </w:r>
    </w:p>
    <w:p w14:paraId="1995F643">
      <w:pPr>
        <w:pStyle w:val="65"/>
        <w:ind w:firstLine="3570" w:firstLineChars="1700"/>
        <w:jc w:val="left"/>
        <w:rPr>
          <w:rFonts w:hint="eastAsia" w:ascii="黑体" w:hAnsi="黑体" w:eastAsia="黑体"/>
        </w:rPr>
      </w:pPr>
    </w:p>
    <w:p w14:paraId="29152376">
      <w:pPr>
        <w:pStyle w:val="65"/>
        <w:ind w:firstLine="2509" w:firstLineChars="1195"/>
        <w:jc w:val="left"/>
        <w:rPr>
          <w:rFonts w:hint="eastAsia" w:ascii="黑体" w:hAnsi="黑体" w:eastAsia="黑体"/>
        </w:rPr>
      </w:pPr>
      <w:r>
        <w:rPr>
          <w:rFonts w:hint="eastAsia" w:ascii="黑体" w:hAnsi="黑体" w:eastAsia="黑体"/>
        </w:rPr>
        <w:t>表A.1 单相标准表瞬联电气接口-电流测量接口定义</w:t>
      </w:r>
    </w:p>
    <w:tbl>
      <w:tblPr>
        <w:tblStyle w:val="31"/>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76"/>
        <w:gridCol w:w="1559"/>
        <w:gridCol w:w="1701"/>
        <w:gridCol w:w="3679"/>
      </w:tblGrid>
      <w:tr w14:paraId="3BE2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AFE2568">
            <w:pPr>
              <w:pStyle w:val="65"/>
              <w:ind w:firstLine="210" w:firstLineChars="100"/>
              <w:jc w:val="center"/>
            </w:pPr>
            <w:r>
              <w:rPr>
                <w:rFonts w:hint="eastAsia"/>
              </w:rPr>
              <w:t>接口   引脚编号</w:t>
            </w:r>
          </w:p>
        </w:tc>
        <w:tc>
          <w:tcPr>
            <w:tcW w:w="1276" w:type="dxa"/>
            <w:vAlign w:val="center"/>
          </w:tcPr>
          <w:p w14:paraId="72EDE1D1">
            <w:pPr>
              <w:pStyle w:val="65"/>
              <w:ind w:firstLine="0" w:firstLineChars="0"/>
              <w:jc w:val="center"/>
            </w:pPr>
            <w:r>
              <w:rPr>
                <w:rFonts w:hint="eastAsia"/>
              </w:rPr>
              <w:t>信号类别</w:t>
            </w:r>
          </w:p>
        </w:tc>
        <w:tc>
          <w:tcPr>
            <w:tcW w:w="1559" w:type="dxa"/>
            <w:vAlign w:val="center"/>
          </w:tcPr>
          <w:p w14:paraId="2AFD035E">
            <w:pPr>
              <w:pStyle w:val="65"/>
              <w:ind w:firstLine="0" w:firstLineChars="0"/>
              <w:jc w:val="center"/>
            </w:pPr>
            <w:r>
              <w:rPr>
                <w:rFonts w:hint="eastAsia"/>
              </w:rPr>
              <w:t>信号名称</w:t>
            </w:r>
          </w:p>
        </w:tc>
        <w:tc>
          <w:tcPr>
            <w:tcW w:w="1701" w:type="dxa"/>
            <w:vAlign w:val="center"/>
          </w:tcPr>
          <w:p w14:paraId="4776EB1D">
            <w:pPr>
              <w:pStyle w:val="65"/>
              <w:ind w:firstLine="0" w:firstLineChars="0"/>
              <w:jc w:val="center"/>
            </w:pPr>
            <w:r>
              <w:rPr>
                <w:rFonts w:hint="eastAsia"/>
              </w:rPr>
              <w:t>信号方向</w:t>
            </w:r>
          </w:p>
        </w:tc>
        <w:tc>
          <w:tcPr>
            <w:tcW w:w="3679" w:type="dxa"/>
            <w:vAlign w:val="center"/>
          </w:tcPr>
          <w:p w14:paraId="382699B1">
            <w:pPr>
              <w:pStyle w:val="65"/>
              <w:ind w:firstLine="0" w:firstLineChars="0"/>
              <w:jc w:val="center"/>
            </w:pPr>
            <w:r>
              <w:rPr>
                <w:rFonts w:hint="eastAsia"/>
              </w:rPr>
              <w:t>说明</w:t>
            </w:r>
          </w:p>
        </w:tc>
      </w:tr>
      <w:tr w14:paraId="77C2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987B1E">
            <w:pPr>
              <w:pStyle w:val="65"/>
              <w:ind w:firstLine="0" w:firstLineChars="0"/>
              <w:jc w:val="center"/>
            </w:pPr>
            <w:r>
              <w:rPr>
                <w:rFonts w:hint="eastAsia"/>
              </w:rPr>
              <w:t>1</w:t>
            </w:r>
          </w:p>
        </w:tc>
        <w:tc>
          <w:tcPr>
            <w:tcW w:w="1276" w:type="dxa"/>
          </w:tcPr>
          <w:p w14:paraId="50B7D8FB">
            <w:pPr>
              <w:pStyle w:val="65"/>
              <w:ind w:firstLine="0" w:firstLineChars="0"/>
              <w:jc w:val="center"/>
            </w:pPr>
            <w:r>
              <w:rPr>
                <w:rFonts w:hint="eastAsia"/>
              </w:rPr>
              <w:t>电流</w:t>
            </w:r>
          </w:p>
        </w:tc>
        <w:tc>
          <w:tcPr>
            <w:tcW w:w="1559" w:type="dxa"/>
          </w:tcPr>
          <w:p w14:paraId="380C0008">
            <w:pPr>
              <w:pStyle w:val="65"/>
              <w:ind w:firstLine="0" w:firstLineChars="0"/>
              <w:jc w:val="center"/>
            </w:pPr>
            <w:r>
              <w:rPr>
                <w:rFonts w:hint="eastAsia"/>
              </w:rPr>
              <w:t>IH</w:t>
            </w:r>
          </w:p>
        </w:tc>
        <w:tc>
          <w:tcPr>
            <w:tcW w:w="1701" w:type="dxa"/>
          </w:tcPr>
          <w:p w14:paraId="3F6A0D7F">
            <w:pPr>
              <w:pStyle w:val="65"/>
              <w:ind w:firstLine="0" w:firstLineChars="0"/>
              <w:jc w:val="center"/>
            </w:pPr>
            <w:r>
              <w:rPr>
                <w:rFonts w:hint="eastAsia"/>
              </w:rPr>
              <w:t>--</w:t>
            </w:r>
          </w:p>
        </w:tc>
        <w:tc>
          <w:tcPr>
            <w:tcW w:w="3679" w:type="dxa"/>
          </w:tcPr>
          <w:p w14:paraId="62948BC3">
            <w:pPr>
              <w:pStyle w:val="65"/>
              <w:ind w:firstLine="0" w:firstLineChars="0"/>
              <w:jc w:val="center"/>
            </w:pPr>
            <w:r>
              <w:rPr>
                <w:rFonts w:hint="eastAsia"/>
              </w:rPr>
              <w:t>瞬联电气接口电流高端（输入）</w:t>
            </w:r>
          </w:p>
        </w:tc>
      </w:tr>
      <w:tr w14:paraId="5ACA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39CD55D">
            <w:pPr>
              <w:pStyle w:val="65"/>
              <w:ind w:firstLine="0" w:firstLineChars="0"/>
              <w:jc w:val="center"/>
            </w:pPr>
            <w:r>
              <w:rPr>
                <w:rFonts w:hint="eastAsia"/>
              </w:rPr>
              <w:t>2</w:t>
            </w:r>
          </w:p>
        </w:tc>
        <w:tc>
          <w:tcPr>
            <w:tcW w:w="1276" w:type="dxa"/>
          </w:tcPr>
          <w:p w14:paraId="32B1F979">
            <w:pPr>
              <w:pStyle w:val="65"/>
              <w:ind w:firstLine="0" w:firstLineChars="0"/>
              <w:jc w:val="center"/>
            </w:pPr>
            <w:r>
              <w:rPr>
                <w:rFonts w:hint="eastAsia"/>
              </w:rPr>
              <w:t>电流</w:t>
            </w:r>
          </w:p>
        </w:tc>
        <w:tc>
          <w:tcPr>
            <w:tcW w:w="1559" w:type="dxa"/>
          </w:tcPr>
          <w:p w14:paraId="70BC62A2">
            <w:pPr>
              <w:pStyle w:val="65"/>
              <w:ind w:firstLine="0" w:firstLineChars="0"/>
              <w:jc w:val="center"/>
            </w:pPr>
            <w:r>
              <w:rPr>
                <w:rFonts w:hint="eastAsia"/>
              </w:rPr>
              <w:t>IL</w:t>
            </w:r>
          </w:p>
        </w:tc>
        <w:tc>
          <w:tcPr>
            <w:tcW w:w="1701" w:type="dxa"/>
          </w:tcPr>
          <w:p w14:paraId="0620CC3A">
            <w:pPr>
              <w:pStyle w:val="65"/>
              <w:ind w:firstLine="0" w:firstLineChars="0"/>
              <w:jc w:val="center"/>
            </w:pPr>
            <w:r>
              <w:rPr>
                <w:rFonts w:hint="eastAsia"/>
              </w:rPr>
              <w:t>--</w:t>
            </w:r>
          </w:p>
        </w:tc>
        <w:tc>
          <w:tcPr>
            <w:tcW w:w="3679" w:type="dxa"/>
          </w:tcPr>
          <w:p w14:paraId="33478BC9">
            <w:pPr>
              <w:pStyle w:val="65"/>
              <w:ind w:firstLine="0" w:firstLineChars="0"/>
              <w:jc w:val="center"/>
            </w:pPr>
            <w:r>
              <w:rPr>
                <w:rFonts w:hint="eastAsia"/>
              </w:rPr>
              <w:t>瞬联电气接口电流低端（输出）</w:t>
            </w:r>
          </w:p>
        </w:tc>
      </w:tr>
    </w:tbl>
    <w:p w14:paraId="2495E266">
      <w:pPr>
        <w:pStyle w:val="65"/>
        <w:ind w:firstLine="3139" w:firstLineChars="1495"/>
        <w:jc w:val="left"/>
        <w:rPr>
          <w:rFonts w:hint="eastAsia" w:ascii="黑体" w:hAnsi="黑体" w:eastAsia="黑体"/>
        </w:rPr>
      </w:pPr>
    </w:p>
    <w:p w14:paraId="251B1CC0">
      <w:pPr>
        <w:pStyle w:val="87"/>
        <w:numPr>
          <w:ilvl w:val="0"/>
          <w:numId w:val="0"/>
        </w:numPr>
        <w:spacing w:before="120" w:after="120"/>
        <w:ind w:firstLine="420" w:firstLineChars="200"/>
      </w:pPr>
      <w:bookmarkStart w:id="155" w:name="_Toc213850885"/>
      <w:bookmarkStart w:id="156" w:name="_Toc202270067"/>
      <w:bookmarkStart w:id="157" w:name="_Toc184756202"/>
      <w:bookmarkStart w:id="158" w:name="_Toc198560607"/>
      <w:bookmarkStart w:id="159" w:name="_Toc213849438"/>
      <w:bookmarkStart w:id="160" w:name="_Toc202270586"/>
      <w:r>
        <w:rPr>
          <w:rFonts w:hint="eastAsia"/>
        </w:rPr>
        <w:t>A.3单相标准表瞬联电气接口-电压测量和辅助电源接口</w:t>
      </w:r>
      <w:bookmarkEnd w:id="155"/>
      <w:bookmarkEnd w:id="156"/>
      <w:bookmarkEnd w:id="157"/>
      <w:bookmarkEnd w:id="158"/>
      <w:bookmarkEnd w:id="159"/>
      <w:bookmarkEnd w:id="160"/>
    </w:p>
    <w:p w14:paraId="1C2AC659">
      <w:pPr>
        <w:pStyle w:val="65"/>
        <w:ind w:firstLine="420"/>
      </w:pPr>
      <w:r>
        <w:rPr>
          <w:rFonts w:hint="eastAsia"/>
        </w:rPr>
        <w:t>电压测量接口端子和辅助电源接口的端子采用间距为10.16 mm的单排端子,端子排列应与图A.4的结构相符合,接口定义应符合表A.2的规定。</w:t>
      </w:r>
    </w:p>
    <w:p w14:paraId="3007FA95">
      <w:pPr>
        <w:pStyle w:val="65"/>
        <w:ind w:firstLine="420"/>
      </w:pPr>
    </w:p>
    <w:p w14:paraId="3D24ED16">
      <w:pPr>
        <w:pStyle w:val="65"/>
        <w:ind w:firstLine="199" w:firstLineChars="95"/>
        <w:jc w:val="center"/>
      </w:pPr>
      <w:r>
        <w:object>
          <v:shape id="_x0000_i1025" o:spt="75" type="#_x0000_t75" style="height:64.5pt;width:234.5pt;" o:ole="t" filled="f" o:preferrelative="t" stroked="f" coordsize="21600,21600">
            <v:path/>
            <v:fill on="f" focussize="0,0"/>
            <v:stroke on="f" joinstyle="miter"/>
            <v:imagedata r:id="rId25" o:title=""/>
            <o:lock v:ext="edit" aspectratio="t"/>
            <w10:wrap type="none"/>
            <w10:anchorlock/>
          </v:shape>
          <o:OLEObject Type="Embed" ProgID="Visio.Drawing.11" ShapeID="_x0000_i1025" DrawAspect="Content" ObjectID="_1468075725" r:id="rId24">
            <o:LockedField>false</o:LockedField>
          </o:OLEObject>
        </w:object>
      </w:r>
    </w:p>
    <w:p w14:paraId="4CA83F5B">
      <w:pPr>
        <w:pStyle w:val="65"/>
        <w:ind w:firstLine="1669" w:firstLineChars="795"/>
        <w:jc w:val="left"/>
        <w:rPr>
          <w:rFonts w:hint="eastAsia" w:ascii="黑体" w:hAnsi="黑体" w:eastAsia="黑体"/>
        </w:rPr>
      </w:pPr>
      <w:r>
        <w:rPr>
          <w:rFonts w:hint="eastAsia" w:ascii="黑体" w:hAnsi="黑体" w:eastAsia="黑体"/>
        </w:rPr>
        <w:t>A.4 单相标准表瞬联电气接口-电压测量和辅助电源接口的端子排列图</w:t>
      </w:r>
    </w:p>
    <w:p w14:paraId="6D936225">
      <w:pPr>
        <w:pStyle w:val="65"/>
        <w:ind w:firstLine="2089" w:firstLineChars="995"/>
        <w:jc w:val="left"/>
        <w:rPr>
          <w:rFonts w:hint="eastAsia" w:ascii="黑体" w:hAnsi="黑体" w:eastAsia="黑体"/>
        </w:rPr>
      </w:pPr>
    </w:p>
    <w:p w14:paraId="4A290859">
      <w:pPr>
        <w:pStyle w:val="65"/>
        <w:ind w:firstLine="2268" w:firstLineChars="1080"/>
        <w:jc w:val="left"/>
        <w:rPr>
          <w:rFonts w:hint="eastAsia" w:ascii="黑体" w:hAnsi="黑体" w:eastAsia="黑体"/>
        </w:rPr>
      </w:pPr>
      <w:r>
        <w:rPr>
          <w:rFonts w:hint="eastAsia" w:ascii="黑体" w:hAnsi="黑体" w:eastAsia="黑体"/>
        </w:rPr>
        <w:t>表A.2 标准表瞬联电气接口-电压测量和辅助电源接口定义</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76"/>
        <w:gridCol w:w="1559"/>
        <w:gridCol w:w="1701"/>
        <w:gridCol w:w="3679"/>
      </w:tblGrid>
      <w:tr w14:paraId="667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3320F2F">
            <w:pPr>
              <w:pStyle w:val="65"/>
              <w:ind w:firstLine="210" w:firstLineChars="100"/>
              <w:jc w:val="center"/>
            </w:pPr>
            <w:r>
              <w:rPr>
                <w:rFonts w:hint="eastAsia"/>
              </w:rPr>
              <w:t>接口   引脚编号</w:t>
            </w:r>
          </w:p>
        </w:tc>
        <w:tc>
          <w:tcPr>
            <w:tcW w:w="1276" w:type="dxa"/>
            <w:vAlign w:val="center"/>
          </w:tcPr>
          <w:p w14:paraId="527D312D">
            <w:pPr>
              <w:pStyle w:val="65"/>
              <w:ind w:firstLine="0" w:firstLineChars="0"/>
              <w:jc w:val="center"/>
            </w:pPr>
            <w:r>
              <w:rPr>
                <w:rFonts w:hint="eastAsia"/>
              </w:rPr>
              <w:t>信号类别</w:t>
            </w:r>
          </w:p>
        </w:tc>
        <w:tc>
          <w:tcPr>
            <w:tcW w:w="1559" w:type="dxa"/>
            <w:vAlign w:val="center"/>
          </w:tcPr>
          <w:p w14:paraId="27D4608B">
            <w:pPr>
              <w:pStyle w:val="65"/>
              <w:ind w:firstLine="0" w:firstLineChars="0"/>
              <w:jc w:val="center"/>
            </w:pPr>
            <w:r>
              <w:rPr>
                <w:rFonts w:hint="eastAsia"/>
              </w:rPr>
              <w:t>信号名称</w:t>
            </w:r>
          </w:p>
        </w:tc>
        <w:tc>
          <w:tcPr>
            <w:tcW w:w="1701" w:type="dxa"/>
            <w:vAlign w:val="center"/>
          </w:tcPr>
          <w:p w14:paraId="19887C21">
            <w:pPr>
              <w:pStyle w:val="65"/>
              <w:ind w:firstLine="0" w:firstLineChars="0"/>
              <w:jc w:val="center"/>
            </w:pPr>
            <w:r>
              <w:rPr>
                <w:rFonts w:hint="eastAsia"/>
              </w:rPr>
              <w:t>信号方向</w:t>
            </w:r>
          </w:p>
        </w:tc>
        <w:tc>
          <w:tcPr>
            <w:tcW w:w="3679" w:type="dxa"/>
            <w:vAlign w:val="center"/>
          </w:tcPr>
          <w:p w14:paraId="240ECA58">
            <w:pPr>
              <w:pStyle w:val="65"/>
              <w:ind w:firstLine="0" w:firstLineChars="0"/>
              <w:jc w:val="center"/>
            </w:pPr>
            <w:r>
              <w:rPr>
                <w:rFonts w:hint="eastAsia"/>
              </w:rPr>
              <w:t>说明</w:t>
            </w:r>
          </w:p>
        </w:tc>
      </w:tr>
      <w:tr w14:paraId="7ABC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C7D1202">
            <w:pPr>
              <w:pStyle w:val="65"/>
              <w:ind w:firstLine="0" w:firstLineChars="0"/>
              <w:jc w:val="center"/>
            </w:pPr>
            <w:r>
              <w:rPr>
                <w:rFonts w:hint="eastAsia"/>
              </w:rPr>
              <w:t>1</w:t>
            </w:r>
          </w:p>
        </w:tc>
        <w:tc>
          <w:tcPr>
            <w:tcW w:w="1276" w:type="dxa"/>
          </w:tcPr>
          <w:p w14:paraId="2528AE3F">
            <w:pPr>
              <w:pStyle w:val="65"/>
              <w:ind w:firstLine="0" w:firstLineChars="0"/>
              <w:jc w:val="center"/>
            </w:pPr>
            <w:r>
              <w:rPr>
                <w:rFonts w:hint="eastAsia"/>
              </w:rPr>
              <w:t>电压</w:t>
            </w:r>
          </w:p>
        </w:tc>
        <w:tc>
          <w:tcPr>
            <w:tcW w:w="1559" w:type="dxa"/>
          </w:tcPr>
          <w:p w14:paraId="24B1605C">
            <w:pPr>
              <w:pStyle w:val="65"/>
              <w:ind w:firstLine="0" w:firstLineChars="0"/>
              <w:jc w:val="center"/>
            </w:pPr>
            <w:r>
              <w:rPr>
                <w:rFonts w:hint="eastAsia"/>
              </w:rPr>
              <w:t>UH</w:t>
            </w:r>
          </w:p>
        </w:tc>
        <w:tc>
          <w:tcPr>
            <w:tcW w:w="1701" w:type="dxa"/>
          </w:tcPr>
          <w:p w14:paraId="43CA691C">
            <w:pPr>
              <w:pStyle w:val="65"/>
              <w:ind w:firstLine="0" w:firstLineChars="0"/>
              <w:jc w:val="center"/>
            </w:pPr>
            <w:r>
              <w:rPr>
                <w:rFonts w:hint="eastAsia"/>
              </w:rPr>
              <w:t>I</w:t>
            </w:r>
          </w:p>
        </w:tc>
        <w:tc>
          <w:tcPr>
            <w:tcW w:w="3679" w:type="dxa"/>
          </w:tcPr>
          <w:p w14:paraId="472F4025">
            <w:pPr>
              <w:pStyle w:val="65"/>
              <w:ind w:firstLine="0" w:firstLineChars="0"/>
              <w:jc w:val="center"/>
            </w:pPr>
            <w:r>
              <w:rPr>
                <w:rFonts w:hint="eastAsia"/>
              </w:rPr>
              <w:t>瞬联电气接口电压高端输入</w:t>
            </w:r>
          </w:p>
        </w:tc>
      </w:tr>
      <w:tr w14:paraId="7E6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4DDCD25">
            <w:pPr>
              <w:pStyle w:val="65"/>
              <w:ind w:firstLine="0" w:firstLineChars="0"/>
              <w:jc w:val="center"/>
            </w:pPr>
            <w:r>
              <w:rPr>
                <w:rFonts w:hint="eastAsia"/>
              </w:rPr>
              <w:t>2</w:t>
            </w:r>
          </w:p>
        </w:tc>
        <w:tc>
          <w:tcPr>
            <w:tcW w:w="1276" w:type="dxa"/>
          </w:tcPr>
          <w:p w14:paraId="3C13D1B1">
            <w:pPr>
              <w:pStyle w:val="65"/>
              <w:ind w:firstLine="0" w:firstLineChars="0"/>
              <w:jc w:val="center"/>
            </w:pPr>
            <w:r>
              <w:rPr>
                <w:rFonts w:hint="eastAsia"/>
              </w:rPr>
              <w:t>电压</w:t>
            </w:r>
          </w:p>
        </w:tc>
        <w:tc>
          <w:tcPr>
            <w:tcW w:w="1559" w:type="dxa"/>
          </w:tcPr>
          <w:p w14:paraId="5F60578E">
            <w:pPr>
              <w:pStyle w:val="65"/>
              <w:ind w:firstLine="0" w:firstLineChars="0"/>
              <w:jc w:val="center"/>
            </w:pPr>
            <w:r>
              <w:rPr>
                <w:rFonts w:hint="eastAsia"/>
              </w:rPr>
              <w:t>UL</w:t>
            </w:r>
          </w:p>
        </w:tc>
        <w:tc>
          <w:tcPr>
            <w:tcW w:w="1701" w:type="dxa"/>
          </w:tcPr>
          <w:p w14:paraId="0E0BBDC7">
            <w:pPr>
              <w:pStyle w:val="65"/>
              <w:ind w:firstLine="0" w:firstLineChars="0"/>
              <w:jc w:val="center"/>
            </w:pPr>
            <w:r>
              <w:rPr>
                <w:rFonts w:hint="eastAsia"/>
              </w:rPr>
              <w:t>I</w:t>
            </w:r>
          </w:p>
        </w:tc>
        <w:tc>
          <w:tcPr>
            <w:tcW w:w="3679" w:type="dxa"/>
          </w:tcPr>
          <w:p w14:paraId="737C30F0">
            <w:pPr>
              <w:pStyle w:val="65"/>
              <w:ind w:firstLine="0" w:firstLineChars="0"/>
              <w:jc w:val="center"/>
            </w:pPr>
            <w:r>
              <w:rPr>
                <w:rFonts w:hint="eastAsia"/>
              </w:rPr>
              <w:t>瞬联电气接口电压低端输入</w:t>
            </w:r>
          </w:p>
        </w:tc>
      </w:tr>
      <w:tr w14:paraId="6828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6CD1B574">
            <w:pPr>
              <w:pStyle w:val="65"/>
              <w:ind w:firstLine="0" w:firstLineChars="0"/>
              <w:jc w:val="center"/>
            </w:pPr>
            <w:r>
              <w:rPr>
                <w:rFonts w:hint="eastAsia"/>
              </w:rPr>
              <w:t>3</w:t>
            </w:r>
          </w:p>
        </w:tc>
        <w:tc>
          <w:tcPr>
            <w:tcW w:w="1276" w:type="dxa"/>
          </w:tcPr>
          <w:p w14:paraId="442B0346">
            <w:pPr>
              <w:pStyle w:val="65"/>
              <w:ind w:firstLine="0" w:firstLineChars="0"/>
              <w:jc w:val="center"/>
            </w:pPr>
            <w:r>
              <w:rPr>
                <w:rFonts w:hint="eastAsia"/>
              </w:rPr>
              <w:t>预留</w:t>
            </w:r>
          </w:p>
        </w:tc>
        <w:tc>
          <w:tcPr>
            <w:tcW w:w="1559" w:type="dxa"/>
          </w:tcPr>
          <w:p w14:paraId="41297011">
            <w:pPr>
              <w:pStyle w:val="65"/>
              <w:ind w:firstLine="0" w:firstLineChars="0"/>
              <w:jc w:val="center"/>
            </w:pPr>
            <w:r>
              <w:rPr>
                <w:rFonts w:hint="eastAsia"/>
              </w:rPr>
              <w:t>--</w:t>
            </w:r>
          </w:p>
        </w:tc>
        <w:tc>
          <w:tcPr>
            <w:tcW w:w="1701" w:type="dxa"/>
          </w:tcPr>
          <w:p w14:paraId="6DBD1BA2">
            <w:pPr>
              <w:pStyle w:val="65"/>
              <w:ind w:firstLine="0" w:firstLineChars="0"/>
              <w:jc w:val="center"/>
            </w:pPr>
            <w:r>
              <w:rPr>
                <w:rFonts w:hint="eastAsia"/>
              </w:rPr>
              <w:t>--</w:t>
            </w:r>
          </w:p>
        </w:tc>
        <w:tc>
          <w:tcPr>
            <w:tcW w:w="3679" w:type="dxa"/>
          </w:tcPr>
          <w:p w14:paraId="0AD9FF6E">
            <w:pPr>
              <w:pStyle w:val="65"/>
              <w:ind w:firstLine="0" w:firstLineChars="0"/>
              <w:jc w:val="center"/>
            </w:pPr>
            <w:r>
              <w:rPr>
                <w:rFonts w:hint="eastAsia"/>
              </w:rPr>
              <w:t>预留接口，无需接线</w:t>
            </w:r>
          </w:p>
        </w:tc>
      </w:tr>
      <w:tr w14:paraId="264E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00BC28C3">
            <w:pPr>
              <w:pStyle w:val="65"/>
              <w:ind w:firstLine="0" w:firstLineChars="0"/>
              <w:jc w:val="center"/>
            </w:pPr>
            <w:r>
              <w:rPr>
                <w:rFonts w:hint="eastAsia"/>
              </w:rPr>
              <w:t>4</w:t>
            </w:r>
          </w:p>
        </w:tc>
        <w:tc>
          <w:tcPr>
            <w:tcW w:w="1276" w:type="dxa"/>
          </w:tcPr>
          <w:p w14:paraId="4D746687">
            <w:pPr>
              <w:pStyle w:val="65"/>
              <w:ind w:firstLine="0" w:firstLineChars="0"/>
              <w:jc w:val="center"/>
            </w:pPr>
            <w:r>
              <w:rPr>
                <w:rFonts w:hint="eastAsia"/>
              </w:rPr>
              <w:t>预留</w:t>
            </w:r>
          </w:p>
        </w:tc>
        <w:tc>
          <w:tcPr>
            <w:tcW w:w="1559" w:type="dxa"/>
          </w:tcPr>
          <w:p w14:paraId="058E30E6">
            <w:pPr>
              <w:pStyle w:val="65"/>
              <w:ind w:firstLine="0" w:firstLineChars="0"/>
              <w:jc w:val="center"/>
            </w:pPr>
            <w:r>
              <w:rPr>
                <w:rFonts w:hint="eastAsia"/>
              </w:rPr>
              <w:t>--</w:t>
            </w:r>
          </w:p>
        </w:tc>
        <w:tc>
          <w:tcPr>
            <w:tcW w:w="1701" w:type="dxa"/>
          </w:tcPr>
          <w:p w14:paraId="3AF69D0E">
            <w:pPr>
              <w:pStyle w:val="65"/>
              <w:ind w:firstLine="0" w:firstLineChars="0"/>
              <w:jc w:val="center"/>
            </w:pPr>
            <w:r>
              <w:rPr>
                <w:rFonts w:hint="eastAsia"/>
              </w:rPr>
              <w:t>--</w:t>
            </w:r>
          </w:p>
        </w:tc>
        <w:tc>
          <w:tcPr>
            <w:tcW w:w="3679" w:type="dxa"/>
          </w:tcPr>
          <w:p w14:paraId="21F3F017">
            <w:pPr>
              <w:pStyle w:val="65"/>
              <w:ind w:firstLine="0" w:firstLineChars="0"/>
              <w:jc w:val="center"/>
            </w:pPr>
            <w:r>
              <w:rPr>
                <w:rFonts w:hint="eastAsia"/>
              </w:rPr>
              <w:t>预留接口，无需接线</w:t>
            </w:r>
          </w:p>
        </w:tc>
      </w:tr>
      <w:tr w14:paraId="058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26C0F83C">
            <w:pPr>
              <w:pStyle w:val="65"/>
              <w:ind w:firstLine="0" w:firstLineChars="0"/>
              <w:jc w:val="center"/>
            </w:pPr>
            <w:r>
              <w:rPr>
                <w:rFonts w:hint="eastAsia"/>
              </w:rPr>
              <w:t>5</w:t>
            </w:r>
          </w:p>
        </w:tc>
        <w:tc>
          <w:tcPr>
            <w:tcW w:w="1276" w:type="dxa"/>
          </w:tcPr>
          <w:p w14:paraId="53FFCF31">
            <w:pPr>
              <w:pStyle w:val="65"/>
              <w:ind w:firstLine="0" w:firstLineChars="0"/>
              <w:jc w:val="center"/>
            </w:pPr>
            <w:r>
              <w:rPr>
                <w:rFonts w:hint="eastAsia"/>
              </w:rPr>
              <w:t>预留</w:t>
            </w:r>
          </w:p>
        </w:tc>
        <w:tc>
          <w:tcPr>
            <w:tcW w:w="1559" w:type="dxa"/>
          </w:tcPr>
          <w:p w14:paraId="17BC69E3">
            <w:pPr>
              <w:pStyle w:val="65"/>
              <w:ind w:firstLine="0" w:firstLineChars="0"/>
              <w:jc w:val="center"/>
            </w:pPr>
            <w:r>
              <w:rPr>
                <w:rFonts w:hint="eastAsia"/>
              </w:rPr>
              <w:t>E</w:t>
            </w:r>
          </w:p>
        </w:tc>
        <w:tc>
          <w:tcPr>
            <w:tcW w:w="1701" w:type="dxa"/>
          </w:tcPr>
          <w:p w14:paraId="3236F033">
            <w:pPr>
              <w:pStyle w:val="65"/>
              <w:ind w:firstLine="0" w:firstLineChars="0"/>
              <w:jc w:val="center"/>
            </w:pPr>
            <w:r>
              <w:rPr>
                <w:rFonts w:hint="eastAsia"/>
              </w:rPr>
              <w:t>--</w:t>
            </w:r>
          </w:p>
        </w:tc>
        <w:tc>
          <w:tcPr>
            <w:tcW w:w="3679" w:type="dxa"/>
          </w:tcPr>
          <w:p w14:paraId="00A999FD">
            <w:pPr>
              <w:pStyle w:val="65"/>
              <w:ind w:firstLine="0" w:firstLineChars="0"/>
              <w:jc w:val="center"/>
            </w:pPr>
            <w:r>
              <w:rPr>
                <w:rFonts w:hint="eastAsia"/>
              </w:rPr>
              <w:t>预留接口，无需接线</w:t>
            </w:r>
          </w:p>
        </w:tc>
      </w:tr>
      <w:tr w14:paraId="1311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641B586B">
            <w:pPr>
              <w:pStyle w:val="65"/>
              <w:ind w:firstLine="0" w:firstLineChars="0"/>
              <w:jc w:val="center"/>
            </w:pPr>
            <w:r>
              <w:rPr>
                <w:rFonts w:hint="eastAsia"/>
              </w:rPr>
              <w:t>6</w:t>
            </w:r>
          </w:p>
        </w:tc>
        <w:tc>
          <w:tcPr>
            <w:tcW w:w="1276" w:type="dxa"/>
          </w:tcPr>
          <w:p w14:paraId="081BE7C9">
            <w:pPr>
              <w:pStyle w:val="65"/>
              <w:ind w:firstLine="0" w:firstLineChars="0"/>
              <w:jc w:val="center"/>
            </w:pPr>
            <w:r>
              <w:rPr>
                <w:rFonts w:hint="eastAsia"/>
              </w:rPr>
              <w:t>地</w:t>
            </w:r>
          </w:p>
        </w:tc>
        <w:tc>
          <w:tcPr>
            <w:tcW w:w="1559" w:type="dxa"/>
          </w:tcPr>
          <w:p w14:paraId="3197B541">
            <w:pPr>
              <w:pStyle w:val="65"/>
              <w:ind w:firstLine="0" w:firstLineChars="0"/>
              <w:jc w:val="center"/>
            </w:pPr>
            <w:r>
              <w:rPr>
                <w:rFonts w:hint="eastAsia"/>
              </w:rPr>
              <w:t>G</w:t>
            </w:r>
          </w:p>
        </w:tc>
        <w:tc>
          <w:tcPr>
            <w:tcW w:w="1701" w:type="dxa"/>
          </w:tcPr>
          <w:p w14:paraId="24115109">
            <w:pPr>
              <w:pStyle w:val="65"/>
              <w:ind w:firstLine="0" w:firstLineChars="0"/>
              <w:jc w:val="center"/>
            </w:pPr>
          </w:p>
        </w:tc>
        <w:tc>
          <w:tcPr>
            <w:tcW w:w="3679" w:type="dxa"/>
          </w:tcPr>
          <w:p w14:paraId="475E989E">
            <w:pPr>
              <w:pStyle w:val="65"/>
              <w:ind w:firstLine="0" w:firstLineChars="0"/>
              <w:jc w:val="center"/>
            </w:pPr>
            <w:r>
              <w:rPr>
                <w:rFonts w:hint="eastAsia"/>
              </w:rPr>
              <w:t>瞬联电气接口-大地信号，接外壳</w:t>
            </w:r>
          </w:p>
        </w:tc>
      </w:tr>
      <w:tr w14:paraId="1FFC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28B791CB">
            <w:pPr>
              <w:pStyle w:val="65"/>
              <w:ind w:firstLine="0" w:firstLineChars="0"/>
              <w:jc w:val="center"/>
            </w:pPr>
            <w:r>
              <w:rPr>
                <w:rFonts w:hint="eastAsia"/>
              </w:rPr>
              <w:t>7</w:t>
            </w:r>
          </w:p>
        </w:tc>
        <w:tc>
          <w:tcPr>
            <w:tcW w:w="1276" w:type="dxa"/>
          </w:tcPr>
          <w:p w14:paraId="2560E7DF">
            <w:pPr>
              <w:pStyle w:val="65"/>
              <w:ind w:firstLine="0" w:firstLineChars="0"/>
              <w:jc w:val="center"/>
            </w:pPr>
            <w:r>
              <w:rPr>
                <w:rFonts w:hint="eastAsia"/>
              </w:rPr>
              <w:t>电源</w:t>
            </w:r>
          </w:p>
        </w:tc>
        <w:tc>
          <w:tcPr>
            <w:tcW w:w="1559" w:type="dxa"/>
          </w:tcPr>
          <w:p w14:paraId="11AC28A9">
            <w:pPr>
              <w:pStyle w:val="65"/>
              <w:ind w:firstLine="0" w:firstLineChars="0"/>
              <w:jc w:val="center"/>
            </w:pPr>
            <w:r>
              <w:rPr>
                <w:rFonts w:hint="eastAsia"/>
              </w:rPr>
              <w:t>N</w:t>
            </w:r>
          </w:p>
        </w:tc>
        <w:tc>
          <w:tcPr>
            <w:tcW w:w="1701" w:type="dxa"/>
          </w:tcPr>
          <w:p w14:paraId="14A09C49">
            <w:pPr>
              <w:pStyle w:val="65"/>
              <w:ind w:firstLine="0" w:firstLineChars="0"/>
              <w:jc w:val="center"/>
            </w:pPr>
          </w:p>
        </w:tc>
        <w:tc>
          <w:tcPr>
            <w:tcW w:w="3679" w:type="dxa"/>
          </w:tcPr>
          <w:p w14:paraId="70985B88">
            <w:pPr>
              <w:pStyle w:val="65"/>
              <w:ind w:firstLine="0" w:firstLineChars="0"/>
              <w:jc w:val="center"/>
            </w:pPr>
            <w:r>
              <w:rPr>
                <w:rFonts w:hint="eastAsia"/>
              </w:rPr>
              <w:t>瞬联电气接口-辅助电源零线输入</w:t>
            </w:r>
          </w:p>
        </w:tc>
      </w:tr>
      <w:tr w14:paraId="150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1175241">
            <w:pPr>
              <w:pStyle w:val="65"/>
              <w:ind w:firstLine="0" w:firstLineChars="0"/>
              <w:jc w:val="center"/>
            </w:pPr>
            <w:r>
              <w:rPr>
                <w:rFonts w:hint="eastAsia"/>
              </w:rPr>
              <w:t>8</w:t>
            </w:r>
          </w:p>
        </w:tc>
        <w:tc>
          <w:tcPr>
            <w:tcW w:w="1276" w:type="dxa"/>
          </w:tcPr>
          <w:p w14:paraId="66BB42CE">
            <w:pPr>
              <w:pStyle w:val="65"/>
              <w:ind w:firstLine="0" w:firstLineChars="0"/>
              <w:jc w:val="center"/>
            </w:pPr>
            <w:r>
              <w:rPr>
                <w:rFonts w:hint="eastAsia"/>
              </w:rPr>
              <w:t>电源</w:t>
            </w:r>
          </w:p>
        </w:tc>
        <w:tc>
          <w:tcPr>
            <w:tcW w:w="1559" w:type="dxa"/>
          </w:tcPr>
          <w:p w14:paraId="38FEC5B5">
            <w:pPr>
              <w:pStyle w:val="65"/>
              <w:ind w:firstLine="0" w:firstLineChars="0"/>
              <w:jc w:val="center"/>
            </w:pPr>
            <w:r>
              <w:rPr>
                <w:rFonts w:hint="eastAsia"/>
              </w:rPr>
              <w:t>L</w:t>
            </w:r>
          </w:p>
        </w:tc>
        <w:tc>
          <w:tcPr>
            <w:tcW w:w="1701" w:type="dxa"/>
          </w:tcPr>
          <w:p w14:paraId="20F387AC">
            <w:pPr>
              <w:pStyle w:val="65"/>
              <w:ind w:firstLine="0" w:firstLineChars="0"/>
              <w:jc w:val="center"/>
            </w:pPr>
          </w:p>
        </w:tc>
        <w:tc>
          <w:tcPr>
            <w:tcW w:w="3679" w:type="dxa"/>
          </w:tcPr>
          <w:p w14:paraId="39A89FEF">
            <w:pPr>
              <w:pStyle w:val="65"/>
              <w:ind w:firstLine="0" w:firstLineChars="0"/>
              <w:jc w:val="center"/>
            </w:pPr>
            <w:r>
              <w:rPr>
                <w:rFonts w:hint="eastAsia"/>
              </w:rPr>
              <w:t>瞬联电气接口-辅助电源火线输入</w:t>
            </w:r>
          </w:p>
        </w:tc>
      </w:tr>
    </w:tbl>
    <w:p w14:paraId="19DD78AA">
      <w:pPr>
        <w:pStyle w:val="87"/>
        <w:numPr>
          <w:ilvl w:val="0"/>
          <w:numId w:val="0"/>
        </w:numPr>
        <w:spacing w:before="120" w:after="120"/>
        <w:ind w:firstLine="420" w:firstLineChars="200"/>
      </w:pPr>
      <w:bookmarkStart w:id="161" w:name="_Toc198560608"/>
      <w:bookmarkStart w:id="162" w:name="_Toc202270587"/>
      <w:bookmarkStart w:id="163" w:name="_Toc202270068"/>
      <w:bookmarkStart w:id="164" w:name="_Toc213849439"/>
      <w:bookmarkStart w:id="165" w:name="_Toc184756203"/>
      <w:bookmarkStart w:id="166" w:name="_Toc213850886"/>
      <w:r>
        <w:rPr>
          <w:rFonts w:hint="eastAsia"/>
        </w:rPr>
        <w:t>A.4单相标准表瞬联电气接口-脉冲和通信接口定义</w:t>
      </w:r>
      <w:bookmarkEnd w:id="161"/>
      <w:bookmarkEnd w:id="162"/>
      <w:bookmarkEnd w:id="163"/>
      <w:bookmarkEnd w:id="164"/>
      <w:bookmarkEnd w:id="165"/>
      <w:bookmarkEnd w:id="166"/>
    </w:p>
    <w:p w14:paraId="606ACD66">
      <w:pPr>
        <w:pStyle w:val="65"/>
        <w:ind w:firstLine="420"/>
      </w:pPr>
      <w:r>
        <w:rPr>
          <w:rFonts w:hint="eastAsia"/>
        </w:rPr>
        <w:t>脉冲输入/输出接口和通信接口的端子排列应与图A.5的结构相符合 ,接口定义应符合表A.3的规定。</w:t>
      </w:r>
    </w:p>
    <w:p w14:paraId="7C56B25E">
      <w:pPr>
        <w:pStyle w:val="65"/>
        <w:ind w:firstLine="199" w:firstLineChars="95"/>
        <w:jc w:val="center"/>
      </w:pPr>
      <w:r>
        <w:drawing>
          <wp:inline distT="0" distB="0" distL="0" distR="0">
            <wp:extent cx="2347595" cy="963930"/>
            <wp:effectExtent l="0" t="0" r="0" b="7620"/>
            <wp:docPr id="138501067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0674" name="图片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60996" cy="969869"/>
                    </a:xfrm>
                    <a:prstGeom prst="rect">
                      <a:avLst/>
                    </a:prstGeom>
                    <a:noFill/>
                    <a:ln>
                      <a:noFill/>
                    </a:ln>
                  </pic:spPr>
                </pic:pic>
              </a:graphicData>
            </a:graphic>
          </wp:inline>
        </w:drawing>
      </w:r>
    </w:p>
    <w:p w14:paraId="2505CB11">
      <w:pPr>
        <w:pStyle w:val="65"/>
        <w:ind w:firstLine="1669" w:firstLineChars="795"/>
        <w:jc w:val="left"/>
        <w:rPr>
          <w:rFonts w:hint="eastAsia" w:ascii="黑体" w:hAnsi="黑体" w:eastAsia="黑体"/>
        </w:rPr>
      </w:pPr>
      <w:r>
        <w:rPr>
          <w:rFonts w:hint="eastAsia" w:ascii="黑体" w:hAnsi="黑体" w:eastAsia="黑体"/>
        </w:rPr>
        <w:t>A.5 单相标准表瞬联电气接口-脉冲和通信接口的端子排列图</w:t>
      </w:r>
    </w:p>
    <w:p w14:paraId="6A4C1C05">
      <w:pPr>
        <w:pStyle w:val="65"/>
        <w:ind w:firstLine="2551" w:firstLineChars="1215"/>
        <w:jc w:val="left"/>
        <w:rPr>
          <w:rFonts w:hint="eastAsia" w:ascii="黑体" w:hAnsi="黑体" w:eastAsia="黑体"/>
        </w:rPr>
      </w:pPr>
    </w:p>
    <w:p w14:paraId="04DBEBA6">
      <w:pPr>
        <w:pStyle w:val="65"/>
        <w:ind w:firstLine="3139" w:firstLineChars="1495"/>
        <w:jc w:val="left"/>
        <w:rPr>
          <w:rFonts w:hint="eastAsia" w:ascii="黑体" w:hAnsi="黑体" w:eastAsia="黑体"/>
        </w:rPr>
      </w:pPr>
    </w:p>
    <w:p w14:paraId="03EBEE24">
      <w:pPr>
        <w:pStyle w:val="65"/>
        <w:ind w:firstLine="2268" w:firstLineChars="1080"/>
        <w:jc w:val="left"/>
        <w:rPr>
          <w:rFonts w:hint="eastAsia" w:ascii="黑体" w:hAnsi="黑体" w:eastAsia="黑体"/>
        </w:rPr>
      </w:pPr>
      <w:r>
        <w:rPr>
          <w:rFonts w:hint="eastAsia" w:ascii="黑体" w:hAnsi="黑体" w:eastAsia="黑体"/>
        </w:rPr>
        <w:t>表A.3 单相标准表瞬联电气接口-脉冲和通信接口定义</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76"/>
        <w:gridCol w:w="1559"/>
        <w:gridCol w:w="1560"/>
        <w:gridCol w:w="3820"/>
      </w:tblGrid>
      <w:tr w14:paraId="5291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D1B7C5A">
            <w:pPr>
              <w:pStyle w:val="65"/>
              <w:ind w:firstLine="210" w:firstLineChars="100"/>
              <w:jc w:val="center"/>
            </w:pPr>
            <w:r>
              <w:rPr>
                <w:rFonts w:hint="eastAsia"/>
              </w:rPr>
              <w:t>接口   引脚编号</w:t>
            </w:r>
          </w:p>
        </w:tc>
        <w:tc>
          <w:tcPr>
            <w:tcW w:w="1276" w:type="dxa"/>
            <w:vAlign w:val="center"/>
          </w:tcPr>
          <w:p w14:paraId="727E2EAE">
            <w:pPr>
              <w:pStyle w:val="65"/>
              <w:ind w:firstLine="0" w:firstLineChars="0"/>
              <w:jc w:val="center"/>
            </w:pPr>
            <w:r>
              <w:rPr>
                <w:rFonts w:hint="eastAsia"/>
              </w:rPr>
              <w:t>信号类别</w:t>
            </w:r>
          </w:p>
        </w:tc>
        <w:tc>
          <w:tcPr>
            <w:tcW w:w="1559" w:type="dxa"/>
            <w:vAlign w:val="center"/>
          </w:tcPr>
          <w:p w14:paraId="6DD1CCEF">
            <w:pPr>
              <w:pStyle w:val="65"/>
              <w:ind w:firstLine="0" w:firstLineChars="0"/>
              <w:jc w:val="center"/>
            </w:pPr>
            <w:r>
              <w:rPr>
                <w:rFonts w:hint="eastAsia"/>
              </w:rPr>
              <w:t>信号名称</w:t>
            </w:r>
          </w:p>
        </w:tc>
        <w:tc>
          <w:tcPr>
            <w:tcW w:w="1560" w:type="dxa"/>
            <w:vAlign w:val="center"/>
          </w:tcPr>
          <w:p w14:paraId="24AFD341">
            <w:pPr>
              <w:pStyle w:val="65"/>
              <w:ind w:firstLine="0" w:firstLineChars="0"/>
              <w:jc w:val="center"/>
            </w:pPr>
            <w:r>
              <w:rPr>
                <w:rFonts w:hint="eastAsia"/>
              </w:rPr>
              <w:t>信号方向</w:t>
            </w:r>
          </w:p>
        </w:tc>
        <w:tc>
          <w:tcPr>
            <w:tcW w:w="3820" w:type="dxa"/>
            <w:vAlign w:val="center"/>
          </w:tcPr>
          <w:p w14:paraId="084823C8">
            <w:pPr>
              <w:pStyle w:val="65"/>
              <w:ind w:firstLine="0" w:firstLineChars="0"/>
              <w:jc w:val="center"/>
            </w:pPr>
            <w:r>
              <w:rPr>
                <w:rFonts w:hint="eastAsia"/>
              </w:rPr>
              <w:t>说明</w:t>
            </w:r>
          </w:p>
        </w:tc>
      </w:tr>
      <w:tr w14:paraId="3F56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2F49F8E1">
            <w:pPr>
              <w:pStyle w:val="65"/>
              <w:ind w:firstLine="0" w:firstLineChars="0"/>
              <w:jc w:val="center"/>
            </w:pPr>
            <w:r>
              <w:rPr>
                <w:rFonts w:hint="eastAsia"/>
              </w:rPr>
              <w:t>1</w:t>
            </w:r>
          </w:p>
        </w:tc>
        <w:tc>
          <w:tcPr>
            <w:tcW w:w="1276" w:type="dxa"/>
          </w:tcPr>
          <w:p w14:paraId="43DD8BAE">
            <w:pPr>
              <w:pStyle w:val="65"/>
              <w:ind w:firstLine="0" w:firstLineChars="0"/>
              <w:jc w:val="center"/>
            </w:pPr>
            <w:r>
              <w:rPr>
                <w:rFonts w:hint="eastAsia"/>
              </w:rPr>
              <w:t>脉冲</w:t>
            </w:r>
          </w:p>
        </w:tc>
        <w:tc>
          <w:tcPr>
            <w:tcW w:w="1559" w:type="dxa"/>
          </w:tcPr>
          <w:p w14:paraId="2544780A">
            <w:pPr>
              <w:pStyle w:val="65"/>
              <w:ind w:firstLine="0" w:firstLineChars="0"/>
              <w:jc w:val="center"/>
            </w:pPr>
            <w:r>
              <w:rPr>
                <w:rFonts w:hint="eastAsia"/>
              </w:rPr>
              <w:t>FOUT+</w:t>
            </w:r>
          </w:p>
        </w:tc>
        <w:tc>
          <w:tcPr>
            <w:tcW w:w="1560" w:type="dxa"/>
          </w:tcPr>
          <w:p w14:paraId="4EBDEBB4">
            <w:pPr>
              <w:pStyle w:val="65"/>
              <w:ind w:firstLine="0" w:firstLineChars="0"/>
              <w:jc w:val="center"/>
            </w:pPr>
            <w:r>
              <w:rPr>
                <w:rFonts w:hint="eastAsia"/>
              </w:rPr>
              <w:t>o</w:t>
            </w:r>
          </w:p>
        </w:tc>
        <w:tc>
          <w:tcPr>
            <w:tcW w:w="3820" w:type="dxa"/>
          </w:tcPr>
          <w:p w14:paraId="67082A96">
            <w:pPr>
              <w:pStyle w:val="65"/>
              <w:ind w:firstLine="0" w:firstLineChars="0"/>
            </w:pPr>
            <w:r>
              <w:rPr>
                <w:rFonts w:hint="eastAsia"/>
              </w:rPr>
              <w:t>瞬联电气接口——标准表脉冲输出信号</w:t>
            </w:r>
          </w:p>
        </w:tc>
      </w:tr>
      <w:tr w14:paraId="03F6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79505B59">
            <w:pPr>
              <w:pStyle w:val="65"/>
              <w:ind w:firstLine="0" w:firstLineChars="0"/>
              <w:jc w:val="center"/>
            </w:pPr>
            <w:r>
              <w:rPr>
                <w:rFonts w:hint="eastAsia"/>
              </w:rPr>
              <w:t>2</w:t>
            </w:r>
          </w:p>
        </w:tc>
        <w:tc>
          <w:tcPr>
            <w:tcW w:w="1276" w:type="dxa"/>
          </w:tcPr>
          <w:p w14:paraId="1ACD5A13">
            <w:pPr>
              <w:pStyle w:val="65"/>
              <w:ind w:firstLine="0" w:firstLineChars="0"/>
              <w:jc w:val="center"/>
            </w:pPr>
            <w:r>
              <w:rPr>
                <w:rFonts w:hint="eastAsia"/>
              </w:rPr>
              <w:t>脉冲</w:t>
            </w:r>
          </w:p>
        </w:tc>
        <w:tc>
          <w:tcPr>
            <w:tcW w:w="1559" w:type="dxa"/>
          </w:tcPr>
          <w:p w14:paraId="53053E61">
            <w:pPr>
              <w:pStyle w:val="65"/>
              <w:ind w:firstLine="0" w:firstLineChars="0"/>
              <w:jc w:val="center"/>
            </w:pPr>
            <w:r>
              <w:rPr>
                <w:rFonts w:hint="eastAsia"/>
              </w:rPr>
              <w:t>FOUT-</w:t>
            </w:r>
          </w:p>
        </w:tc>
        <w:tc>
          <w:tcPr>
            <w:tcW w:w="1560" w:type="dxa"/>
          </w:tcPr>
          <w:p w14:paraId="0B36E0EA">
            <w:pPr>
              <w:pStyle w:val="65"/>
              <w:ind w:firstLine="0" w:firstLineChars="0"/>
              <w:jc w:val="center"/>
            </w:pPr>
            <w:r>
              <w:rPr>
                <w:rFonts w:hint="eastAsia"/>
              </w:rPr>
              <w:t>o</w:t>
            </w:r>
          </w:p>
        </w:tc>
        <w:tc>
          <w:tcPr>
            <w:tcW w:w="3820" w:type="dxa"/>
          </w:tcPr>
          <w:p w14:paraId="535F2408">
            <w:pPr>
              <w:pStyle w:val="65"/>
              <w:ind w:firstLine="0" w:firstLineChars="0"/>
              <w:jc w:val="center"/>
            </w:pPr>
            <w:r>
              <w:rPr>
                <w:rFonts w:hint="eastAsia"/>
              </w:rPr>
              <w:t>瞬联电气接口——标准表脉冲输出信号地</w:t>
            </w:r>
          </w:p>
        </w:tc>
      </w:tr>
      <w:tr w14:paraId="64A2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185542E4">
            <w:pPr>
              <w:pStyle w:val="65"/>
              <w:ind w:firstLine="0" w:firstLineChars="0"/>
              <w:jc w:val="center"/>
            </w:pPr>
            <w:r>
              <w:rPr>
                <w:rFonts w:hint="eastAsia"/>
              </w:rPr>
              <w:t>3</w:t>
            </w:r>
          </w:p>
        </w:tc>
        <w:tc>
          <w:tcPr>
            <w:tcW w:w="1276" w:type="dxa"/>
          </w:tcPr>
          <w:p w14:paraId="19F3F0CF">
            <w:pPr>
              <w:pStyle w:val="65"/>
              <w:ind w:firstLine="0" w:firstLineChars="0"/>
              <w:jc w:val="center"/>
            </w:pPr>
            <w:r>
              <w:rPr>
                <w:rFonts w:hint="eastAsia"/>
              </w:rPr>
              <w:t>空</w:t>
            </w:r>
          </w:p>
        </w:tc>
        <w:tc>
          <w:tcPr>
            <w:tcW w:w="1559" w:type="dxa"/>
          </w:tcPr>
          <w:p w14:paraId="3E69EFB8">
            <w:pPr>
              <w:pStyle w:val="65"/>
              <w:ind w:firstLine="0" w:firstLineChars="0"/>
              <w:jc w:val="center"/>
            </w:pPr>
            <w:r>
              <w:rPr>
                <w:rFonts w:hint="eastAsia"/>
              </w:rPr>
              <w:t>NC</w:t>
            </w:r>
          </w:p>
        </w:tc>
        <w:tc>
          <w:tcPr>
            <w:tcW w:w="1560" w:type="dxa"/>
          </w:tcPr>
          <w:p w14:paraId="011E3A5E">
            <w:pPr>
              <w:pStyle w:val="65"/>
              <w:ind w:firstLine="0" w:firstLineChars="0"/>
              <w:jc w:val="center"/>
            </w:pPr>
            <w:r>
              <w:rPr>
                <w:rFonts w:hint="eastAsia"/>
              </w:rPr>
              <w:t>--</w:t>
            </w:r>
          </w:p>
        </w:tc>
        <w:tc>
          <w:tcPr>
            <w:tcW w:w="3820" w:type="dxa"/>
          </w:tcPr>
          <w:p w14:paraId="7FB1D76D">
            <w:pPr>
              <w:pStyle w:val="65"/>
              <w:ind w:firstLine="0" w:firstLineChars="0"/>
              <w:jc w:val="center"/>
            </w:pPr>
            <w:r>
              <w:rPr>
                <w:rFonts w:hint="eastAsia"/>
              </w:rPr>
              <w:t>预留接口</w:t>
            </w:r>
          </w:p>
        </w:tc>
      </w:tr>
      <w:tr w14:paraId="4863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4497FF29">
            <w:pPr>
              <w:pStyle w:val="65"/>
              <w:ind w:firstLine="0" w:firstLineChars="0"/>
              <w:jc w:val="center"/>
            </w:pPr>
            <w:r>
              <w:rPr>
                <w:rFonts w:hint="eastAsia"/>
              </w:rPr>
              <w:t>4</w:t>
            </w:r>
          </w:p>
        </w:tc>
        <w:tc>
          <w:tcPr>
            <w:tcW w:w="1276" w:type="dxa"/>
          </w:tcPr>
          <w:p w14:paraId="1624A675">
            <w:pPr>
              <w:pStyle w:val="65"/>
              <w:ind w:firstLine="0" w:firstLineChars="0"/>
              <w:jc w:val="center"/>
            </w:pPr>
            <w:r>
              <w:rPr>
                <w:rFonts w:hint="eastAsia"/>
              </w:rPr>
              <w:t>地</w:t>
            </w:r>
          </w:p>
        </w:tc>
        <w:tc>
          <w:tcPr>
            <w:tcW w:w="1559" w:type="dxa"/>
          </w:tcPr>
          <w:p w14:paraId="171292D3">
            <w:pPr>
              <w:pStyle w:val="65"/>
              <w:ind w:firstLine="0" w:firstLineChars="0"/>
              <w:jc w:val="center"/>
            </w:pPr>
            <w:r>
              <w:rPr>
                <w:rFonts w:hint="eastAsia"/>
              </w:rPr>
              <w:t>GND</w:t>
            </w:r>
          </w:p>
        </w:tc>
        <w:tc>
          <w:tcPr>
            <w:tcW w:w="1560" w:type="dxa"/>
          </w:tcPr>
          <w:p w14:paraId="3E976498">
            <w:pPr>
              <w:pStyle w:val="65"/>
              <w:ind w:firstLine="0" w:firstLineChars="0"/>
              <w:jc w:val="center"/>
            </w:pPr>
            <w:r>
              <w:rPr>
                <w:rFonts w:hint="eastAsia"/>
              </w:rPr>
              <w:t>--</w:t>
            </w:r>
          </w:p>
        </w:tc>
        <w:tc>
          <w:tcPr>
            <w:tcW w:w="3820" w:type="dxa"/>
          </w:tcPr>
          <w:p w14:paraId="50FB010C">
            <w:pPr>
              <w:pStyle w:val="65"/>
              <w:ind w:firstLine="0" w:firstLineChars="0"/>
            </w:pPr>
            <w:r>
              <w:rPr>
                <w:rFonts w:hint="eastAsia"/>
              </w:rPr>
              <w:t>瞬联电气接口——RS232通信地</w:t>
            </w:r>
          </w:p>
        </w:tc>
      </w:tr>
      <w:tr w14:paraId="4877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EFE3728">
            <w:pPr>
              <w:pStyle w:val="65"/>
              <w:ind w:firstLine="0" w:firstLineChars="0"/>
              <w:jc w:val="center"/>
            </w:pPr>
            <w:r>
              <w:rPr>
                <w:rFonts w:hint="eastAsia"/>
              </w:rPr>
              <w:t>5</w:t>
            </w:r>
          </w:p>
        </w:tc>
        <w:tc>
          <w:tcPr>
            <w:tcW w:w="1276" w:type="dxa"/>
          </w:tcPr>
          <w:p w14:paraId="3996DD56">
            <w:pPr>
              <w:pStyle w:val="65"/>
              <w:ind w:firstLine="0" w:firstLineChars="0"/>
              <w:jc w:val="center"/>
            </w:pPr>
            <w:r>
              <w:rPr>
                <w:rFonts w:hint="eastAsia"/>
              </w:rPr>
              <w:t>通信</w:t>
            </w:r>
          </w:p>
        </w:tc>
        <w:tc>
          <w:tcPr>
            <w:tcW w:w="1559" w:type="dxa"/>
          </w:tcPr>
          <w:p w14:paraId="6BB603FB">
            <w:pPr>
              <w:pStyle w:val="65"/>
              <w:ind w:firstLine="0" w:firstLineChars="0"/>
              <w:jc w:val="center"/>
            </w:pPr>
            <w:r>
              <w:rPr>
                <w:rFonts w:hint="eastAsia"/>
              </w:rPr>
              <w:t>RXD</w:t>
            </w:r>
          </w:p>
        </w:tc>
        <w:tc>
          <w:tcPr>
            <w:tcW w:w="1560" w:type="dxa"/>
          </w:tcPr>
          <w:p w14:paraId="40C3A8EC">
            <w:pPr>
              <w:pStyle w:val="65"/>
              <w:ind w:firstLine="0" w:firstLineChars="0"/>
              <w:jc w:val="center"/>
            </w:pPr>
            <w:r>
              <w:rPr>
                <w:rFonts w:hint="eastAsia"/>
              </w:rPr>
              <w:t>I</w:t>
            </w:r>
          </w:p>
        </w:tc>
        <w:tc>
          <w:tcPr>
            <w:tcW w:w="3820" w:type="dxa"/>
          </w:tcPr>
          <w:p w14:paraId="2D343F93">
            <w:pPr>
              <w:pStyle w:val="65"/>
              <w:ind w:firstLine="0" w:firstLineChars="0"/>
            </w:pPr>
            <w:r>
              <w:rPr>
                <w:rFonts w:hint="eastAsia"/>
              </w:rPr>
              <w:t>瞬联电气接口——RS232通信标准接收信号，通信速率默认9600 bps</w:t>
            </w:r>
          </w:p>
        </w:tc>
      </w:tr>
      <w:tr w14:paraId="0357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14:paraId="3476FE4B">
            <w:pPr>
              <w:pStyle w:val="65"/>
              <w:ind w:firstLine="0" w:firstLineChars="0"/>
              <w:jc w:val="center"/>
            </w:pPr>
            <w:r>
              <w:rPr>
                <w:rFonts w:hint="eastAsia"/>
              </w:rPr>
              <w:t>6</w:t>
            </w:r>
          </w:p>
        </w:tc>
        <w:tc>
          <w:tcPr>
            <w:tcW w:w="1276" w:type="dxa"/>
          </w:tcPr>
          <w:p w14:paraId="54065178">
            <w:pPr>
              <w:pStyle w:val="65"/>
              <w:ind w:firstLine="0" w:firstLineChars="0"/>
              <w:jc w:val="center"/>
            </w:pPr>
            <w:r>
              <w:rPr>
                <w:rFonts w:hint="eastAsia"/>
              </w:rPr>
              <w:t>通信</w:t>
            </w:r>
          </w:p>
        </w:tc>
        <w:tc>
          <w:tcPr>
            <w:tcW w:w="1559" w:type="dxa"/>
          </w:tcPr>
          <w:p w14:paraId="11705AB6">
            <w:pPr>
              <w:pStyle w:val="65"/>
              <w:ind w:firstLine="0" w:firstLineChars="0"/>
              <w:jc w:val="center"/>
            </w:pPr>
            <w:r>
              <w:rPr>
                <w:rFonts w:hint="eastAsia"/>
              </w:rPr>
              <w:t>TXD</w:t>
            </w:r>
          </w:p>
        </w:tc>
        <w:tc>
          <w:tcPr>
            <w:tcW w:w="1560" w:type="dxa"/>
          </w:tcPr>
          <w:p w14:paraId="1E54C419">
            <w:pPr>
              <w:pStyle w:val="65"/>
              <w:ind w:firstLine="0" w:firstLineChars="0"/>
              <w:jc w:val="center"/>
            </w:pPr>
            <w:r>
              <w:rPr>
                <w:rFonts w:hint="eastAsia"/>
              </w:rPr>
              <w:t>o</w:t>
            </w:r>
          </w:p>
        </w:tc>
        <w:tc>
          <w:tcPr>
            <w:tcW w:w="3820" w:type="dxa"/>
          </w:tcPr>
          <w:p w14:paraId="34F3AD9A">
            <w:pPr>
              <w:pStyle w:val="65"/>
              <w:ind w:firstLine="0" w:firstLineChars="0"/>
            </w:pPr>
            <w:r>
              <w:rPr>
                <w:rFonts w:hint="eastAsia"/>
              </w:rPr>
              <w:t>瞬联电气接口——RS232通信标准发送信号，通信速率默认9600 bps</w:t>
            </w:r>
          </w:p>
        </w:tc>
      </w:tr>
    </w:tbl>
    <w:p w14:paraId="58A5C7DF">
      <w:pPr>
        <w:pStyle w:val="65"/>
        <w:ind w:firstLine="0" w:firstLineChars="0"/>
        <w:jc w:val="left"/>
        <w:sectPr>
          <w:pgSz w:w="11906" w:h="16838"/>
          <w:pgMar w:top="2410" w:right="1134" w:bottom="1134" w:left="1134" w:header="1418" w:footer="1134" w:gutter="284"/>
          <w:cols w:space="425" w:num="1"/>
          <w:formProt w:val="0"/>
          <w:docGrid w:linePitch="312" w:charSpace="0"/>
        </w:sectPr>
      </w:pPr>
    </w:p>
    <w:bookmarkEnd w:id="10"/>
    <w:p w14:paraId="6AF1A773">
      <w:pPr>
        <w:pStyle w:val="85"/>
        <w:spacing w:before="100" w:beforeAutospacing="1" w:after="156"/>
        <w:ind w:left="567"/>
      </w:pPr>
      <w:bookmarkStart w:id="167" w:name="_Toc202270590"/>
      <w:bookmarkStart w:id="168" w:name="_Toc213849442"/>
      <w:bookmarkStart w:id="169" w:name="_Toc182654597"/>
      <w:r>
        <w:br w:type="textWrapping"/>
      </w:r>
      <w:bookmarkStart w:id="170" w:name="_Toc213850887"/>
      <w:r>
        <w:rPr>
          <w:rFonts w:hint="eastAsia"/>
        </w:rPr>
        <w:t>（资料性）</w:t>
      </w:r>
      <w:r>
        <w:br w:type="textWrapping"/>
      </w:r>
      <w:r>
        <w:rPr>
          <w:rFonts w:hint="eastAsia"/>
        </w:rPr>
        <w:t>标准表通信协议</w:t>
      </w:r>
      <w:bookmarkEnd w:id="170"/>
    </w:p>
    <w:p w14:paraId="53B1E721">
      <w:pPr>
        <w:pStyle w:val="266"/>
        <w:numPr>
          <w:ilvl w:val="1"/>
          <w:numId w:val="4"/>
        </w:numPr>
        <w:spacing w:before="156" w:beforeLines="50" w:after="156" w:afterLines="50"/>
        <w:ind w:left="420" w:leftChars="200"/>
        <w:jc w:val="left"/>
      </w:pPr>
      <w:bookmarkStart w:id="171" w:name="_Toc213850888"/>
      <w:r>
        <w:rPr>
          <w:rFonts w:hint="eastAsia"/>
        </w:rPr>
        <w:t>波特率</w:t>
      </w:r>
      <w:bookmarkEnd w:id="167"/>
      <w:bookmarkEnd w:id="168"/>
      <w:bookmarkEnd w:id="169"/>
      <w:bookmarkEnd w:id="171"/>
    </w:p>
    <w:p w14:paraId="6AFCBCAB">
      <w:pPr>
        <w:pStyle w:val="236"/>
        <w:ind w:firstLine="420"/>
      </w:pPr>
      <w:r>
        <w:rPr>
          <w:rFonts w:hint="eastAsia"/>
        </w:rPr>
        <w:t>单相标准表通信波特率默认9</w:t>
      </w:r>
      <w:r>
        <w:t>600</w:t>
      </w:r>
      <w:r>
        <w:rPr>
          <w:rFonts w:hint="eastAsia"/>
        </w:rPr>
        <w:t xml:space="preserve"> bps，可设置。</w:t>
      </w:r>
    </w:p>
    <w:p w14:paraId="7CDEEA99">
      <w:pPr>
        <w:pStyle w:val="266"/>
        <w:numPr>
          <w:ilvl w:val="1"/>
          <w:numId w:val="4"/>
        </w:numPr>
        <w:spacing w:before="156" w:beforeLines="50" w:after="156" w:afterLines="50"/>
        <w:ind w:left="420" w:leftChars="200"/>
        <w:jc w:val="left"/>
      </w:pPr>
      <w:bookmarkStart w:id="172" w:name="_Toc213850889"/>
      <w:bookmarkStart w:id="173" w:name="_Toc213849443"/>
      <w:bookmarkStart w:id="174" w:name="_Toc202270591"/>
      <w:bookmarkStart w:id="175" w:name="_Toc182654598"/>
      <w:r>
        <w:t>字节格式</w:t>
      </w:r>
      <w:bookmarkEnd w:id="172"/>
      <w:bookmarkEnd w:id="173"/>
      <w:bookmarkEnd w:id="174"/>
      <w:bookmarkEnd w:id="175"/>
    </w:p>
    <w:p w14:paraId="0EDAE0CD">
      <w:pPr>
        <w:pStyle w:val="236"/>
        <w:ind w:firstLine="420"/>
      </w:pPr>
      <w:r>
        <w:rPr>
          <w:rFonts w:hint="eastAsia"/>
        </w:rPr>
        <w:t>每字节含8位二进制码，传输时加上一个起始位(0)和一个停止位(1)，无校验位， 共 1</w:t>
      </w:r>
      <w:r>
        <w:t>0</w:t>
      </w:r>
      <w:r>
        <w:rPr>
          <w:rFonts w:hint="eastAsia"/>
        </w:rPr>
        <w:t>位。其传输序列见图B.1。D0 是字节的最低有效位，D7 是字节的最高有效位。先传低位，后传高位。</w:t>
      </w:r>
    </w:p>
    <w:p w14:paraId="7DEEDDA1">
      <w:pPr>
        <w:pStyle w:val="236"/>
        <w:ind w:firstLine="420"/>
      </w:pPr>
    </w:p>
    <w:p w14:paraId="4FB95C6D">
      <w:pPr>
        <w:pStyle w:val="236"/>
        <w:ind w:firstLine="420"/>
        <w:jc w:val="center"/>
      </w:pPr>
      <w:r>
        <w:drawing>
          <wp:inline distT="0" distB="0" distL="0" distR="0">
            <wp:extent cx="4330700" cy="885825"/>
            <wp:effectExtent l="0" t="0" r="0" b="0"/>
            <wp:docPr id="505714694" name="图片 50571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4694" name="图片 50571469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361070" cy="891972"/>
                    </a:xfrm>
                    <a:prstGeom prst="rect">
                      <a:avLst/>
                    </a:prstGeom>
                    <a:noFill/>
                    <a:ln>
                      <a:noFill/>
                    </a:ln>
                  </pic:spPr>
                </pic:pic>
              </a:graphicData>
            </a:graphic>
          </wp:inline>
        </w:drawing>
      </w:r>
    </w:p>
    <w:p w14:paraId="151BB404">
      <w:pPr>
        <w:pStyle w:val="236"/>
        <w:ind w:firstLine="420"/>
        <w:jc w:val="center"/>
      </w:pPr>
      <w:r>
        <w:rPr>
          <w:rFonts w:hint="eastAsia" w:ascii="黑体" w:hAnsi="黑体" w:eastAsia="黑体"/>
        </w:rPr>
        <w:t>B.1 字节传输序列</w:t>
      </w:r>
    </w:p>
    <w:p w14:paraId="62D5BEF0">
      <w:pPr>
        <w:pStyle w:val="266"/>
        <w:numPr>
          <w:ilvl w:val="1"/>
          <w:numId w:val="4"/>
        </w:numPr>
        <w:spacing w:before="156" w:beforeLines="50" w:after="156" w:afterLines="50"/>
        <w:ind w:left="420" w:leftChars="200"/>
        <w:jc w:val="left"/>
      </w:pPr>
      <w:bookmarkStart w:id="176" w:name="_Toc182654599"/>
      <w:bookmarkStart w:id="177" w:name="_Toc202270592"/>
      <w:bookmarkStart w:id="178" w:name="_Toc213849444"/>
      <w:bookmarkStart w:id="179" w:name="_Toc213850890"/>
      <w:r>
        <w:rPr>
          <w:rFonts w:hint="eastAsia"/>
        </w:rPr>
        <w:t>帧格式</w:t>
      </w:r>
      <w:bookmarkEnd w:id="176"/>
      <w:bookmarkEnd w:id="177"/>
      <w:bookmarkEnd w:id="178"/>
      <w:bookmarkEnd w:id="179"/>
    </w:p>
    <w:p w14:paraId="3D0AF3F3">
      <w:pPr>
        <w:pStyle w:val="236"/>
        <w:ind w:firstLine="420"/>
      </w:pPr>
      <w:r>
        <w:rPr>
          <w:rFonts w:hint="eastAsia"/>
        </w:rPr>
        <w:t>帧是传送信息的基本单元。参考帧格式见表 B.1。</w:t>
      </w:r>
    </w:p>
    <w:p w14:paraId="683D874B">
      <w:pPr>
        <w:pStyle w:val="261"/>
        <w:numPr>
          <w:ilvl w:val="0"/>
          <w:numId w:val="0"/>
        </w:numPr>
        <w:spacing w:before="156" w:after="156"/>
        <w:ind w:firstLine="3990" w:firstLineChars="1900"/>
        <w:jc w:val="both"/>
      </w:pPr>
      <w:r>
        <w:rPr>
          <w:rFonts w:hint="eastAsia"/>
        </w:rPr>
        <w:t>表B</w:t>
      </w:r>
      <w:r>
        <w:t xml:space="preserve">.1 </w:t>
      </w:r>
      <w:r>
        <w:rPr>
          <w:rFonts w:hint="eastAsia"/>
        </w:rPr>
        <w:t>帧格式</w:t>
      </w:r>
    </w:p>
    <w:tbl>
      <w:tblPr>
        <w:tblStyle w:val="31"/>
        <w:tblpPr w:leftFromText="180" w:rightFromText="180" w:vertAnchor="text" w:horzAnchor="page" w:tblpX="1786" w:tblpY="127"/>
        <w:tblOverlap w:val="never"/>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513"/>
        <w:gridCol w:w="1325"/>
      </w:tblGrid>
      <w:tr w14:paraId="0736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972" w:type="dxa"/>
            <w:gridSpan w:val="3"/>
          </w:tcPr>
          <w:p w14:paraId="1B7C362B">
            <w:pPr>
              <w:rPr>
                <w:kern w:val="0"/>
                <w:sz w:val="20"/>
              </w:rPr>
            </w:pPr>
            <w:r>
              <w:rPr>
                <w:rFonts w:hint="eastAsia"/>
                <w:kern w:val="0"/>
                <w:sz w:val="20"/>
              </w:rPr>
              <w:t>通信规约： MODBUS规约</w:t>
            </w:r>
          </w:p>
        </w:tc>
      </w:tr>
      <w:tr w14:paraId="5084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7" w:type="dxa"/>
            <w:gridSpan w:val="2"/>
          </w:tcPr>
          <w:p w14:paraId="5D9668D8">
            <w:pPr>
              <w:rPr>
                <w:kern w:val="0"/>
                <w:sz w:val="20"/>
              </w:rPr>
            </w:pPr>
            <w:r>
              <w:rPr>
                <w:rFonts w:hint="eastAsia"/>
                <w:kern w:val="0"/>
                <w:sz w:val="20"/>
              </w:rPr>
              <w:t>格式----发送:地址码(8 BIT)+功能码(8BIT)+数据区(N*8位)+校验位（CRC16）</w:t>
            </w:r>
          </w:p>
        </w:tc>
        <w:tc>
          <w:tcPr>
            <w:tcW w:w="1325" w:type="dxa"/>
          </w:tcPr>
          <w:p w14:paraId="6E410C5E">
            <w:pPr>
              <w:rPr>
                <w:kern w:val="0"/>
                <w:sz w:val="20"/>
              </w:rPr>
            </w:pPr>
          </w:p>
        </w:tc>
      </w:tr>
      <w:tr w14:paraId="7C11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34" w:type="dxa"/>
          </w:tcPr>
          <w:p w14:paraId="0451B660">
            <w:pPr>
              <w:rPr>
                <w:kern w:val="0"/>
                <w:sz w:val="20"/>
              </w:rPr>
            </w:pPr>
            <w:r>
              <w:rPr>
                <w:rFonts w:hint="eastAsia"/>
                <w:kern w:val="0"/>
                <w:sz w:val="20"/>
              </w:rPr>
              <w:t>地址码</w:t>
            </w:r>
          </w:p>
        </w:tc>
        <w:tc>
          <w:tcPr>
            <w:tcW w:w="6513" w:type="dxa"/>
          </w:tcPr>
          <w:p w14:paraId="4DCE45A9">
            <w:pPr>
              <w:rPr>
                <w:kern w:val="0"/>
                <w:sz w:val="20"/>
              </w:rPr>
            </w:pPr>
            <w:r>
              <w:rPr>
                <w:rFonts w:hint="eastAsia"/>
                <w:kern w:val="0"/>
                <w:sz w:val="20"/>
              </w:rPr>
              <w:t>28H</w:t>
            </w:r>
          </w:p>
        </w:tc>
        <w:tc>
          <w:tcPr>
            <w:tcW w:w="1325" w:type="dxa"/>
          </w:tcPr>
          <w:p w14:paraId="7D53347D">
            <w:pPr>
              <w:rPr>
                <w:kern w:val="0"/>
                <w:sz w:val="20"/>
              </w:rPr>
            </w:pPr>
          </w:p>
        </w:tc>
      </w:tr>
      <w:tr w14:paraId="172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47" w:type="dxa"/>
            <w:gridSpan w:val="2"/>
          </w:tcPr>
          <w:p w14:paraId="4C24F032">
            <w:pPr>
              <w:rPr>
                <w:kern w:val="0"/>
                <w:sz w:val="20"/>
              </w:rPr>
            </w:pPr>
          </w:p>
        </w:tc>
        <w:tc>
          <w:tcPr>
            <w:tcW w:w="1325" w:type="dxa"/>
          </w:tcPr>
          <w:p w14:paraId="401F987D">
            <w:pPr>
              <w:rPr>
                <w:kern w:val="0"/>
                <w:sz w:val="20"/>
              </w:rPr>
            </w:pPr>
          </w:p>
        </w:tc>
      </w:tr>
      <w:tr w14:paraId="74A3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7" w:type="dxa"/>
            <w:gridSpan w:val="2"/>
          </w:tcPr>
          <w:p w14:paraId="3841129B">
            <w:pPr>
              <w:rPr>
                <w:kern w:val="0"/>
                <w:sz w:val="20"/>
              </w:rPr>
            </w:pPr>
            <w:r>
              <w:rPr>
                <w:rFonts w:hint="eastAsia"/>
                <w:kern w:val="0"/>
                <w:sz w:val="20"/>
              </w:rPr>
              <w:t>主机发送：</w:t>
            </w:r>
          </w:p>
        </w:tc>
        <w:tc>
          <w:tcPr>
            <w:tcW w:w="1325" w:type="dxa"/>
          </w:tcPr>
          <w:p w14:paraId="3373983B">
            <w:pPr>
              <w:rPr>
                <w:kern w:val="0"/>
                <w:sz w:val="20"/>
              </w:rPr>
            </w:pPr>
          </w:p>
        </w:tc>
      </w:tr>
      <w:tr w14:paraId="105B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34" w:type="dxa"/>
          </w:tcPr>
          <w:p w14:paraId="4BFD1959">
            <w:pPr>
              <w:rPr>
                <w:kern w:val="0"/>
                <w:sz w:val="20"/>
              </w:rPr>
            </w:pPr>
            <w:r>
              <w:rPr>
                <w:rFonts w:hint="eastAsia"/>
                <w:kern w:val="0"/>
                <w:sz w:val="20"/>
              </w:rPr>
              <w:t>地址码</w:t>
            </w:r>
          </w:p>
        </w:tc>
        <w:tc>
          <w:tcPr>
            <w:tcW w:w="6513" w:type="dxa"/>
          </w:tcPr>
          <w:p w14:paraId="47C24279">
            <w:pPr>
              <w:rPr>
                <w:kern w:val="0"/>
                <w:sz w:val="20"/>
              </w:rPr>
            </w:pPr>
            <w:r>
              <w:rPr>
                <w:rFonts w:hint="eastAsia"/>
                <w:kern w:val="0"/>
                <w:sz w:val="20"/>
              </w:rPr>
              <w:t>Address</w:t>
            </w:r>
          </w:p>
        </w:tc>
        <w:tc>
          <w:tcPr>
            <w:tcW w:w="1325" w:type="dxa"/>
          </w:tcPr>
          <w:p w14:paraId="027CFF51">
            <w:pPr>
              <w:rPr>
                <w:kern w:val="0"/>
                <w:sz w:val="20"/>
              </w:rPr>
            </w:pPr>
          </w:p>
        </w:tc>
      </w:tr>
      <w:tr w14:paraId="756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34" w:type="dxa"/>
          </w:tcPr>
          <w:p w14:paraId="1F8BAE2A">
            <w:pPr>
              <w:rPr>
                <w:kern w:val="0"/>
                <w:sz w:val="20"/>
              </w:rPr>
            </w:pPr>
            <w:r>
              <w:rPr>
                <w:rFonts w:hint="eastAsia"/>
                <w:kern w:val="0"/>
                <w:sz w:val="20"/>
              </w:rPr>
              <w:t>功能码</w:t>
            </w:r>
          </w:p>
        </w:tc>
        <w:tc>
          <w:tcPr>
            <w:tcW w:w="6513" w:type="dxa"/>
          </w:tcPr>
          <w:p w14:paraId="4CA54957">
            <w:pPr>
              <w:rPr>
                <w:kern w:val="0"/>
                <w:sz w:val="20"/>
              </w:rPr>
            </w:pPr>
            <w:r>
              <w:rPr>
                <w:rFonts w:hint="eastAsia"/>
                <w:kern w:val="0"/>
                <w:sz w:val="20"/>
              </w:rPr>
              <w:t>10H（写命令）</w:t>
            </w:r>
          </w:p>
        </w:tc>
        <w:tc>
          <w:tcPr>
            <w:tcW w:w="1325" w:type="dxa"/>
          </w:tcPr>
          <w:p w14:paraId="7BFB5E67">
            <w:pPr>
              <w:rPr>
                <w:kern w:val="0"/>
                <w:sz w:val="20"/>
              </w:rPr>
            </w:pPr>
          </w:p>
        </w:tc>
      </w:tr>
      <w:tr w14:paraId="3E0A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34" w:type="dxa"/>
          </w:tcPr>
          <w:p w14:paraId="38884B09">
            <w:pPr>
              <w:rPr>
                <w:kern w:val="0"/>
                <w:sz w:val="20"/>
              </w:rPr>
            </w:pPr>
            <w:r>
              <w:rPr>
                <w:rFonts w:hint="eastAsia"/>
                <w:kern w:val="0"/>
                <w:sz w:val="20"/>
              </w:rPr>
              <w:t>数据区</w:t>
            </w:r>
          </w:p>
        </w:tc>
        <w:tc>
          <w:tcPr>
            <w:tcW w:w="6513" w:type="dxa"/>
          </w:tcPr>
          <w:p w14:paraId="5FB35ABB">
            <w:pPr>
              <w:rPr>
                <w:kern w:val="0"/>
                <w:sz w:val="20"/>
              </w:rPr>
            </w:pPr>
            <w:r>
              <w:rPr>
                <w:rFonts w:hint="eastAsia"/>
                <w:kern w:val="0"/>
                <w:sz w:val="20"/>
              </w:rPr>
              <w:t>起始地址(2字节)+数据数(2字节)+字节数(1字节)+数据+CRCL+CRCH</w:t>
            </w:r>
          </w:p>
        </w:tc>
        <w:tc>
          <w:tcPr>
            <w:tcW w:w="1325" w:type="dxa"/>
          </w:tcPr>
          <w:p w14:paraId="7EAC9631">
            <w:pPr>
              <w:rPr>
                <w:kern w:val="0"/>
                <w:sz w:val="20"/>
              </w:rPr>
            </w:pPr>
          </w:p>
        </w:tc>
      </w:tr>
      <w:tr w14:paraId="1AF6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2"/>
          </w:tcPr>
          <w:p w14:paraId="3DE696F6">
            <w:pPr>
              <w:rPr>
                <w:kern w:val="0"/>
                <w:sz w:val="20"/>
              </w:rPr>
            </w:pPr>
          </w:p>
        </w:tc>
        <w:tc>
          <w:tcPr>
            <w:tcW w:w="1325" w:type="dxa"/>
          </w:tcPr>
          <w:p w14:paraId="523A204D">
            <w:pPr>
              <w:rPr>
                <w:kern w:val="0"/>
                <w:sz w:val="20"/>
              </w:rPr>
            </w:pPr>
          </w:p>
        </w:tc>
      </w:tr>
      <w:tr w14:paraId="2D17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2"/>
          </w:tcPr>
          <w:p w14:paraId="6B9E0CFD">
            <w:pPr>
              <w:rPr>
                <w:kern w:val="0"/>
                <w:sz w:val="20"/>
              </w:rPr>
            </w:pPr>
            <w:r>
              <w:rPr>
                <w:rFonts w:hint="eastAsia"/>
                <w:kern w:val="0"/>
                <w:sz w:val="20"/>
              </w:rPr>
              <w:t>从机响应:</w:t>
            </w:r>
          </w:p>
        </w:tc>
        <w:tc>
          <w:tcPr>
            <w:tcW w:w="1325" w:type="dxa"/>
          </w:tcPr>
          <w:p w14:paraId="29654511">
            <w:pPr>
              <w:rPr>
                <w:kern w:val="0"/>
                <w:sz w:val="20"/>
              </w:rPr>
            </w:pPr>
          </w:p>
        </w:tc>
      </w:tr>
      <w:tr w14:paraId="255D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73E8180B">
            <w:pPr>
              <w:rPr>
                <w:kern w:val="0"/>
                <w:sz w:val="20"/>
              </w:rPr>
            </w:pPr>
            <w:r>
              <w:rPr>
                <w:rFonts w:hint="eastAsia"/>
                <w:kern w:val="0"/>
                <w:sz w:val="20"/>
              </w:rPr>
              <w:t>地址码</w:t>
            </w:r>
          </w:p>
        </w:tc>
        <w:tc>
          <w:tcPr>
            <w:tcW w:w="6513" w:type="dxa"/>
          </w:tcPr>
          <w:p w14:paraId="29EF4938">
            <w:pPr>
              <w:rPr>
                <w:kern w:val="0"/>
                <w:sz w:val="20"/>
              </w:rPr>
            </w:pPr>
            <w:r>
              <w:rPr>
                <w:rFonts w:hint="eastAsia"/>
                <w:kern w:val="0"/>
                <w:sz w:val="20"/>
              </w:rPr>
              <w:t>Address</w:t>
            </w:r>
          </w:p>
        </w:tc>
        <w:tc>
          <w:tcPr>
            <w:tcW w:w="1325" w:type="dxa"/>
          </w:tcPr>
          <w:p w14:paraId="5BD8C07C">
            <w:pPr>
              <w:rPr>
                <w:kern w:val="0"/>
                <w:sz w:val="20"/>
              </w:rPr>
            </w:pPr>
          </w:p>
        </w:tc>
      </w:tr>
      <w:tr w14:paraId="7EEF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04499BB7">
            <w:pPr>
              <w:rPr>
                <w:kern w:val="0"/>
                <w:sz w:val="20"/>
              </w:rPr>
            </w:pPr>
            <w:r>
              <w:rPr>
                <w:rFonts w:hint="eastAsia"/>
                <w:kern w:val="0"/>
                <w:sz w:val="20"/>
              </w:rPr>
              <w:t>功能码</w:t>
            </w:r>
          </w:p>
        </w:tc>
        <w:tc>
          <w:tcPr>
            <w:tcW w:w="6513" w:type="dxa"/>
          </w:tcPr>
          <w:p w14:paraId="16E77C39">
            <w:pPr>
              <w:rPr>
                <w:kern w:val="0"/>
                <w:sz w:val="20"/>
              </w:rPr>
            </w:pPr>
            <w:r>
              <w:rPr>
                <w:rFonts w:hint="eastAsia"/>
                <w:kern w:val="0"/>
                <w:sz w:val="20"/>
              </w:rPr>
              <w:t>10H</w:t>
            </w:r>
          </w:p>
        </w:tc>
        <w:tc>
          <w:tcPr>
            <w:tcW w:w="1325" w:type="dxa"/>
          </w:tcPr>
          <w:p w14:paraId="499547C9">
            <w:pPr>
              <w:rPr>
                <w:kern w:val="0"/>
                <w:sz w:val="20"/>
              </w:rPr>
            </w:pPr>
          </w:p>
        </w:tc>
      </w:tr>
    </w:tbl>
    <w:p w14:paraId="4F144246">
      <w:pPr>
        <w:pStyle w:val="261"/>
        <w:numPr>
          <w:ilvl w:val="0"/>
          <w:numId w:val="0"/>
        </w:numPr>
        <w:spacing w:before="156" w:after="156"/>
        <w:ind w:firstLine="3780" w:firstLineChars="1800"/>
        <w:jc w:val="both"/>
      </w:pPr>
      <w:r>
        <w:rPr>
          <w:rFonts w:hint="eastAsia"/>
        </w:rPr>
        <w:t>表B</w:t>
      </w:r>
      <w:r>
        <w:t xml:space="preserve">.1 </w:t>
      </w:r>
      <w:r>
        <w:rPr>
          <w:rFonts w:hint="eastAsia"/>
        </w:rPr>
        <w:t xml:space="preserve">帧格式（续）                      </w:t>
      </w:r>
    </w:p>
    <w:tbl>
      <w:tblPr>
        <w:tblStyle w:val="31"/>
        <w:tblpPr w:leftFromText="180" w:rightFromText="180" w:vertAnchor="text" w:horzAnchor="page" w:tblpX="1786" w:tblpY="127"/>
        <w:tblOverlap w:val="never"/>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26"/>
        <w:gridCol w:w="2649"/>
        <w:gridCol w:w="1177"/>
        <w:gridCol w:w="2061"/>
        <w:gridCol w:w="1325"/>
      </w:tblGrid>
      <w:tr w14:paraId="5B7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573F601A">
            <w:pPr>
              <w:rPr>
                <w:kern w:val="0"/>
                <w:sz w:val="20"/>
              </w:rPr>
            </w:pPr>
            <w:r>
              <w:rPr>
                <w:rFonts w:hint="eastAsia"/>
                <w:kern w:val="0"/>
                <w:sz w:val="20"/>
              </w:rPr>
              <w:t>从机响应:</w:t>
            </w:r>
          </w:p>
        </w:tc>
        <w:tc>
          <w:tcPr>
            <w:tcW w:w="1325" w:type="dxa"/>
          </w:tcPr>
          <w:p w14:paraId="3556BC22">
            <w:pPr>
              <w:rPr>
                <w:kern w:val="0"/>
                <w:sz w:val="20"/>
              </w:rPr>
            </w:pPr>
          </w:p>
        </w:tc>
      </w:tr>
      <w:tr w14:paraId="09EF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46CCC218">
            <w:pPr>
              <w:rPr>
                <w:kern w:val="0"/>
                <w:sz w:val="20"/>
              </w:rPr>
            </w:pPr>
            <w:r>
              <w:rPr>
                <w:rFonts w:hint="eastAsia"/>
                <w:kern w:val="0"/>
                <w:sz w:val="20"/>
              </w:rPr>
              <w:t>数据区</w:t>
            </w:r>
          </w:p>
        </w:tc>
        <w:tc>
          <w:tcPr>
            <w:tcW w:w="6513" w:type="dxa"/>
            <w:gridSpan w:val="4"/>
          </w:tcPr>
          <w:p w14:paraId="383EFE17">
            <w:pPr>
              <w:rPr>
                <w:kern w:val="0"/>
                <w:sz w:val="20"/>
              </w:rPr>
            </w:pPr>
            <w:r>
              <w:rPr>
                <w:rFonts w:hint="eastAsia"/>
                <w:kern w:val="0"/>
                <w:sz w:val="20"/>
              </w:rPr>
              <w:t>起始地址(2字节)+数据数(2字节)+CRC</w:t>
            </w:r>
          </w:p>
        </w:tc>
        <w:tc>
          <w:tcPr>
            <w:tcW w:w="1325" w:type="dxa"/>
          </w:tcPr>
          <w:p w14:paraId="63A69D5B">
            <w:pPr>
              <w:rPr>
                <w:kern w:val="0"/>
                <w:sz w:val="20"/>
              </w:rPr>
            </w:pPr>
          </w:p>
        </w:tc>
      </w:tr>
      <w:tr w14:paraId="6B01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49D5E1D7">
            <w:pPr>
              <w:rPr>
                <w:kern w:val="0"/>
                <w:sz w:val="20"/>
              </w:rPr>
            </w:pPr>
          </w:p>
        </w:tc>
        <w:tc>
          <w:tcPr>
            <w:tcW w:w="1325" w:type="dxa"/>
          </w:tcPr>
          <w:p w14:paraId="2D45D4CA">
            <w:pPr>
              <w:rPr>
                <w:kern w:val="0"/>
                <w:sz w:val="20"/>
              </w:rPr>
            </w:pPr>
          </w:p>
        </w:tc>
      </w:tr>
      <w:tr w14:paraId="38DA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256EF65B">
            <w:pPr>
              <w:rPr>
                <w:kern w:val="0"/>
                <w:sz w:val="20"/>
              </w:rPr>
            </w:pPr>
            <w:r>
              <w:rPr>
                <w:rFonts w:hint="eastAsia"/>
                <w:kern w:val="0"/>
                <w:sz w:val="20"/>
              </w:rPr>
              <w:t>主机发送：</w:t>
            </w:r>
          </w:p>
        </w:tc>
        <w:tc>
          <w:tcPr>
            <w:tcW w:w="1325" w:type="dxa"/>
          </w:tcPr>
          <w:p w14:paraId="2CEDC638">
            <w:pPr>
              <w:rPr>
                <w:kern w:val="0"/>
                <w:sz w:val="20"/>
              </w:rPr>
            </w:pPr>
          </w:p>
        </w:tc>
      </w:tr>
      <w:tr w14:paraId="4264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22E10FA4">
            <w:pPr>
              <w:rPr>
                <w:kern w:val="0"/>
                <w:sz w:val="20"/>
              </w:rPr>
            </w:pPr>
            <w:r>
              <w:rPr>
                <w:rFonts w:hint="eastAsia"/>
                <w:kern w:val="0"/>
                <w:sz w:val="20"/>
              </w:rPr>
              <w:t>地址码</w:t>
            </w:r>
          </w:p>
        </w:tc>
        <w:tc>
          <w:tcPr>
            <w:tcW w:w="6513" w:type="dxa"/>
            <w:gridSpan w:val="4"/>
          </w:tcPr>
          <w:p w14:paraId="2F21BA21">
            <w:pPr>
              <w:rPr>
                <w:kern w:val="0"/>
                <w:sz w:val="20"/>
              </w:rPr>
            </w:pPr>
            <w:r>
              <w:rPr>
                <w:rFonts w:hint="eastAsia"/>
                <w:kern w:val="0"/>
                <w:sz w:val="20"/>
              </w:rPr>
              <w:t>Address</w:t>
            </w:r>
          </w:p>
        </w:tc>
        <w:tc>
          <w:tcPr>
            <w:tcW w:w="1325" w:type="dxa"/>
          </w:tcPr>
          <w:p w14:paraId="3BEE5CA1">
            <w:pPr>
              <w:rPr>
                <w:kern w:val="0"/>
                <w:sz w:val="20"/>
              </w:rPr>
            </w:pPr>
          </w:p>
        </w:tc>
      </w:tr>
      <w:tr w14:paraId="79A4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20071E14">
            <w:pPr>
              <w:rPr>
                <w:kern w:val="0"/>
                <w:sz w:val="20"/>
              </w:rPr>
            </w:pPr>
            <w:r>
              <w:rPr>
                <w:rFonts w:hint="eastAsia"/>
                <w:kern w:val="0"/>
                <w:sz w:val="20"/>
              </w:rPr>
              <w:t>功能码</w:t>
            </w:r>
          </w:p>
        </w:tc>
        <w:tc>
          <w:tcPr>
            <w:tcW w:w="6513" w:type="dxa"/>
            <w:gridSpan w:val="4"/>
          </w:tcPr>
          <w:p w14:paraId="4C19AD7F">
            <w:pPr>
              <w:rPr>
                <w:kern w:val="0"/>
                <w:sz w:val="20"/>
              </w:rPr>
            </w:pPr>
            <w:r>
              <w:rPr>
                <w:rFonts w:hint="eastAsia"/>
                <w:kern w:val="0"/>
                <w:sz w:val="20"/>
              </w:rPr>
              <w:t>03H（读命令）</w:t>
            </w:r>
          </w:p>
        </w:tc>
        <w:tc>
          <w:tcPr>
            <w:tcW w:w="1325" w:type="dxa"/>
          </w:tcPr>
          <w:p w14:paraId="1021BEE0">
            <w:pPr>
              <w:rPr>
                <w:kern w:val="0"/>
                <w:sz w:val="20"/>
              </w:rPr>
            </w:pPr>
          </w:p>
        </w:tc>
      </w:tr>
      <w:tr w14:paraId="44DD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302E6F7B">
            <w:pPr>
              <w:rPr>
                <w:kern w:val="0"/>
                <w:sz w:val="20"/>
              </w:rPr>
            </w:pPr>
            <w:r>
              <w:rPr>
                <w:rFonts w:hint="eastAsia"/>
                <w:kern w:val="0"/>
                <w:sz w:val="20"/>
              </w:rPr>
              <w:t>数据区</w:t>
            </w:r>
          </w:p>
        </w:tc>
        <w:tc>
          <w:tcPr>
            <w:tcW w:w="6513" w:type="dxa"/>
            <w:gridSpan w:val="4"/>
          </w:tcPr>
          <w:p w14:paraId="00777D1B">
            <w:pPr>
              <w:rPr>
                <w:kern w:val="0"/>
                <w:sz w:val="20"/>
              </w:rPr>
            </w:pPr>
            <w:r>
              <w:rPr>
                <w:rFonts w:hint="eastAsia"/>
                <w:kern w:val="0"/>
                <w:sz w:val="20"/>
              </w:rPr>
              <w:t>起始地址(2字节)+数据word数(2字节)+CRCL+CRCH</w:t>
            </w:r>
          </w:p>
        </w:tc>
        <w:tc>
          <w:tcPr>
            <w:tcW w:w="1325" w:type="dxa"/>
          </w:tcPr>
          <w:p w14:paraId="030729DD">
            <w:pPr>
              <w:rPr>
                <w:kern w:val="0"/>
                <w:sz w:val="20"/>
              </w:rPr>
            </w:pPr>
          </w:p>
        </w:tc>
      </w:tr>
      <w:tr w14:paraId="26FA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066ECE66">
            <w:pPr>
              <w:rPr>
                <w:kern w:val="0"/>
                <w:sz w:val="20"/>
              </w:rPr>
            </w:pPr>
          </w:p>
        </w:tc>
        <w:tc>
          <w:tcPr>
            <w:tcW w:w="1325" w:type="dxa"/>
          </w:tcPr>
          <w:p w14:paraId="63F0C677">
            <w:pPr>
              <w:rPr>
                <w:kern w:val="0"/>
                <w:sz w:val="20"/>
              </w:rPr>
            </w:pPr>
          </w:p>
        </w:tc>
      </w:tr>
      <w:tr w14:paraId="467D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7A87A941">
            <w:pPr>
              <w:rPr>
                <w:kern w:val="0"/>
                <w:sz w:val="20"/>
              </w:rPr>
            </w:pPr>
            <w:r>
              <w:rPr>
                <w:rFonts w:hint="eastAsia"/>
                <w:kern w:val="0"/>
                <w:sz w:val="20"/>
              </w:rPr>
              <w:t>从机响应:</w:t>
            </w:r>
          </w:p>
        </w:tc>
        <w:tc>
          <w:tcPr>
            <w:tcW w:w="1325" w:type="dxa"/>
          </w:tcPr>
          <w:p w14:paraId="4175279C">
            <w:pPr>
              <w:rPr>
                <w:kern w:val="0"/>
                <w:sz w:val="20"/>
              </w:rPr>
            </w:pPr>
          </w:p>
        </w:tc>
      </w:tr>
      <w:tr w14:paraId="579E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560D88D8">
            <w:pPr>
              <w:rPr>
                <w:kern w:val="0"/>
                <w:sz w:val="20"/>
              </w:rPr>
            </w:pPr>
            <w:r>
              <w:rPr>
                <w:rFonts w:hint="eastAsia"/>
                <w:kern w:val="0"/>
                <w:sz w:val="20"/>
              </w:rPr>
              <w:t>地址码</w:t>
            </w:r>
          </w:p>
        </w:tc>
        <w:tc>
          <w:tcPr>
            <w:tcW w:w="6513" w:type="dxa"/>
            <w:gridSpan w:val="4"/>
          </w:tcPr>
          <w:p w14:paraId="6047A88C">
            <w:pPr>
              <w:rPr>
                <w:kern w:val="0"/>
                <w:sz w:val="20"/>
              </w:rPr>
            </w:pPr>
            <w:r>
              <w:rPr>
                <w:rFonts w:hint="eastAsia"/>
                <w:kern w:val="0"/>
                <w:sz w:val="20"/>
              </w:rPr>
              <w:t>Address</w:t>
            </w:r>
          </w:p>
        </w:tc>
        <w:tc>
          <w:tcPr>
            <w:tcW w:w="1325" w:type="dxa"/>
          </w:tcPr>
          <w:p w14:paraId="3819FA25">
            <w:pPr>
              <w:rPr>
                <w:kern w:val="0"/>
                <w:sz w:val="20"/>
              </w:rPr>
            </w:pPr>
          </w:p>
        </w:tc>
      </w:tr>
      <w:tr w14:paraId="650A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6CB88B72">
            <w:pPr>
              <w:rPr>
                <w:kern w:val="0"/>
                <w:sz w:val="20"/>
              </w:rPr>
            </w:pPr>
            <w:r>
              <w:rPr>
                <w:rFonts w:hint="eastAsia"/>
                <w:kern w:val="0"/>
                <w:sz w:val="20"/>
              </w:rPr>
              <w:t>功能码</w:t>
            </w:r>
          </w:p>
        </w:tc>
        <w:tc>
          <w:tcPr>
            <w:tcW w:w="6513" w:type="dxa"/>
            <w:gridSpan w:val="4"/>
          </w:tcPr>
          <w:p w14:paraId="7ECA82C8">
            <w:pPr>
              <w:rPr>
                <w:kern w:val="0"/>
                <w:sz w:val="20"/>
              </w:rPr>
            </w:pPr>
            <w:r>
              <w:rPr>
                <w:rFonts w:hint="eastAsia"/>
                <w:kern w:val="0"/>
                <w:sz w:val="20"/>
              </w:rPr>
              <w:t>03H</w:t>
            </w:r>
          </w:p>
        </w:tc>
        <w:tc>
          <w:tcPr>
            <w:tcW w:w="1325" w:type="dxa"/>
          </w:tcPr>
          <w:p w14:paraId="3A0821ED">
            <w:pPr>
              <w:rPr>
                <w:kern w:val="0"/>
                <w:sz w:val="20"/>
              </w:rPr>
            </w:pPr>
          </w:p>
        </w:tc>
      </w:tr>
      <w:tr w14:paraId="262E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Pr>
          <w:p w14:paraId="57CE4C30">
            <w:pPr>
              <w:rPr>
                <w:kern w:val="0"/>
                <w:sz w:val="20"/>
              </w:rPr>
            </w:pPr>
            <w:r>
              <w:rPr>
                <w:rFonts w:hint="eastAsia"/>
                <w:kern w:val="0"/>
                <w:sz w:val="20"/>
              </w:rPr>
              <w:t>数据区</w:t>
            </w:r>
          </w:p>
        </w:tc>
        <w:tc>
          <w:tcPr>
            <w:tcW w:w="6513" w:type="dxa"/>
            <w:gridSpan w:val="4"/>
          </w:tcPr>
          <w:p w14:paraId="204DB5F7">
            <w:pPr>
              <w:rPr>
                <w:kern w:val="0"/>
                <w:sz w:val="20"/>
              </w:rPr>
            </w:pPr>
            <w:r>
              <w:rPr>
                <w:rFonts w:hint="eastAsia"/>
                <w:kern w:val="0"/>
                <w:sz w:val="20"/>
              </w:rPr>
              <w:t>总字节数N+N数据+CRC</w:t>
            </w:r>
          </w:p>
        </w:tc>
        <w:tc>
          <w:tcPr>
            <w:tcW w:w="1325" w:type="dxa"/>
          </w:tcPr>
          <w:p w14:paraId="604A871E">
            <w:pPr>
              <w:rPr>
                <w:kern w:val="0"/>
                <w:sz w:val="20"/>
              </w:rPr>
            </w:pPr>
          </w:p>
        </w:tc>
      </w:tr>
      <w:tr w14:paraId="73A5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5C535FBA">
            <w:pPr>
              <w:rPr>
                <w:kern w:val="0"/>
                <w:sz w:val="20"/>
              </w:rPr>
            </w:pPr>
          </w:p>
        </w:tc>
        <w:tc>
          <w:tcPr>
            <w:tcW w:w="1325" w:type="dxa"/>
          </w:tcPr>
          <w:p w14:paraId="058C54FD">
            <w:pPr>
              <w:rPr>
                <w:kern w:val="0"/>
                <w:sz w:val="20"/>
              </w:rPr>
            </w:pPr>
          </w:p>
        </w:tc>
      </w:tr>
      <w:tr w14:paraId="2BD6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23182C74">
            <w:pPr>
              <w:rPr>
                <w:kern w:val="0"/>
                <w:sz w:val="20"/>
              </w:rPr>
            </w:pPr>
            <w:r>
              <w:rPr>
                <w:rFonts w:hint="eastAsia"/>
                <w:kern w:val="0"/>
                <w:sz w:val="20"/>
              </w:rPr>
              <w:t>只读测量数据寄存器（0600H--067fH）</w:t>
            </w:r>
          </w:p>
        </w:tc>
        <w:tc>
          <w:tcPr>
            <w:tcW w:w="1325" w:type="dxa"/>
          </w:tcPr>
          <w:p w14:paraId="716E343B">
            <w:pPr>
              <w:rPr>
                <w:kern w:val="0"/>
                <w:sz w:val="20"/>
              </w:rPr>
            </w:pPr>
          </w:p>
        </w:tc>
      </w:tr>
      <w:tr w14:paraId="20F7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6637216A">
            <w:pPr>
              <w:jc w:val="center"/>
              <w:rPr>
                <w:kern w:val="0"/>
                <w:sz w:val="20"/>
              </w:rPr>
            </w:pPr>
            <w:r>
              <w:rPr>
                <w:rFonts w:hint="eastAsia"/>
                <w:kern w:val="0"/>
                <w:sz w:val="20"/>
              </w:rPr>
              <w:t>变量名</w:t>
            </w:r>
          </w:p>
        </w:tc>
        <w:tc>
          <w:tcPr>
            <w:tcW w:w="2649" w:type="dxa"/>
          </w:tcPr>
          <w:p w14:paraId="6C09C15D">
            <w:pPr>
              <w:jc w:val="center"/>
              <w:rPr>
                <w:kern w:val="0"/>
                <w:sz w:val="20"/>
              </w:rPr>
            </w:pPr>
            <w:r>
              <w:rPr>
                <w:rFonts w:hint="eastAsia"/>
                <w:kern w:val="0"/>
                <w:sz w:val="20"/>
              </w:rPr>
              <w:t>范围</w:t>
            </w:r>
          </w:p>
        </w:tc>
        <w:tc>
          <w:tcPr>
            <w:tcW w:w="1177" w:type="dxa"/>
          </w:tcPr>
          <w:p w14:paraId="4D4BEF2A">
            <w:pPr>
              <w:rPr>
                <w:kern w:val="0"/>
                <w:sz w:val="20"/>
              </w:rPr>
            </w:pPr>
            <w:r>
              <w:rPr>
                <w:rFonts w:hint="eastAsia"/>
                <w:kern w:val="0"/>
                <w:sz w:val="20"/>
              </w:rPr>
              <w:t>Byte</w:t>
            </w:r>
          </w:p>
        </w:tc>
        <w:tc>
          <w:tcPr>
            <w:tcW w:w="2061" w:type="dxa"/>
          </w:tcPr>
          <w:p w14:paraId="75230B20">
            <w:pPr>
              <w:jc w:val="center"/>
              <w:rPr>
                <w:kern w:val="0"/>
                <w:sz w:val="20"/>
              </w:rPr>
            </w:pPr>
            <w:r>
              <w:rPr>
                <w:rFonts w:hint="eastAsia"/>
                <w:kern w:val="0"/>
                <w:sz w:val="20"/>
              </w:rPr>
              <w:t>寄存器地址</w:t>
            </w:r>
          </w:p>
        </w:tc>
        <w:tc>
          <w:tcPr>
            <w:tcW w:w="1325" w:type="dxa"/>
          </w:tcPr>
          <w:p w14:paraId="5C6EC7E7">
            <w:pPr>
              <w:jc w:val="center"/>
              <w:rPr>
                <w:kern w:val="0"/>
                <w:sz w:val="20"/>
              </w:rPr>
            </w:pPr>
            <w:r>
              <w:rPr>
                <w:rFonts w:hint="eastAsia"/>
                <w:kern w:val="0"/>
                <w:sz w:val="20"/>
              </w:rPr>
              <w:t>偏移地址</w:t>
            </w:r>
          </w:p>
        </w:tc>
      </w:tr>
      <w:tr w14:paraId="0E3A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60022F97">
            <w:pPr>
              <w:ind w:firstLine="400" w:firstLineChars="200"/>
              <w:rPr>
                <w:kern w:val="0"/>
                <w:sz w:val="20"/>
              </w:rPr>
            </w:pPr>
            <w:r>
              <w:rPr>
                <w:rFonts w:hint="eastAsia"/>
                <w:kern w:val="0"/>
                <w:sz w:val="20"/>
              </w:rPr>
              <w:t>电压</w:t>
            </w:r>
          </w:p>
        </w:tc>
        <w:tc>
          <w:tcPr>
            <w:tcW w:w="2649" w:type="dxa"/>
          </w:tcPr>
          <w:p w14:paraId="4EE899D5">
            <w:pPr>
              <w:rPr>
                <w:kern w:val="0"/>
                <w:sz w:val="20"/>
              </w:rPr>
            </w:pPr>
            <w:r>
              <w:rPr>
                <w:rFonts w:hint="eastAsia"/>
                <w:kern w:val="0"/>
                <w:sz w:val="20"/>
              </w:rPr>
              <w:t>0--600.000000 V</w:t>
            </w:r>
          </w:p>
        </w:tc>
        <w:tc>
          <w:tcPr>
            <w:tcW w:w="1177" w:type="dxa"/>
          </w:tcPr>
          <w:p w14:paraId="4C626262">
            <w:pPr>
              <w:ind w:firstLine="200" w:firstLineChars="100"/>
              <w:rPr>
                <w:kern w:val="0"/>
                <w:sz w:val="20"/>
              </w:rPr>
            </w:pPr>
            <w:r>
              <w:rPr>
                <w:rFonts w:hint="eastAsia"/>
                <w:kern w:val="0"/>
                <w:sz w:val="20"/>
              </w:rPr>
              <w:t>4</w:t>
            </w:r>
          </w:p>
        </w:tc>
        <w:tc>
          <w:tcPr>
            <w:tcW w:w="2061" w:type="dxa"/>
          </w:tcPr>
          <w:p w14:paraId="756539EB">
            <w:pPr>
              <w:ind w:firstLine="600" w:firstLineChars="300"/>
              <w:rPr>
                <w:kern w:val="0"/>
                <w:sz w:val="20"/>
              </w:rPr>
            </w:pPr>
            <w:r>
              <w:rPr>
                <w:rFonts w:hint="eastAsia"/>
                <w:kern w:val="0"/>
                <w:sz w:val="20"/>
              </w:rPr>
              <w:t>600H</w:t>
            </w:r>
          </w:p>
        </w:tc>
        <w:tc>
          <w:tcPr>
            <w:tcW w:w="1325" w:type="dxa"/>
          </w:tcPr>
          <w:p w14:paraId="476BD0ED">
            <w:pPr>
              <w:jc w:val="center"/>
              <w:rPr>
                <w:kern w:val="0"/>
                <w:sz w:val="20"/>
              </w:rPr>
            </w:pPr>
            <w:r>
              <w:rPr>
                <w:rFonts w:hint="eastAsia"/>
                <w:kern w:val="0"/>
                <w:sz w:val="20"/>
              </w:rPr>
              <w:t>0</w:t>
            </w:r>
          </w:p>
        </w:tc>
      </w:tr>
      <w:tr w14:paraId="1CE0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046DF162">
            <w:pPr>
              <w:ind w:firstLine="400" w:firstLineChars="200"/>
              <w:rPr>
                <w:kern w:val="0"/>
                <w:sz w:val="20"/>
              </w:rPr>
            </w:pPr>
            <w:r>
              <w:rPr>
                <w:rFonts w:hint="eastAsia"/>
                <w:kern w:val="0"/>
                <w:sz w:val="20"/>
              </w:rPr>
              <w:t>电流</w:t>
            </w:r>
          </w:p>
        </w:tc>
        <w:tc>
          <w:tcPr>
            <w:tcW w:w="2649" w:type="dxa"/>
          </w:tcPr>
          <w:p w14:paraId="08D1EB6F">
            <w:pPr>
              <w:rPr>
                <w:kern w:val="0"/>
                <w:sz w:val="20"/>
              </w:rPr>
            </w:pPr>
            <w:r>
              <w:rPr>
                <w:rFonts w:hint="eastAsia"/>
                <w:kern w:val="0"/>
                <w:sz w:val="20"/>
              </w:rPr>
              <w:t>0--200.0000000 A</w:t>
            </w:r>
          </w:p>
        </w:tc>
        <w:tc>
          <w:tcPr>
            <w:tcW w:w="1177" w:type="dxa"/>
          </w:tcPr>
          <w:p w14:paraId="7841C8F4">
            <w:pPr>
              <w:ind w:firstLine="200" w:firstLineChars="100"/>
              <w:rPr>
                <w:kern w:val="0"/>
                <w:sz w:val="20"/>
              </w:rPr>
            </w:pPr>
            <w:r>
              <w:rPr>
                <w:rFonts w:hint="eastAsia"/>
                <w:kern w:val="0"/>
                <w:sz w:val="20"/>
              </w:rPr>
              <w:t>4</w:t>
            </w:r>
          </w:p>
        </w:tc>
        <w:tc>
          <w:tcPr>
            <w:tcW w:w="2061" w:type="dxa"/>
          </w:tcPr>
          <w:p w14:paraId="0EC72B5C">
            <w:pPr>
              <w:ind w:firstLine="600" w:firstLineChars="300"/>
              <w:rPr>
                <w:kern w:val="0"/>
                <w:sz w:val="20"/>
              </w:rPr>
            </w:pPr>
            <w:r>
              <w:rPr>
                <w:rFonts w:hint="eastAsia"/>
                <w:kern w:val="0"/>
                <w:sz w:val="20"/>
              </w:rPr>
              <w:t>602H</w:t>
            </w:r>
          </w:p>
        </w:tc>
        <w:tc>
          <w:tcPr>
            <w:tcW w:w="1325" w:type="dxa"/>
          </w:tcPr>
          <w:p w14:paraId="09D71F7F">
            <w:pPr>
              <w:jc w:val="center"/>
              <w:rPr>
                <w:kern w:val="0"/>
                <w:sz w:val="20"/>
              </w:rPr>
            </w:pPr>
            <w:r>
              <w:rPr>
                <w:rFonts w:hint="eastAsia"/>
                <w:kern w:val="0"/>
                <w:sz w:val="20"/>
              </w:rPr>
              <w:t>2</w:t>
            </w:r>
          </w:p>
        </w:tc>
      </w:tr>
      <w:tr w14:paraId="546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5B201D36">
            <w:pPr>
              <w:ind w:firstLine="200" w:firstLineChars="100"/>
              <w:rPr>
                <w:kern w:val="0"/>
                <w:sz w:val="20"/>
              </w:rPr>
            </w:pPr>
            <w:r>
              <w:rPr>
                <w:rFonts w:hint="eastAsia"/>
                <w:kern w:val="0"/>
                <w:sz w:val="20"/>
              </w:rPr>
              <w:t>有功功率</w:t>
            </w:r>
          </w:p>
        </w:tc>
        <w:tc>
          <w:tcPr>
            <w:tcW w:w="2649" w:type="dxa"/>
          </w:tcPr>
          <w:p w14:paraId="7A0D80D2">
            <w:pPr>
              <w:rPr>
                <w:kern w:val="0"/>
                <w:sz w:val="20"/>
              </w:rPr>
            </w:pPr>
            <w:r>
              <w:rPr>
                <w:rFonts w:hint="eastAsia"/>
                <w:kern w:val="0"/>
                <w:sz w:val="20"/>
              </w:rPr>
              <w:t>-999999.999999--+999999.999999 W</w:t>
            </w:r>
          </w:p>
        </w:tc>
        <w:tc>
          <w:tcPr>
            <w:tcW w:w="1177" w:type="dxa"/>
          </w:tcPr>
          <w:p w14:paraId="7314012E">
            <w:pPr>
              <w:ind w:firstLine="200" w:firstLineChars="100"/>
              <w:rPr>
                <w:kern w:val="0"/>
                <w:sz w:val="20"/>
              </w:rPr>
            </w:pPr>
            <w:r>
              <w:rPr>
                <w:rFonts w:hint="eastAsia"/>
                <w:kern w:val="0"/>
                <w:sz w:val="20"/>
              </w:rPr>
              <w:t>6</w:t>
            </w:r>
          </w:p>
        </w:tc>
        <w:tc>
          <w:tcPr>
            <w:tcW w:w="2061" w:type="dxa"/>
          </w:tcPr>
          <w:p w14:paraId="617E3C84">
            <w:pPr>
              <w:ind w:firstLine="600" w:firstLineChars="300"/>
              <w:rPr>
                <w:kern w:val="0"/>
                <w:sz w:val="20"/>
              </w:rPr>
            </w:pPr>
            <w:r>
              <w:rPr>
                <w:rFonts w:hint="eastAsia"/>
                <w:kern w:val="0"/>
                <w:sz w:val="20"/>
              </w:rPr>
              <w:t>604H</w:t>
            </w:r>
          </w:p>
        </w:tc>
        <w:tc>
          <w:tcPr>
            <w:tcW w:w="1325" w:type="dxa"/>
          </w:tcPr>
          <w:p w14:paraId="42E48911">
            <w:pPr>
              <w:jc w:val="center"/>
              <w:rPr>
                <w:kern w:val="0"/>
                <w:sz w:val="20"/>
              </w:rPr>
            </w:pPr>
            <w:r>
              <w:rPr>
                <w:rFonts w:hint="eastAsia"/>
                <w:kern w:val="0"/>
                <w:sz w:val="20"/>
              </w:rPr>
              <w:t>4</w:t>
            </w:r>
          </w:p>
        </w:tc>
      </w:tr>
      <w:tr w14:paraId="7758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2DD13077">
            <w:pPr>
              <w:ind w:firstLine="200" w:firstLineChars="100"/>
              <w:rPr>
                <w:kern w:val="0"/>
                <w:sz w:val="20"/>
              </w:rPr>
            </w:pPr>
            <w:r>
              <w:rPr>
                <w:rFonts w:hint="eastAsia"/>
                <w:kern w:val="0"/>
                <w:sz w:val="20"/>
              </w:rPr>
              <w:t>无功功率</w:t>
            </w:r>
          </w:p>
        </w:tc>
        <w:tc>
          <w:tcPr>
            <w:tcW w:w="2649" w:type="dxa"/>
          </w:tcPr>
          <w:p w14:paraId="4D3D025F">
            <w:pPr>
              <w:rPr>
                <w:kern w:val="0"/>
                <w:sz w:val="20"/>
              </w:rPr>
            </w:pPr>
            <w:r>
              <w:rPr>
                <w:rFonts w:hint="eastAsia"/>
                <w:kern w:val="0"/>
                <w:sz w:val="20"/>
              </w:rPr>
              <w:t>-999999.999999--+999999.999999 Var</w:t>
            </w:r>
          </w:p>
        </w:tc>
        <w:tc>
          <w:tcPr>
            <w:tcW w:w="1177" w:type="dxa"/>
          </w:tcPr>
          <w:p w14:paraId="3890D8BE">
            <w:pPr>
              <w:ind w:firstLine="200" w:firstLineChars="100"/>
              <w:rPr>
                <w:kern w:val="0"/>
                <w:sz w:val="20"/>
              </w:rPr>
            </w:pPr>
            <w:r>
              <w:rPr>
                <w:rFonts w:hint="eastAsia"/>
                <w:kern w:val="0"/>
                <w:sz w:val="20"/>
              </w:rPr>
              <w:t>6</w:t>
            </w:r>
          </w:p>
        </w:tc>
        <w:tc>
          <w:tcPr>
            <w:tcW w:w="2061" w:type="dxa"/>
          </w:tcPr>
          <w:p w14:paraId="27D7CFE2">
            <w:pPr>
              <w:rPr>
                <w:kern w:val="0"/>
                <w:sz w:val="20"/>
              </w:rPr>
            </w:pPr>
            <w:r>
              <w:rPr>
                <w:rFonts w:hint="eastAsia"/>
                <w:kern w:val="0"/>
                <w:sz w:val="20"/>
              </w:rPr>
              <w:t xml:space="preserve">      607H</w:t>
            </w:r>
          </w:p>
        </w:tc>
        <w:tc>
          <w:tcPr>
            <w:tcW w:w="1325" w:type="dxa"/>
          </w:tcPr>
          <w:p w14:paraId="1D4EE94B">
            <w:pPr>
              <w:jc w:val="center"/>
              <w:rPr>
                <w:kern w:val="0"/>
                <w:sz w:val="20"/>
              </w:rPr>
            </w:pPr>
            <w:r>
              <w:rPr>
                <w:rFonts w:hint="eastAsia"/>
                <w:kern w:val="0"/>
                <w:sz w:val="20"/>
              </w:rPr>
              <w:t>7</w:t>
            </w:r>
          </w:p>
        </w:tc>
      </w:tr>
      <w:tr w14:paraId="40B1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2100D781">
            <w:pPr>
              <w:ind w:firstLine="200" w:firstLineChars="100"/>
              <w:rPr>
                <w:kern w:val="0"/>
                <w:sz w:val="20"/>
              </w:rPr>
            </w:pPr>
            <w:r>
              <w:rPr>
                <w:rFonts w:hint="eastAsia"/>
                <w:kern w:val="0"/>
                <w:sz w:val="20"/>
              </w:rPr>
              <w:t>视在功率</w:t>
            </w:r>
          </w:p>
        </w:tc>
        <w:tc>
          <w:tcPr>
            <w:tcW w:w="2649" w:type="dxa"/>
          </w:tcPr>
          <w:p w14:paraId="385835EC">
            <w:pPr>
              <w:rPr>
                <w:kern w:val="0"/>
                <w:sz w:val="20"/>
              </w:rPr>
            </w:pPr>
            <w:r>
              <w:rPr>
                <w:rFonts w:hint="eastAsia"/>
                <w:kern w:val="0"/>
                <w:sz w:val="20"/>
              </w:rPr>
              <w:t>0--+999999.999999 VA</w:t>
            </w:r>
          </w:p>
        </w:tc>
        <w:tc>
          <w:tcPr>
            <w:tcW w:w="1177" w:type="dxa"/>
          </w:tcPr>
          <w:p w14:paraId="2B197235">
            <w:pPr>
              <w:ind w:firstLine="200" w:firstLineChars="100"/>
              <w:rPr>
                <w:kern w:val="0"/>
                <w:sz w:val="20"/>
              </w:rPr>
            </w:pPr>
            <w:r>
              <w:rPr>
                <w:rFonts w:hint="eastAsia"/>
                <w:kern w:val="0"/>
                <w:sz w:val="20"/>
              </w:rPr>
              <w:t>6</w:t>
            </w:r>
          </w:p>
        </w:tc>
        <w:tc>
          <w:tcPr>
            <w:tcW w:w="2061" w:type="dxa"/>
          </w:tcPr>
          <w:p w14:paraId="0A3F1C12">
            <w:pPr>
              <w:ind w:firstLine="600" w:firstLineChars="300"/>
              <w:rPr>
                <w:kern w:val="0"/>
                <w:sz w:val="20"/>
              </w:rPr>
            </w:pPr>
            <w:r>
              <w:rPr>
                <w:rFonts w:hint="eastAsia"/>
                <w:kern w:val="0"/>
                <w:sz w:val="20"/>
              </w:rPr>
              <w:t>60AH</w:t>
            </w:r>
          </w:p>
        </w:tc>
        <w:tc>
          <w:tcPr>
            <w:tcW w:w="1325" w:type="dxa"/>
          </w:tcPr>
          <w:p w14:paraId="32249696">
            <w:pPr>
              <w:jc w:val="center"/>
              <w:rPr>
                <w:kern w:val="0"/>
                <w:sz w:val="20"/>
              </w:rPr>
            </w:pPr>
            <w:r>
              <w:rPr>
                <w:rFonts w:hint="eastAsia"/>
                <w:kern w:val="0"/>
                <w:sz w:val="20"/>
              </w:rPr>
              <w:t>10</w:t>
            </w:r>
          </w:p>
        </w:tc>
      </w:tr>
      <w:tr w14:paraId="7D8D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001B6159">
            <w:pPr>
              <w:ind w:firstLine="200" w:firstLineChars="100"/>
              <w:rPr>
                <w:kern w:val="0"/>
                <w:sz w:val="20"/>
              </w:rPr>
            </w:pPr>
            <w:r>
              <w:rPr>
                <w:rFonts w:hint="eastAsia"/>
                <w:kern w:val="0"/>
                <w:sz w:val="20"/>
              </w:rPr>
              <w:t>功率因数</w:t>
            </w:r>
          </w:p>
        </w:tc>
        <w:tc>
          <w:tcPr>
            <w:tcW w:w="2649" w:type="dxa"/>
          </w:tcPr>
          <w:p w14:paraId="3572520C">
            <w:pPr>
              <w:rPr>
                <w:kern w:val="0"/>
                <w:sz w:val="20"/>
              </w:rPr>
            </w:pPr>
            <w:r>
              <w:rPr>
                <w:rFonts w:hint="eastAsia"/>
                <w:kern w:val="0"/>
                <w:sz w:val="20"/>
              </w:rPr>
              <w:t>-1.0000000--+1.0000000</w:t>
            </w:r>
          </w:p>
        </w:tc>
        <w:tc>
          <w:tcPr>
            <w:tcW w:w="1177" w:type="dxa"/>
          </w:tcPr>
          <w:p w14:paraId="7DC27178">
            <w:pPr>
              <w:ind w:firstLine="200" w:firstLineChars="100"/>
              <w:rPr>
                <w:kern w:val="0"/>
                <w:sz w:val="20"/>
              </w:rPr>
            </w:pPr>
            <w:r>
              <w:rPr>
                <w:rFonts w:hint="eastAsia"/>
                <w:kern w:val="0"/>
                <w:sz w:val="20"/>
              </w:rPr>
              <w:t>4</w:t>
            </w:r>
          </w:p>
        </w:tc>
        <w:tc>
          <w:tcPr>
            <w:tcW w:w="2061" w:type="dxa"/>
          </w:tcPr>
          <w:p w14:paraId="27881264">
            <w:pPr>
              <w:ind w:firstLine="600" w:firstLineChars="300"/>
              <w:rPr>
                <w:kern w:val="0"/>
                <w:sz w:val="20"/>
              </w:rPr>
            </w:pPr>
            <w:r>
              <w:rPr>
                <w:rFonts w:hint="eastAsia"/>
                <w:kern w:val="0"/>
                <w:sz w:val="20"/>
              </w:rPr>
              <w:t>60DH</w:t>
            </w:r>
          </w:p>
        </w:tc>
        <w:tc>
          <w:tcPr>
            <w:tcW w:w="1325" w:type="dxa"/>
          </w:tcPr>
          <w:p w14:paraId="2A363B4E">
            <w:pPr>
              <w:jc w:val="center"/>
              <w:rPr>
                <w:kern w:val="0"/>
                <w:sz w:val="20"/>
              </w:rPr>
            </w:pPr>
            <w:r>
              <w:rPr>
                <w:rFonts w:hint="eastAsia"/>
                <w:kern w:val="0"/>
                <w:sz w:val="20"/>
              </w:rPr>
              <w:t>13</w:t>
            </w:r>
          </w:p>
        </w:tc>
      </w:tr>
      <w:tr w14:paraId="5513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47474B6E">
            <w:pPr>
              <w:ind w:firstLine="400" w:firstLineChars="200"/>
              <w:rPr>
                <w:kern w:val="0"/>
                <w:sz w:val="20"/>
              </w:rPr>
            </w:pPr>
            <w:r>
              <w:rPr>
                <w:rFonts w:hint="eastAsia"/>
                <w:kern w:val="0"/>
                <w:sz w:val="20"/>
              </w:rPr>
              <w:t>频率</w:t>
            </w:r>
          </w:p>
        </w:tc>
        <w:tc>
          <w:tcPr>
            <w:tcW w:w="2649" w:type="dxa"/>
          </w:tcPr>
          <w:p w14:paraId="152590C2">
            <w:pPr>
              <w:rPr>
                <w:kern w:val="0"/>
                <w:sz w:val="20"/>
              </w:rPr>
            </w:pPr>
            <w:r>
              <w:rPr>
                <w:rFonts w:hint="eastAsia"/>
                <w:kern w:val="0"/>
                <w:sz w:val="20"/>
              </w:rPr>
              <w:t>40.00000--70.00000 HZ</w:t>
            </w:r>
          </w:p>
        </w:tc>
        <w:tc>
          <w:tcPr>
            <w:tcW w:w="1177" w:type="dxa"/>
          </w:tcPr>
          <w:p w14:paraId="5D2F1520">
            <w:pPr>
              <w:ind w:firstLine="200" w:firstLineChars="100"/>
              <w:rPr>
                <w:kern w:val="0"/>
                <w:sz w:val="20"/>
              </w:rPr>
            </w:pPr>
            <w:r>
              <w:rPr>
                <w:rFonts w:hint="eastAsia"/>
                <w:kern w:val="0"/>
                <w:sz w:val="20"/>
              </w:rPr>
              <w:t>4</w:t>
            </w:r>
          </w:p>
        </w:tc>
        <w:tc>
          <w:tcPr>
            <w:tcW w:w="2061" w:type="dxa"/>
          </w:tcPr>
          <w:p w14:paraId="724A64BB">
            <w:pPr>
              <w:ind w:firstLine="600" w:firstLineChars="300"/>
              <w:rPr>
                <w:kern w:val="0"/>
                <w:sz w:val="20"/>
              </w:rPr>
            </w:pPr>
            <w:r>
              <w:rPr>
                <w:rFonts w:hint="eastAsia"/>
                <w:kern w:val="0"/>
                <w:sz w:val="20"/>
              </w:rPr>
              <w:t>60FH</w:t>
            </w:r>
          </w:p>
        </w:tc>
        <w:tc>
          <w:tcPr>
            <w:tcW w:w="1325" w:type="dxa"/>
          </w:tcPr>
          <w:p w14:paraId="2B0760A8">
            <w:pPr>
              <w:jc w:val="center"/>
              <w:rPr>
                <w:kern w:val="0"/>
                <w:sz w:val="20"/>
              </w:rPr>
            </w:pPr>
            <w:r>
              <w:rPr>
                <w:rFonts w:hint="eastAsia"/>
                <w:kern w:val="0"/>
                <w:sz w:val="20"/>
              </w:rPr>
              <w:t>15</w:t>
            </w:r>
          </w:p>
        </w:tc>
      </w:tr>
      <w:tr w14:paraId="4EA4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7536E595">
            <w:pPr>
              <w:ind w:firstLine="400" w:firstLineChars="200"/>
              <w:rPr>
                <w:kern w:val="0"/>
                <w:sz w:val="20"/>
              </w:rPr>
            </w:pPr>
            <w:r>
              <w:rPr>
                <w:rFonts w:hint="eastAsia"/>
                <w:kern w:val="0"/>
                <w:sz w:val="20"/>
              </w:rPr>
              <w:t>相位</w:t>
            </w:r>
          </w:p>
        </w:tc>
        <w:tc>
          <w:tcPr>
            <w:tcW w:w="2649" w:type="dxa"/>
          </w:tcPr>
          <w:p w14:paraId="56126BB4">
            <w:pPr>
              <w:rPr>
                <w:kern w:val="0"/>
                <w:sz w:val="20"/>
              </w:rPr>
            </w:pPr>
            <w:r>
              <w:rPr>
                <w:rFonts w:hint="eastAsia"/>
                <w:kern w:val="0"/>
                <w:sz w:val="20"/>
              </w:rPr>
              <w:t>-180.000--180.000</w:t>
            </w:r>
          </w:p>
        </w:tc>
        <w:tc>
          <w:tcPr>
            <w:tcW w:w="1177" w:type="dxa"/>
          </w:tcPr>
          <w:p w14:paraId="1BBACBDC">
            <w:pPr>
              <w:ind w:firstLine="200" w:firstLineChars="100"/>
              <w:rPr>
                <w:kern w:val="0"/>
                <w:sz w:val="20"/>
              </w:rPr>
            </w:pPr>
            <w:r>
              <w:rPr>
                <w:rFonts w:hint="eastAsia"/>
                <w:kern w:val="0"/>
                <w:sz w:val="20"/>
              </w:rPr>
              <w:t>4</w:t>
            </w:r>
          </w:p>
        </w:tc>
        <w:tc>
          <w:tcPr>
            <w:tcW w:w="2061" w:type="dxa"/>
          </w:tcPr>
          <w:p w14:paraId="682B66E0">
            <w:pPr>
              <w:ind w:firstLine="600" w:firstLineChars="300"/>
              <w:rPr>
                <w:kern w:val="0"/>
                <w:sz w:val="20"/>
              </w:rPr>
            </w:pPr>
            <w:r>
              <w:rPr>
                <w:rFonts w:hint="eastAsia"/>
                <w:kern w:val="0"/>
                <w:sz w:val="20"/>
              </w:rPr>
              <w:t>611H</w:t>
            </w:r>
          </w:p>
        </w:tc>
        <w:tc>
          <w:tcPr>
            <w:tcW w:w="1325" w:type="dxa"/>
          </w:tcPr>
          <w:p w14:paraId="641682CE">
            <w:pPr>
              <w:jc w:val="center"/>
              <w:rPr>
                <w:kern w:val="0"/>
                <w:sz w:val="20"/>
              </w:rPr>
            </w:pPr>
            <w:r>
              <w:rPr>
                <w:rFonts w:hint="eastAsia"/>
                <w:kern w:val="0"/>
                <w:sz w:val="20"/>
              </w:rPr>
              <w:t>17</w:t>
            </w:r>
          </w:p>
        </w:tc>
      </w:tr>
      <w:tr w14:paraId="5FCC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29354610">
            <w:pPr>
              <w:ind w:firstLine="200" w:firstLineChars="100"/>
              <w:rPr>
                <w:kern w:val="0"/>
                <w:sz w:val="20"/>
              </w:rPr>
            </w:pPr>
            <w:r>
              <w:rPr>
                <w:rFonts w:hint="eastAsia"/>
                <w:kern w:val="0"/>
                <w:sz w:val="20"/>
              </w:rPr>
              <w:t>电能常数</w:t>
            </w:r>
          </w:p>
        </w:tc>
        <w:tc>
          <w:tcPr>
            <w:tcW w:w="2649" w:type="dxa"/>
          </w:tcPr>
          <w:p w14:paraId="7BCDABA0">
            <w:pPr>
              <w:rPr>
                <w:kern w:val="0"/>
                <w:sz w:val="20"/>
              </w:rPr>
            </w:pPr>
            <w:r>
              <w:rPr>
                <w:rFonts w:hint="eastAsia"/>
                <w:kern w:val="0"/>
                <w:sz w:val="20"/>
              </w:rPr>
              <w:t>0-99999999999999</w:t>
            </w:r>
          </w:p>
        </w:tc>
        <w:tc>
          <w:tcPr>
            <w:tcW w:w="1177" w:type="dxa"/>
          </w:tcPr>
          <w:p w14:paraId="1C3E14D6">
            <w:pPr>
              <w:ind w:firstLine="200" w:firstLineChars="100"/>
              <w:rPr>
                <w:kern w:val="0"/>
                <w:sz w:val="20"/>
              </w:rPr>
            </w:pPr>
            <w:r>
              <w:rPr>
                <w:rFonts w:hint="eastAsia"/>
                <w:kern w:val="0"/>
                <w:sz w:val="20"/>
              </w:rPr>
              <w:t>8</w:t>
            </w:r>
          </w:p>
        </w:tc>
        <w:tc>
          <w:tcPr>
            <w:tcW w:w="2061" w:type="dxa"/>
          </w:tcPr>
          <w:p w14:paraId="14B20506">
            <w:pPr>
              <w:ind w:firstLine="600" w:firstLineChars="300"/>
              <w:rPr>
                <w:kern w:val="0"/>
                <w:sz w:val="20"/>
              </w:rPr>
            </w:pPr>
            <w:r>
              <w:rPr>
                <w:rFonts w:hint="eastAsia"/>
                <w:kern w:val="0"/>
                <w:sz w:val="20"/>
              </w:rPr>
              <w:t>613H</w:t>
            </w:r>
          </w:p>
        </w:tc>
        <w:tc>
          <w:tcPr>
            <w:tcW w:w="1325" w:type="dxa"/>
          </w:tcPr>
          <w:p w14:paraId="0C778243">
            <w:pPr>
              <w:jc w:val="center"/>
              <w:rPr>
                <w:kern w:val="0"/>
                <w:sz w:val="20"/>
              </w:rPr>
            </w:pPr>
            <w:r>
              <w:rPr>
                <w:rFonts w:hint="eastAsia"/>
                <w:kern w:val="0"/>
                <w:sz w:val="20"/>
              </w:rPr>
              <w:t>19</w:t>
            </w:r>
          </w:p>
        </w:tc>
      </w:tr>
      <w:tr w14:paraId="6AA4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55519E57">
            <w:pPr>
              <w:ind w:firstLine="400" w:firstLineChars="200"/>
              <w:rPr>
                <w:kern w:val="0"/>
                <w:sz w:val="20"/>
              </w:rPr>
            </w:pPr>
          </w:p>
        </w:tc>
        <w:tc>
          <w:tcPr>
            <w:tcW w:w="1325" w:type="dxa"/>
          </w:tcPr>
          <w:p w14:paraId="373440C1">
            <w:pPr>
              <w:ind w:firstLine="400" w:firstLineChars="200"/>
              <w:rPr>
                <w:kern w:val="0"/>
                <w:sz w:val="20"/>
              </w:rPr>
            </w:pPr>
          </w:p>
        </w:tc>
      </w:tr>
      <w:tr w14:paraId="51EF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5"/>
          </w:tcPr>
          <w:p w14:paraId="56416610">
            <w:pPr>
              <w:rPr>
                <w:kern w:val="0"/>
                <w:sz w:val="20"/>
              </w:rPr>
            </w:pPr>
            <w:r>
              <w:rPr>
                <w:rFonts w:hint="eastAsia"/>
                <w:kern w:val="0"/>
                <w:sz w:val="20"/>
              </w:rPr>
              <w:t>读写寄存器（0680H--06ffH）</w:t>
            </w:r>
          </w:p>
        </w:tc>
        <w:tc>
          <w:tcPr>
            <w:tcW w:w="1325" w:type="dxa"/>
          </w:tcPr>
          <w:p w14:paraId="25F5634F">
            <w:pPr>
              <w:rPr>
                <w:kern w:val="0"/>
                <w:sz w:val="20"/>
              </w:rPr>
            </w:pPr>
          </w:p>
        </w:tc>
      </w:tr>
      <w:tr w14:paraId="7C84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gridSpan w:val="2"/>
          </w:tcPr>
          <w:p w14:paraId="6DD95A65">
            <w:pPr>
              <w:rPr>
                <w:kern w:val="0"/>
                <w:sz w:val="20"/>
              </w:rPr>
            </w:pPr>
            <w:r>
              <w:rPr>
                <w:rFonts w:hint="eastAsia"/>
                <w:kern w:val="0"/>
                <w:sz w:val="20"/>
              </w:rPr>
              <w:t>电压值</w:t>
            </w:r>
          </w:p>
        </w:tc>
        <w:tc>
          <w:tcPr>
            <w:tcW w:w="2649" w:type="dxa"/>
          </w:tcPr>
          <w:p w14:paraId="466DC276">
            <w:pPr>
              <w:rPr>
                <w:kern w:val="0"/>
                <w:sz w:val="20"/>
              </w:rPr>
            </w:pPr>
            <w:r>
              <w:rPr>
                <w:rFonts w:hint="eastAsia"/>
                <w:kern w:val="0"/>
                <w:sz w:val="20"/>
              </w:rPr>
              <w:t>0-7200000（0-720.0000 V）</w:t>
            </w:r>
          </w:p>
        </w:tc>
        <w:tc>
          <w:tcPr>
            <w:tcW w:w="1177" w:type="dxa"/>
          </w:tcPr>
          <w:p w14:paraId="7BCA06C0">
            <w:pPr>
              <w:ind w:firstLine="200" w:firstLineChars="100"/>
              <w:rPr>
                <w:kern w:val="0"/>
                <w:sz w:val="20"/>
              </w:rPr>
            </w:pPr>
            <w:r>
              <w:rPr>
                <w:rFonts w:hint="eastAsia"/>
                <w:kern w:val="0"/>
                <w:sz w:val="20"/>
              </w:rPr>
              <w:t>4</w:t>
            </w:r>
          </w:p>
        </w:tc>
        <w:tc>
          <w:tcPr>
            <w:tcW w:w="2061" w:type="dxa"/>
          </w:tcPr>
          <w:p w14:paraId="1071E472">
            <w:pPr>
              <w:ind w:firstLine="600" w:firstLineChars="300"/>
              <w:rPr>
                <w:kern w:val="0"/>
                <w:sz w:val="20"/>
              </w:rPr>
            </w:pPr>
            <w:r>
              <w:rPr>
                <w:rFonts w:hint="eastAsia"/>
                <w:kern w:val="0"/>
                <w:sz w:val="20"/>
              </w:rPr>
              <w:t>680H</w:t>
            </w:r>
          </w:p>
        </w:tc>
        <w:tc>
          <w:tcPr>
            <w:tcW w:w="1325" w:type="dxa"/>
          </w:tcPr>
          <w:p w14:paraId="7C55A414">
            <w:pPr>
              <w:ind w:firstLine="400" w:firstLineChars="200"/>
              <w:rPr>
                <w:kern w:val="0"/>
                <w:sz w:val="20"/>
              </w:rPr>
            </w:pPr>
            <w:r>
              <w:rPr>
                <w:rFonts w:hint="eastAsia"/>
                <w:kern w:val="0"/>
                <w:sz w:val="20"/>
              </w:rPr>
              <w:t>0</w:t>
            </w:r>
          </w:p>
        </w:tc>
      </w:tr>
    </w:tbl>
    <w:p w14:paraId="0664C58C">
      <w:pPr>
        <w:pStyle w:val="261"/>
        <w:numPr>
          <w:ilvl w:val="0"/>
          <w:numId w:val="0"/>
        </w:numPr>
        <w:spacing w:before="156" w:after="156"/>
        <w:ind w:firstLine="3780" w:firstLineChars="1800"/>
        <w:jc w:val="both"/>
      </w:pPr>
      <w:r>
        <w:rPr>
          <w:rFonts w:hint="eastAsia"/>
        </w:rPr>
        <w:t>表B.1 帧格式（续）</w:t>
      </w:r>
    </w:p>
    <w:tbl>
      <w:tblPr>
        <w:tblStyle w:val="31"/>
        <w:tblpPr w:leftFromText="180" w:rightFromText="180" w:vertAnchor="text" w:horzAnchor="page" w:tblpX="1786" w:tblpY="127"/>
        <w:tblOverlap w:val="never"/>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649"/>
        <w:gridCol w:w="1177"/>
        <w:gridCol w:w="2061"/>
        <w:gridCol w:w="1325"/>
      </w:tblGrid>
      <w:tr w14:paraId="7A05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47" w:type="dxa"/>
            <w:gridSpan w:val="4"/>
          </w:tcPr>
          <w:p w14:paraId="62FB3F55">
            <w:pPr>
              <w:rPr>
                <w:kern w:val="0"/>
                <w:sz w:val="20"/>
              </w:rPr>
            </w:pPr>
            <w:r>
              <w:rPr>
                <w:rFonts w:hint="eastAsia"/>
                <w:kern w:val="0"/>
                <w:sz w:val="20"/>
              </w:rPr>
              <w:t>读写寄存器（0680H--06ffH）</w:t>
            </w:r>
          </w:p>
        </w:tc>
        <w:tc>
          <w:tcPr>
            <w:tcW w:w="1325" w:type="dxa"/>
          </w:tcPr>
          <w:p w14:paraId="5BB997EA">
            <w:pPr>
              <w:ind w:firstLine="400" w:firstLineChars="200"/>
              <w:rPr>
                <w:kern w:val="0"/>
                <w:sz w:val="20"/>
              </w:rPr>
            </w:pPr>
          </w:p>
        </w:tc>
      </w:tr>
      <w:tr w14:paraId="1A64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14:paraId="4A72A848">
            <w:pPr>
              <w:rPr>
                <w:kern w:val="0"/>
                <w:sz w:val="20"/>
              </w:rPr>
            </w:pPr>
            <w:r>
              <w:rPr>
                <w:rFonts w:hint="eastAsia"/>
                <w:kern w:val="0"/>
                <w:sz w:val="20"/>
              </w:rPr>
              <w:t>电流值</w:t>
            </w:r>
          </w:p>
        </w:tc>
        <w:tc>
          <w:tcPr>
            <w:tcW w:w="2649" w:type="dxa"/>
          </w:tcPr>
          <w:p w14:paraId="2BAE9DE9">
            <w:pPr>
              <w:rPr>
                <w:kern w:val="0"/>
                <w:sz w:val="20"/>
              </w:rPr>
            </w:pPr>
            <w:r>
              <w:rPr>
                <w:rFonts w:hint="eastAsia"/>
                <w:kern w:val="0"/>
                <w:sz w:val="20"/>
              </w:rPr>
              <w:t>0-2400000（0-240.0000 A）</w:t>
            </w:r>
          </w:p>
        </w:tc>
        <w:tc>
          <w:tcPr>
            <w:tcW w:w="1177" w:type="dxa"/>
          </w:tcPr>
          <w:p w14:paraId="64ECBF9F">
            <w:pPr>
              <w:ind w:firstLine="200" w:firstLineChars="100"/>
              <w:rPr>
                <w:kern w:val="0"/>
                <w:sz w:val="20"/>
              </w:rPr>
            </w:pPr>
            <w:r>
              <w:rPr>
                <w:rFonts w:hint="eastAsia"/>
                <w:kern w:val="0"/>
                <w:sz w:val="20"/>
              </w:rPr>
              <w:t>4</w:t>
            </w:r>
          </w:p>
        </w:tc>
        <w:tc>
          <w:tcPr>
            <w:tcW w:w="2061" w:type="dxa"/>
          </w:tcPr>
          <w:p w14:paraId="698017A4">
            <w:pPr>
              <w:ind w:firstLine="600" w:firstLineChars="300"/>
              <w:rPr>
                <w:kern w:val="0"/>
                <w:sz w:val="20"/>
              </w:rPr>
            </w:pPr>
            <w:r>
              <w:rPr>
                <w:rFonts w:hint="eastAsia"/>
                <w:kern w:val="0"/>
                <w:sz w:val="20"/>
              </w:rPr>
              <w:t>682H</w:t>
            </w:r>
          </w:p>
        </w:tc>
        <w:tc>
          <w:tcPr>
            <w:tcW w:w="1325" w:type="dxa"/>
          </w:tcPr>
          <w:p w14:paraId="7217E975">
            <w:pPr>
              <w:ind w:firstLine="400" w:firstLineChars="200"/>
              <w:rPr>
                <w:kern w:val="0"/>
                <w:sz w:val="20"/>
              </w:rPr>
            </w:pPr>
            <w:r>
              <w:rPr>
                <w:rFonts w:hint="eastAsia"/>
                <w:kern w:val="0"/>
                <w:sz w:val="20"/>
              </w:rPr>
              <w:t>2</w:t>
            </w:r>
          </w:p>
        </w:tc>
      </w:tr>
      <w:tr w14:paraId="7BA3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60" w:type="dxa"/>
          </w:tcPr>
          <w:p w14:paraId="0F9951BF">
            <w:pPr>
              <w:rPr>
                <w:kern w:val="0"/>
                <w:sz w:val="20"/>
              </w:rPr>
            </w:pPr>
            <w:r>
              <w:rPr>
                <w:rFonts w:hint="eastAsia"/>
                <w:kern w:val="0"/>
                <w:sz w:val="20"/>
              </w:rPr>
              <w:t>电能脉冲类型</w:t>
            </w:r>
          </w:p>
        </w:tc>
        <w:tc>
          <w:tcPr>
            <w:tcW w:w="2649" w:type="dxa"/>
          </w:tcPr>
          <w:p w14:paraId="07E1C6FC">
            <w:pPr>
              <w:rPr>
                <w:kern w:val="0"/>
                <w:sz w:val="20"/>
              </w:rPr>
            </w:pPr>
            <w:r>
              <w:rPr>
                <w:rFonts w:hint="eastAsia"/>
                <w:kern w:val="0"/>
                <w:sz w:val="20"/>
              </w:rPr>
              <w:t>00H--02H:有功脉冲/无功脉冲/视在脉冲</w:t>
            </w:r>
          </w:p>
        </w:tc>
        <w:tc>
          <w:tcPr>
            <w:tcW w:w="1177" w:type="dxa"/>
          </w:tcPr>
          <w:p w14:paraId="7B9B66AB">
            <w:pPr>
              <w:ind w:firstLine="200" w:firstLineChars="100"/>
              <w:rPr>
                <w:kern w:val="0"/>
                <w:sz w:val="20"/>
              </w:rPr>
            </w:pPr>
            <w:r>
              <w:rPr>
                <w:rFonts w:hint="eastAsia"/>
                <w:kern w:val="0"/>
                <w:sz w:val="20"/>
              </w:rPr>
              <w:t>2</w:t>
            </w:r>
          </w:p>
        </w:tc>
        <w:tc>
          <w:tcPr>
            <w:tcW w:w="2061" w:type="dxa"/>
          </w:tcPr>
          <w:p w14:paraId="13BEA602">
            <w:pPr>
              <w:rPr>
                <w:kern w:val="0"/>
                <w:sz w:val="20"/>
              </w:rPr>
            </w:pPr>
            <w:r>
              <w:rPr>
                <w:rFonts w:hint="eastAsia"/>
                <w:kern w:val="0"/>
                <w:sz w:val="20"/>
              </w:rPr>
              <w:t xml:space="preserve">      684H</w:t>
            </w:r>
          </w:p>
        </w:tc>
        <w:tc>
          <w:tcPr>
            <w:tcW w:w="1325" w:type="dxa"/>
          </w:tcPr>
          <w:p w14:paraId="13F3662F">
            <w:pPr>
              <w:ind w:firstLine="400" w:firstLineChars="200"/>
              <w:rPr>
                <w:kern w:val="0"/>
                <w:sz w:val="20"/>
              </w:rPr>
            </w:pPr>
            <w:r>
              <w:rPr>
                <w:rFonts w:hint="eastAsia"/>
                <w:kern w:val="0"/>
                <w:sz w:val="20"/>
              </w:rPr>
              <w:t>4</w:t>
            </w:r>
          </w:p>
        </w:tc>
      </w:tr>
      <w:tr w14:paraId="5A40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dxa"/>
          </w:tcPr>
          <w:p w14:paraId="5569B4B7">
            <w:pPr>
              <w:rPr>
                <w:kern w:val="0"/>
                <w:sz w:val="20"/>
              </w:rPr>
            </w:pPr>
            <w:r>
              <w:rPr>
                <w:rFonts w:hint="eastAsia"/>
                <w:i/>
                <w:iCs/>
                <w:kern w:val="0"/>
                <w:sz w:val="20"/>
              </w:rPr>
              <w:t>高低频</w:t>
            </w:r>
          </w:p>
        </w:tc>
        <w:tc>
          <w:tcPr>
            <w:tcW w:w="2649" w:type="dxa"/>
          </w:tcPr>
          <w:p w14:paraId="5346A393">
            <w:pPr>
              <w:rPr>
                <w:kern w:val="0"/>
                <w:sz w:val="20"/>
              </w:rPr>
            </w:pPr>
            <w:r>
              <w:rPr>
                <w:rFonts w:hint="eastAsia"/>
                <w:kern w:val="0"/>
                <w:sz w:val="20"/>
              </w:rPr>
              <w:t>00H高频/01H低频</w:t>
            </w:r>
          </w:p>
        </w:tc>
        <w:tc>
          <w:tcPr>
            <w:tcW w:w="1177" w:type="dxa"/>
          </w:tcPr>
          <w:p w14:paraId="57FE2919">
            <w:pPr>
              <w:ind w:firstLine="200" w:firstLineChars="100"/>
              <w:rPr>
                <w:kern w:val="0"/>
                <w:sz w:val="20"/>
              </w:rPr>
            </w:pPr>
            <w:r>
              <w:rPr>
                <w:rFonts w:hint="eastAsia"/>
                <w:kern w:val="0"/>
                <w:sz w:val="20"/>
              </w:rPr>
              <w:t>2</w:t>
            </w:r>
          </w:p>
        </w:tc>
        <w:tc>
          <w:tcPr>
            <w:tcW w:w="2061" w:type="dxa"/>
          </w:tcPr>
          <w:p w14:paraId="4C7B9719">
            <w:pPr>
              <w:rPr>
                <w:kern w:val="0"/>
                <w:sz w:val="20"/>
              </w:rPr>
            </w:pPr>
            <w:r>
              <w:rPr>
                <w:rFonts w:hint="eastAsia"/>
                <w:kern w:val="0"/>
                <w:sz w:val="20"/>
              </w:rPr>
              <w:t xml:space="preserve">      685H</w:t>
            </w:r>
          </w:p>
        </w:tc>
        <w:tc>
          <w:tcPr>
            <w:tcW w:w="1325" w:type="dxa"/>
          </w:tcPr>
          <w:p w14:paraId="3C606CF4">
            <w:pPr>
              <w:ind w:firstLine="400" w:firstLineChars="200"/>
              <w:rPr>
                <w:kern w:val="0"/>
                <w:sz w:val="20"/>
              </w:rPr>
            </w:pPr>
            <w:r>
              <w:rPr>
                <w:rFonts w:hint="eastAsia"/>
                <w:kern w:val="0"/>
                <w:sz w:val="20"/>
              </w:rPr>
              <w:t>5</w:t>
            </w:r>
          </w:p>
        </w:tc>
      </w:tr>
      <w:tr w14:paraId="123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60" w:type="dxa"/>
          </w:tcPr>
          <w:p w14:paraId="7CA45556">
            <w:pPr>
              <w:rPr>
                <w:kern w:val="0"/>
                <w:sz w:val="20"/>
              </w:rPr>
            </w:pPr>
          </w:p>
        </w:tc>
        <w:tc>
          <w:tcPr>
            <w:tcW w:w="2649" w:type="dxa"/>
          </w:tcPr>
          <w:p w14:paraId="476ABC5A">
            <w:pPr>
              <w:rPr>
                <w:kern w:val="0"/>
                <w:sz w:val="20"/>
              </w:rPr>
            </w:pPr>
            <w:r>
              <w:rPr>
                <w:rFonts w:hint="eastAsia"/>
                <w:kern w:val="0"/>
                <w:sz w:val="20"/>
              </w:rPr>
              <w:t>备用</w:t>
            </w:r>
          </w:p>
        </w:tc>
        <w:tc>
          <w:tcPr>
            <w:tcW w:w="1177" w:type="dxa"/>
          </w:tcPr>
          <w:p w14:paraId="64C8A920">
            <w:pPr>
              <w:ind w:firstLine="200" w:firstLineChars="100"/>
              <w:rPr>
                <w:kern w:val="0"/>
                <w:sz w:val="20"/>
              </w:rPr>
            </w:pPr>
          </w:p>
        </w:tc>
        <w:tc>
          <w:tcPr>
            <w:tcW w:w="2061" w:type="dxa"/>
          </w:tcPr>
          <w:p w14:paraId="010D2811">
            <w:pPr>
              <w:rPr>
                <w:kern w:val="0"/>
                <w:sz w:val="20"/>
              </w:rPr>
            </w:pPr>
            <w:r>
              <w:rPr>
                <w:rFonts w:hint="eastAsia"/>
                <w:kern w:val="0"/>
                <w:sz w:val="20"/>
              </w:rPr>
              <w:t xml:space="preserve">    </w:t>
            </w:r>
          </w:p>
        </w:tc>
        <w:tc>
          <w:tcPr>
            <w:tcW w:w="1325" w:type="dxa"/>
          </w:tcPr>
          <w:p w14:paraId="70C6B5D1">
            <w:pPr>
              <w:ind w:firstLine="400" w:firstLineChars="200"/>
              <w:rPr>
                <w:kern w:val="0"/>
                <w:sz w:val="20"/>
              </w:rPr>
            </w:pPr>
          </w:p>
        </w:tc>
      </w:tr>
    </w:tbl>
    <w:p w14:paraId="5670338E">
      <w:pPr>
        <w:pStyle w:val="236"/>
        <w:ind w:firstLine="420"/>
      </w:pPr>
    </w:p>
    <w:p w14:paraId="2976B5B0">
      <w:pPr>
        <w:pStyle w:val="266"/>
        <w:numPr>
          <w:ilvl w:val="1"/>
          <w:numId w:val="4"/>
        </w:numPr>
        <w:spacing w:before="156" w:beforeLines="50" w:after="156" w:afterLines="50"/>
        <w:ind w:left="420" w:leftChars="200"/>
      </w:pPr>
      <w:bookmarkStart w:id="180" w:name="_Toc213850891"/>
      <w:bookmarkStart w:id="181" w:name="_Toc202270593"/>
      <w:bookmarkStart w:id="182" w:name="_Toc213849445"/>
      <w:bookmarkStart w:id="183" w:name="_Toc182654600"/>
      <w:r>
        <w:rPr>
          <w:rFonts w:hint="eastAsia"/>
        </w:rPr>
        <w:t>校验位说明</w:t>
      </w:r>
      <w:bookmarkEnd w:id="180"/>
      <w:bookmarkEnd w:id="181"/>
      <w:bookmarkEnd w:id="182"/>
      <w:bookmarkEnd w:id="183"/>
    </w:p>
    <w:p w14:paraId="4A24F861">
      <w:pPr>
        <w:pStyle w:val="236"/>
        <w:ind w:firstLine="420"/>
      </w:pPr>
      <w:r>
        <w:rPr>
          <w:rFonts w:hint="eastAsia"/>
        </w:rPr>
        <w:t>校验位采用CRC校验计算方式，校验位前所有数据（地址码到数据区）都参与CRC校验计算。校验位由2个字节组成，采用16进制表示方式，低字节在前，高字节在后。</w:t>
      </w:r>
    </w:p>
    <w:p w14:paraId="07597A1B">
      <w:pPr>
        <w:pStyle w:val="65"/>
        <w:ind w:firstLine="420"/>
      </w:pPr>
    </w:p>
    <w:p w14:paraId="0EAE219F">
      <w:pPr>
        <w:pStyle w:val="65"/>
        <w:ind w:firstLine="420"/>
      </w:pPr>
    </w:p>
    <w:p w14:paraId="494C9300">
      <w:pPr>
        <w:pStyle w:val="65"/>
        <w:ind w:firstLine="420"/>
      </w:pPr>
    </w:p>
    <w:p w14:paraId="19B0305C">
      <w:pPr>
        <w:pStyle w:val="65"/>
        <w:ind w:firstLine="420"/>
      </w:pPr>
    </w:p>
    <w:p w14:paraId="173BE63B">
      <w:pPr>
        <w:pStyle w:val="65"/>
        <w:ind w:firstLine="420"/>
      </w:pPr>
    </w:p>
    <w:p w14:paraId="6FFC30BC">
      <w:pPr>
        <w:pStyle w:val="65"/>
        <w:ind w:firstLine="420"/>
      </w:pPr>
    </w:p>
    <w:p w14:paraId="38E68B31">
      <w:pPr>
        <w:pStyle w:val="65"/>
        <w:ind w:firstLine="420"/>
      </w:pPr>
    </w:p>
    <w:p w14:paraId="7F76AA0B">
      <w:pPr>
        <w:pStyle w:val="65"/>
        <w:ind w:firstLine="420"/>
      </w:pPr>
    </w:p>
    <w:p w14:paraId="066660A2">
      <w:pPr>
        <w:pStyle w:val="65"/>
        <w:ind w:firstLine="420"/>
      </w:pPr>
    </w:p>
    <w:p w14:paraId="2095EB6A">
      <w:pPr>
        <w:pStyle w:val="65"/>
        <w:ind w:firstLine="420"/>
      </w:pPr>
    </w:p>
    <w:p w14:paraId="3274FCB4">
      <w:pPr>
        <w:pStyle w:val="65"/>
        <w:ind w:firstLine="420"/>
      </w:pPr>
    </w:p>
    <w:p w14:paraId="4D0F4BE6">
      <w:pPr>
        <w:pStyle w:val="65"/>
        <w:ind w:firstLine="420"/>
      </w:pPr>
    </w:p>
    <w:p w14:paraId="5EDF8D78">
      <w:pPr>
        <w:pStyle w:val="65"/>
        <w:ind w:firstLine="420"/>
      </w:pPr>
    </w:p>
    <w:p w14:paraId="41432968">
      <w:pPr>
        <w:pStyle w:val="65"/>
        <w:ind w:firstLine="420"/>
      </w:pPr>
    </w:p>
    <w:p w14:paraId="48985B70">
      <w:pPr>
        <w:pStyle w:val="65"/>
        <w:ind w:firstLine="420"/>
      </w:pPr>
    </w:p>
    <w:p w14:paraId="17F8BDAB">
      <w:pPr>
        <w:pStyle w:val="65"/>
        <w:ind w:firstLine="420"/>
      </w:pPr>
    </w:p>
    <w:p w14:paraId="3C9104C4">
      <w:pPr>
        <w:pStyle w:val="65"/>
        <w:ind w:firstLine="420"/>
      </w:pPr>
    </w:p>
    <w:p w14:paraId="22709D29">
      <w:pPr>
        <w:pStyle w:val="65"/>
        <w:ind w:firstLine="420"/>
      </w:pPr>
    </w:p>
    <w:p w14:paraId="5549EC16">
      <w:pPr>
        <w:pStyle w:val="65"/>
        <w:ind w:firstLine="420"/>
      </w:pPr>
    </w:p>
    <w:p w14:paraId="0FF2D8B1">
      <w:pPr>
        <w:pStyle w:val="65"/>
        <w:ind w:firstLine="420"/>
      </w:pPr>
    </w:p>
    <w:p w14:paraId="726FC9D3">
      <w:pPr>
        <w:pStyle w:val="65"/>
        <w:ind w:firstLine="420"/>
      </w:pPr>
    </w:p>
    <w:p w14:paraId="459EA774">
      <w:pPr>
        <w:pStyle w:val="65"/>
        <w:ind w:firstLine="420"/>
      </w:pPr>
    </w:p>
    <w:p w14:paraId="728AD418">
      <w:pPr>
        <w:pStyle w:val="65"/>
        <w:ind w:firstLine="420"/>
      </w:pPr>
    </w:p>
    <w:p w14:paraId="52F79D72">
      <w:pPr>
        <w:pStyle w:val="65"/>
        <w:ind w:firstLine="420"/>
      </w:pPr>
    </w:p>
    <w:p w14:paraId="005FFAA8">
      <w:pPr>
        <w:pStyle w:val="65"/>
        <w:ind w:firstLine="0" w:firstLineChars="0"/>
      </w:pPr>
    </w:p>
    <w:p w14:paraId="7D1FA325">
      <w:pPr>
        <w:pStyle w:val="85"/>
        <w:spacing w:before="100" w:beforeAutospacing="1" w:after="156"/>
        <w:ind w:left="567"/>
      </w:pPr>
      <w:r>
        <w:br w:type="textWrapping"/>
      </w:r>
      <w:bookmarkStart w:id="184" w:name="_Toc213850892"/>
      <w:r>
        <w:rPr>
          <w:rFonts w:hint="eastAsia"/>
        </w:rPr>
        <w:t>（资料性）</w:t>
      </w:r>
      <w:r>
        <w:br w:type="textWrapping"/>
      </w:r>
      <w:bookmarkStart w:id="185" w:name="_Hlk200987908"/>
      <w:r>
        <w:rPr>
          <w:rFonts w:hint="eastAsia"/>
        </w:rPr>
        <w:t>瞬联电气接口通信说明</w:t>
      </w:r>
      <w:bookmarkEnd w:id="184"/>
      <w:bookmarkEnd w:id="185"/>
    </w:p>
    <w:p w14:paraId="41C2B169">
      <w:pPr>
        <w:pStyle w:val="266"/>
        <w:numPr>
          <w:ilvl w:val="1"/>
          <w:numId w:val="4"/>
        </w:numPr>
        <w:spacing w:before="156" w:beforeLines="50" w:after="156" w:afterLines="50"/>
        <w:ind w:left="420" w:leftChars="200"/>
      </w:pPr>
      <w:bookmarkStart w:id="186" w:name="_Toc184756195"/>
      <w:bookmarkStart w:id="187" w:name="_Toc213849447"/>
      <w:bookmarkStart w:id="188" w:name="_Toc198560610"/>
      <w:bookmarkStart w:id="189" w:name="_Toc213850893"/>
      <w:bookmarkStart w:id="190" w:name="_Toc202270595"/>
      <w:r>
        <w:rPr>
          <w:rFonts w:hint="eastAsia"/>
        </w:rPr>
        <w:t>通信示例说明</w:t>
      </w:r>
      <w:bookmarkEnd w:id="186"/>
      <w:bookmarkEnd w:id="187"/>
      <w:bookmarkEnd w:id="188"/>
      <w:bookmarkEnd w:id="189"/>
      <w:bookmarkEnd w:id="190"/>
    </w:p>
    <w:p w14:paraId="651CF1D1">
      <w:pPr>
        <w:pStyle w:val="88"/>
        <w:spacing w:before="156" w:after="156"/>
        <w:ind w:left="424" w:leftChars="202"/>
        <w:rPr>
          <w:rFonts w:hint="eastAsia" w:hAnsi="黑体"/>
          <w:kern w:val="0"/>
        </w:rPr>
      </w:pPr>
      <w:r>
        <w:rPr>
          <w:rFonts w:hint="eastAsia" w:hAnsi="黑体"/>
          <w:kern w:val="0"/>
        </w:rPr>
        <w:t>上位机写</w:t>
      </w:r>
    </w:p>
    <w:p w14:paraId="2275D59D">
      <w:pPr>
        <w:spacing w:line="240" w:lineRule="auto"/>
        <w:ind w:firstLine="420" w:firstLineChars="200"/>
        <w:rPr>
          <w:rFonts w:hint="eastAsia" w:ascii="宋体" w:hAnsi="宋体"/>
        </w:rPr>
      </w:pPr>
      <w:r>
        <w:rPr>
          <w:rFonts w:hint="eastAsia" w:ascii="宋体" w:hAnsi="宋体"/>
        </w:rPr>
        <w:t>如需设置单相标准表工作状态（写命令10H）：标准表当前为有功电能脉冲输出，输出频率为高频，当前电压值为220V（十进制为2200000，16进制为21 91C0）,当前电流值为100A（十进制为1000000，16进制为0F 4240）， 数据区数据转化为16进制表位；上位机写命令格式帧如下：</w:t>
      </w:r>
    </w:p>
    <w:p w14:paraId="1D90B716">
      <w:pPr>
        <w:pStyle w:val="65"/>
        <w:ind w:firstLine="1260" w:firstLineChars="600"/>
        <w:rPr>
          <w:rFonts w:hint="eastAsia" w:hAnsi="宋体"/>
        </w:rPr>
      </w:pPr>
      <w:r>
        <w:rPr>
          <w:rFonts w:hint="eastAsia" w:hAnsi="宋体"/>
        </w:rPr>
        <w:t>28 10 06 80 00 06 0C 00 21 91 C0 00 0F 42 40 00 00 00 00 85 E0</w:t>
      </w:r>
    </w:p>
    <w:p w14:paraId="53CC92AB">
      <w:pPr>
        <w:pStyle w:val="65"/>
        <w:ind w:firstLine="199" w:firstLineChars="95"/>
        <w:rPr>
          <w:rFonts w:hint="eastAsia" w:hAnsi="宋体"/>
        </w:rPr>
      </w:pPr>
      <w:r>
        <w:rPr>
          <w:rFonts w:hint="eastAsia" w:hAnsi="宋体"/>
        </w:rPr>
        <w:t xml:space="preserve">  </w:t>
      </w:r>
      <w:r>
        <w:rPr>
          <w:rFonts w:hint="eastAsia" w:hAnsi="宋体"/>
          <w:b/>
          <w:bCs/>
        </w:rPr>
        <w:t>上位机写命令格式帧说明：</w:t>
      </w:r>
      <w:r>
        <w:rPr>
          <w:rFonts w:hint="eastAsia" w:hAnsi="宋体"/>
        </w:rPr>
        <w:t>28H为标准表地址， 10H为功能码（写命令）， 06 80H为写寄存器起始地址，00 06H为写寄存器个数， 0CH为数据区数据字节数；</w:t>
      </w:r>
    </w:p>
    <w:p w14:paraId="6A23957E">
      <w:pPr>
        <w:pStyle w:val="65"/>
        <w:ind w:firstLine="619" w:firstLineChars="295"/>
        <w:rPr>
          <w:rFonts w:hint="eastAsia" w:hAnsi="宋体"/>
          <w:b/>
          <w:bCs/>
        </w:rPr>
      </w:pPr>
      <w:r>
        <w:rPr>
          <w:rFonts w:hint="eastAsia" w:hAnsi="宋体"/>
        </w:rPr>
        <w:t>数据区数据：</w:t>
      </w:r>
    </w:p>
    <w:p w14:paraId="722AE7C6">
      <w:pPr>
        <w:pStyle w:val="65"/>
        <w:ind w:firstLine="630" w:firstLineChars="300"/>
        <w:rPr>
          <w:rFonts w:hint="eastAsia" w:hAnsi="宋体"/>
        </w:rPr>
      </w:pPr>
      <w:r>
        <w:rPr>
          <w:rFonts w:hint="eastAsia" w:hAnsi="宋体"/>
        </w:rPr>
        <w:t>00 21 91 C0H  表示当前电压输入值为220 V（高位在前）；</w:t>
      </w:r>
    </w:p>
    <w:p w14:paraId="730A916F">
      <w:pPr>
        <w:pStyle w:val="65"/>
        <w:ind w:firstLine="630" w:firstLineChars="300"/>
        <w:rPr>
          <w:rFonts w:hint="eastAsia" w:hAnsi="宋体"/>
        </w:rPr>
      </w:pPr>
      <w:r>
        <w:rPr>
          <w:rFonts w:hint="eastAsia" w:hAnsi="宋体"/>
        </w:rPr>
        <w:t>00 0F 42 40H  表示当前电流输入值为100 A（高位在前）；</w:t>
      </w:r>
    </w:p>
    <w:p w14:paraId="777A4EED">
      <w:pPr>
        <w:pStyle w:val="65"/>
        <w:ind w:firstLine="630" w:firstLineChars="300"/>
        <w:rPr>
          <w:rFonts w:hint="eastAsia" w:hAnsi="宋体"/>
        </w:rPr>
      </w:pPr>
      <w:r>
        <w:rPr>
          <w:rFonts w:hint="eastAsia" w:hAnsi="宋体"/>
        </w:rPr>
        <w:t>00 00H        表示有功脉冲输出（高位在前）；</w:t>
      </w:r>
    </w:p>
    <w:p w14:paraId="2A32C0D3">
      <w:pPr>
        <w:pStyle w:val="65"/>
        <w:ind w:firstLine="420"/>
        <w:rPr>
          <w:rFonts w:hint="eastAsia" w:hAnsi="宋体"/>
        </w:rPr>
      </w:pPr>
      <w:r>
        <w:rPr>
          <w:rFonts w:hint="eastAsia" w:hAnsi="宋体"/>
        </w:rPr>
        <w:t xml:space="preserve">  00 00H        表位脉冲为高频输出（高位在前）；</w:t>
      </w:r>
    </w:p>
    <w:p w14:paraId="781C39B0">
      <w:pPr>
        <w:pStyle w:val="65"/>
        <w:ind w:firstLine="420"/>
        <w:rPr>
          <w:rFonts w:hint="eastAsia" w:hAnsi="宋体"/>
        </w:rPr>
      </w:pPr>
      <w:r>
        <w:rPr>
          <w:rFonts w:hint="eastAsia" w:hAnsi="宋体"/>
        </w:rPr>
        <w:t xml:space="preserve">  CRC校验位：   85 E0  （16进制，低位在前）。</w:t>
      </w:r>
    </w:p>
    <w:p w14:paraId="6DDE0960">
      <w:pPr>
        <w:pStyle w:val="65"/>
        <w:ind w:firstLine="199" w:firstLineChars="95"/>
        <w:rPr>
          <w:rFonts w:hint="eastAsia" w:hAnsi="宋体"/>
          <w:b/>
          <w:bCs/>
        </w:rPr>
      </w:pPr>
      <w:r>
        <w:rPr>
          <w:rFonts w:hint="eastAsia" w:hAnsi="宋体"/>
        </w:rPr>
        <w:t xml:space="preserve">  </w:t>
      </w:r>
      <w:r>
        <w:rPr>
          <w:rFonts w:hint="eastAsia" w:hAnsi="宋体"/>
          <w:b/>
          <w:bCs/>
        </w:rPr>
        <w:t>标准表回答如下：</w:t>
      </w:r>
    </w:p>
    <w:p w14:paraId="7A1A8C33">
      <w:pPr>
        <w:pStyle w:val="65"/>
        <w:ind w:firstLine="199" w:firstLineChars="95"/>
        <w:rPr>
          <w:rFonts w:hint="eastAsia" w:hAnsi="宋体"/>
        </w:rPr>
      </w:pPr>
      <w:r>
        <w:rPr>
          <w:rFonts w:hint="eastAsia" w:hAnsi="宋体"/>
        </w:rPr>
        <w:t xml:space="preserve">     28 10 06 80 00 06 46 92</w:t>
      </w:r>
    </w:p>
    <w:p w14:paraId="6781891F">
      <w:pPr>
        <w:pStyle w:val="88"/>
        <w:spacing w:before="156" w:after="156"/>
        <w:ind w:left="424" w:leftChars="202"/>
      </w:pPr>
      <w:r>
        <w:rPr>
          <w:rFonts w:hint="eastAsia"/>
          <w:b/>
          <w:bCs/>
        </w:rPr>
        <w:t>上位机读</w:t>
      </w:r>
      <w:r>
        <w:rPr>
          <w:rFonts w:hint="eastAsia"/>
        </w:rPr>
        <w:t xml:space="preserve">  </w:t>
      </w:r>
    </w:p>
    <w:p w14:paraId="6F764931">
      <w:pPr>
        <w:spacing w:line="240" w:lineRule="auto"/>
        <w:ind w:firstLine="420" w:firstLineChars="200"/>
        <w:rPr>
          <w:rFonts w:hint="eastAsia" w:ascii="宋体" w:hAnsi="宋体"/>
        </w:rPr>
      </w:pPr>
      <w:r>
        <w:rPr>
          <w:rFonts w:hint="eastAsia" w:ascii="宋体" w:hAnsi="宋体"/>
        </w:rPr>
        <w:t>如需读取标准表测量值或工作状态（读命令03H）：假设当前电压测量值为220 V,当前电流测量值为10.001 A，上位机只读取标准表电压和电流测量值，则上位机读命令格式帧如下：</w:t>
      </w:r>
    </w:p>
    <w:p w14:paraId="27E2E253">
      <w:pPr>
        <w:pStyle w:val="65"/>
        <w:ind w:firstLine="840" w:firstLineChars="400"/>
        <w:rPr>
          <w:rFonts w:hint="eastAsia" w:hAnsi="宋体"/>
        </w:rPr>
      </w:pPr>
      <w:r>
        <w:rPr>
          <w:rFonts w:hint="eastAsia" w:hAnsi="宋体"/>
        </w:rPr>
        <w:t>28 03 06 00 00 04 43 78</w:t>
      </w:r>
    </w:p>
    <w:p w14:paraId="46115801">
      <w:pPr>
        <w:pStyle w:val="65"/>
        <w:ind w:firstLine="411" w:firstLineChars="195"/>
        <w:rPr>
          <w:rFonts w:hint="eastAsia" w:hAnsi="宋体"/>
        </w:rPr>
      </w:pPr>
      <w:r>
        <w:rPr>
          <w:rFonts w:hint="eastAsia" w:hAnsi="宋体"/>
          <w:b/>
          <w:bCs/>
        </w:rPr>
        <w:t>上位机读命令格式帧说明：</w:t>
      </w:r>
      <w:r>
        <w:rPr>
          <w:rFonts w:hint="eastAsia" w:hAnsi="宋体"/>
        </w:rPr>
        <w:t>28H为标准表地址， 03H为功能码（读命令）， 06 00H为读寄存器起始地址，00 04H为读寄存器个数， 43 78 为CRC校验码，低字节在前，高字节在后。</w:t>
      </w:r>
    </w:p>
    <w:p w14:paraId="2269EDA4">
      <w:pPr>
        <w:pStyle w:val="65"/>
        <w:ind w:firstLine="199" w:firstLineChars="95"/>
        <w:rPr>
          <w:rFonts w:hint="eastAsia" w:hAnsi="宋体"/>
        </w:rPr>
      </w:pPr>
      <w:r>
        <w:rPr>
          <w:rFonts w:hint="eastAsia" w:hAnsi="宋体"/>
        </w:rPr>
        <w:t xml:space="preserve">    标准表回答如下：</w:t>
      </w:r>
    </w:p>
    <w:p w14:paraId="54CE66CC">
      <w:pPr>
        <w:pStyle w:val="65"/>
        <w:ind w:firstLine="829" w:firstLineChars="395"/>
        <w:rPr>
          <w:rFonts w:hint="eastAsia" w:hAnsi="宋体"/>
        </w:rPr>
      </w:pPr>
      <w:r>
        <w:rPr>
          <w:rFonts w:hint="eastAsia" w:hAnsi="宋体"/>
        </w:rPr>
        <w:t>28 03 08 0D 1C EF 00 05 F6 08 B8 FD</w:t>
      </w:r>
    </w:p>
    <w:p w14:paraId="0D4A7F1F">
      <w:pPr>
        <w:pStyle w:val="65"/>
        <w:ind w:firstLine="422"/>
        <w:rPr>
          <w:rFonts w:hint="eastAsia" w:hAnsi="宋体"/>
        </w:rPr>
      </w:pPr>
      <w:r>
        <w:rPr>
          <w:rFonts w:hint="eastAsia" w:hAnsi="宋体"/>
          <w:b/>
          <w:bCs/>
        </w:rPr>
        <w:t>标准表回答命令格式帧说明：</w:t>
      </w:r>
      <w:r>
        <w:rPr>
          <w:rFonts w:hint="eastAsia" w:hAnsi="宋体"/>
        </w:rPr>
        <w:t>28H为标准表地址， 03H为功能码（读命令），0DH为数据区数据字节数（数据长度）；</w:t>
      </w:r>
    </w:p>
    <w:p w14:paraId="7DFB8806">
      <w:pPr>
        <w:pStyle w:val="65"/>
        <w:ind w:firstLine="632" w:firstLineChars="300"/>
        <w:rPr>
          <w:rFonts w:hint="eastAsia" w:hAnsi="宋体"/>
          <w:b/>
          <w:bCs/>
        </w:rPr>
      </w:pPr>
      <w:r>
        <w:rPr>
          <w:rFonts w:hint="eastAsia" w:hAnsi="宋体"/>
          <w:b/>
          <w:bCs/>
        </w:rPr>
        <w:t>数据区数据：</w:t>
      </w:r>
    </w:p>
    <w:p w14:paraId="359E3E20">
      <w:pPr>
        <w:pStyle w:val="65"/>
        <w:ind w:firstLine="630" w:firstLineChars="300"/>
        <w:rPr>
          <w:rFonts w:hint="eastAsia" w:hAnsi="宋体"/>
        </w:rPr>
      </w:pPr>
      <w:r>
        <w:rPr>
          <w:rFonts w:hint="eastAsia" w:hAnsi="宋体"/>
        </w:rPr>
        <w:t>0D 1C EF 00   表示电压测量值为：220.000000 V；</w:t>
      </w:r>
    </w:p>
    <w:p w14:paraId="12C2137D">
      <w:pPr>
        <w:pStyle w:val="65"/>
        <w:ind w:firstLine="630" w:firstLineChars="300"/>
        <w:rPr>
          <w:rFonts w:hint="eastAsia" w:hAnsi="宋体"/>
        </w:rPr>
      </w:pPr>
      <w:r>
        <w:rPr>
          <w:rFonts w:hint="eastAsia" w:hAnsi="宋体"/>
        </w:rPr>
        <w:t>05 F6 08 10   表示电流测量值为：10.0010000 A；</w:t>
      </w:r>
    </w:p>
    <w:p w14:paraId="3A726F4A">
      <w:pPr>
        <w:pStyle w:val="65"/>
        <w:ind w:firstLine="420"/>
        <w:rPr>
          <w:rFonts w:hint="eastAsia" w:hAnsi="宋体"/>
        </w:rPr>
      </w:pPr>
      <w:r>
        <w:rPr>
          <w:rFonts w:hint="eastAsia" w:hAnsi="宋体"/>
        </w:rPr>
        <w:t xml:space="preserve"> </w:t>
      </w:r>
      <w:r>
        <w:rPr>
          <w:rFonts w:hint="eastAsia" w:hAnsi="宋体"/>
          <w:b/>
          <w:bCs/>
        </w:rPr>
        <w:t xml:space="preserve"> CRC校验位： </w:t>
      </w:r>
      <w:r>
        <w:rPr>
          <w:rFonts w:hint="eastAsia" w:hAnsi="宋体"/>
        </w:rPr>
        <w:t xml:space="preserve">  B8 FD  （16进制，低字节在前）；</w:t>
      </w:r>
    </w:p>
    <w:p w14:paraId="53242B4B">
      <w:pPr>
        <w:pStyle w:val="65"/>
        <w:ind w:firstLine="422"/>
        <w:rPr>
          <w:rFonts w:hint="eastAsia" w:hAnsi="宋体"/>
        </w:rPr>
      </w:pPr>
      <w:r>
        <w:rPr>
          <w:rFonts w:hint="eastAsia" w:hAnsi="宋体"/>
          <w:b/>
          <w:bCs/>
        </w:rPr>
        <w:t xml:space="preserve"> 测量值有符号表示说明：</w:t>
      </w:r>
      <w:r>
        <w:rPr>
          <w:rFonts w:hint="eastAsia" w:hAnsi="宋体"/>
        </w:rPr>
        <w:t>如功率、相位和功率因数有符号的参数，如果测量值为负数，则采用补码表位。</w:t>
      </w:r>
    </w:p>
    <w:p w14:paraId="2887DD85">
      <w:r>
        <w:br w:type="page"/>
      </w:r>
    </w:p>
    <w:p w14:paraId="00CECA07">
      <w:pPr>
        <w:pStyle w:val="65"/>
        <w:ind w:firstLine="42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参考文献</w:t>
      </w:r>
    </w:p>
    <w:p w14:paraId="327D3C8F">
      <w:pPr>
        <w:pStyle w:val="65"/>
        <w:ind w:firstLine="420"/>
        <w:jc w:val="left"/>
        <w:rPr>
          <w:rFonts w:hint="eastAsia"/>
        </w:rPr>
      </w:pPr>
      <w:r>
        <w:rPr>
          <w:rFonts w:hint="eastAsia"/>
        </w:rPr>
        <w:t>[1] GB/T 5095.2-1997 电子设备用机电元件基本试验规程及测量方法 第2部分 一般检查、电连续性、接触电阻测试、绝缘试验和电压应力试验</w:t>
      </w:r>
    </w:p>
    <w:p w14:paraId="32AD1FC2">
      <w:pPr>
        <w:pStyle w:val="65"/>
        <w:ind w:firstLine="420"/>
        <w:jc w:val="left"/>
        <w:rPr>
          <w:rFonts w:hint="eastAsia"/>
        </w:rPr>
      </w:pPr>
      <w:r>
        <w:rPr>
          <w:rFonts w:hint="eastAsia"/>
        </w:rPr>
        <w:t>[2] GB/T 18216.1-2021 交流1000V和直流1500V及以下低压配电系统电气安全 防护措施的试验、测量或监控设备 第1部分 通用要求</w:t>
      </w:r>
    </w:p>
    <w:p w14:paraId="4F03DF8E">
      <w:pPr>
        <w:pStyle w:val="65"/>
        <w:ind w:firstLine="420"/>
        <w:jc w:val="left"/>
        <w:rPr>
          <w:rFonts w:hint="eastAsia"/>
        </w:rPr>
      </w:pPr>
      <w:r>
        <w:rPr>
          <w:rFonts w:hint="eastAsia"/>
        </w:rPr>
        <w:t>[3] GB/T 42125.1-2024 测量 控制和实验室用电气设备的安全要求 第1部分 通用要求</w:t>
      </w:r>
    </w:p>
    <w:p w14:paraId="2D9DCC0A">
      <w:pPr>
        <w:pStyle w:val="65"/>
        <w:ind w:firstLine="420"/>
        <w:jc w:val="center"/>
      </w:pPr>
      <w:r>
        <w:rPr>
          <w:rFonts w:hint="eastAsia"/>
        </w:rPr>
        <w:t>[4] GB_T 43210.1-2023 机器人　服务机器人模块化　第1部分：通用要求</w:t>
      </w:r>
      <w:bookmarkStart w:id="191" w:name="_GoBack"/>
      <w:r>
        <w:drawing>
          <wp:inline distT="0" distB="0" distL="0" distR="0">
            <wp:extent cx="1485900" cy="317500"/>
            <wp:effectExtent l="0" t="0" r="0" b="6350"/>
            <wp:docPr id="1225483066" name="图片 1"/>
            <wp:cNvGraphicFramePr/>
            <a:graphic xmlns:a="http://schemas.openxmlformats.org/drawingml/2006/main">
              <a:graphicData uri="http://schemas.openxmlformats.org/drawingml/2006/picture">
                <pic:pic xmlns:pic="http://schemas.openxmlformats.org/drawingml/2006/picture">
                  <pic:nvPicPr>
                    <pic:cNvPr id="1225483066"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1"/>
    </w:p>
    <w:sectPr>
      <w:headerReference r:id="rId14" w:type="default"/>
      <w:footerReference r:id="rId16" w:type="default"/>
      <w:headerReference r:id="rId15" w:type="even"/>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2E9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F5C5">
    <w:pPr>
      <w:pStyle w:val="19"/>
    </w:pPr>
    <w:r>
      <w:fldChar w:fldCharType="begin"/>
    </w:r>
    <w:r>
      <w:instrText xml:space="preserve">PAGE   \* MERGEFORMAT</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356F">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1223">
    <w:pPr>
      <w:pStyle w:val="61"/>
    </w:pPr>
    <w:r>
      <w:fldChar w:fldCharType="begin"/>
    </w:r>
    <w:r>
      <w:instrText xml:space="preserve">PAGE   \* MERGEFORMAT</w:instrText>
    </w:r>
    <w:r>
      <w:fldChar w:fldCharType="separate"/>
    </w:r>
    <w:r>
      <w:rPr>
        <w:lang w:val="zh-CN"/>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00125"/>
    </w:sdtPr>
    <w:sdtContent>
      <w:p w14:paraId="01114F59">
        <w:pPr>
          <w:pStyle w:val="19"/>
          <w:jc w:val="right"/>
        </w:pPr>
        <w:r>
          <w:fldChar w:fldCharType="begin"/>
        </w:r>
        <w:r>
          <w:instrText xml:space="preserve">PAGE   \* MERGEFORMAT</w:instrText>
        </w:r>
        <w:r>
          <w:fldChar w:fldCharType="separate"/>
        </w:r>
        <w:r>
          <w:rPr>
            <w:lang w:val="zh-CN"/>
          </w:rPr>
          <w:t>2</w:t>
        </w:r>
        <w:r>
          <w:fldChar w:fldCharType="end"/>
        </w:r>
      </w:p>
    </w:sdtContent>
  </w:sdt>
  <w:p w14:paraId="101DC1FB">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F26D">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A231">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227B">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192E">
    <w:pPr>
      <w:pStyle w:val="70"/>
      <w:rPr>
        <w:rFonts w:hint="eastAsia"/>
      </w:rPr>
    </w:pPr>
    <w:r>
      <w:fldChar w:fldCharType="begin"/>
    </w:r>
    <w:r>
      <w:instrText xml:space="preserve"> STYLEREF  标准文件_文件编号  \* MERGEFORMAT </w:instrText>
    </w:r>
    <w:r>
      <w:fldChar w:fldCharType="separate"/>
    </w:r>
    <w:r>
      <w:t>T/CIMA  0183-202X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072B">
    <w:pPr>
      <w:pStyle w:val="20"/>
      <w:jc w:val="right"/>
    </w:pPr>
    <w:r>
      <w:fldChar w:fldCharType="begin"/>
    </w:r>
    <w:r>
      <w:instrText xml:space="preserve"> STYLEREF  标准文件_文件编号  \* MERGEFORMAT </w:instrText>
    </w:r>
    <w:r>
      <w:fldChar w:fldCharType="separate"/>
    </w:r>
    <w:r>
      <w:t>T/CIMA  0183-202X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4A6F">
    <w:pPr>
      <w:pStyle w:val="70"/>
      <w:spacing w:after="0"/>
      <w:rPr>
        <w:rFonts w:hint="eastAsia"/>
      </w:rPr>
    </w:pPr>
    <w:r>
      <w:fldChar w:fldCharType="begin"/>
    </w:r>
    <w:r>
      <w:instrText xml:space="preserve"> STYLEREF  标准文件_文件编号  \* MERGEFORMAT </w:instrText>
    </w:r>
    <w:r>
      <w:fldChar w:fldCharType="separate"/>
    </w:r>
    <w:r>
      <w:t>T/CIMA  0183-202X</w:t>
    </w:r>
    <w:r>
      <w:fldChar w:fldCharType="end"/>
    </w:r>
  </w:p>
  <w:p w14:paraId="524A522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F5185">
    <w:pPr>
      <w:pStyle w:val="20"/>
      <w:jc w:val="right"/>
    </w:pPr>
    <w:r>
      <w:fldChar w:fldCharType="begin"/>
    </w:r>
    <w:r>
      <w:instrText xml:space="preserve"> STYLEREF  标准文件_文件编号  \* MERGEFORMAT </w:instrText>
    </w:r>
    <w:r>
      <w:fldChar w:fldCharType="separate"/>
    </w:r>
    <w:r>
      <w:t>T/CIMA  0183-202X</w:t>
    </w:r>
    <w:r>
      <w:fldChar w:fldCharType="end"/>
    </w:r>
  </w:p>
  <w:p w14:paraId="77E739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2786"/>
        </w:tabs>
        <w:ind w:left="2786" w:hanging="648"/>
      </w:pPr>
    </w:lvl>
    <w:lvl w:ilvl="1" w:tentative="0">
      <w:start w:val="1"/>
      <w:numFmt w:val="lowerLetter"/>
      <w:lvlText w:val="%2)"/>
      <w:lvlJc w:val="left"/>
      <w:pPr>
        <w:tabs>
          <w:tab w:val="left" w:pos="2978"/>
        </w:tabs>
        <w:ind w:left="2978" w:hanging="420"/>
      </w:pPr>
    </w:lvl>
    <w:lvl w:ilvl="2" w:tentative="0">
      <w:start w:val="1"/>
      <w:numFmt w:val="lowerRoman"/>
      <w:lvlText w:val="%3."/>
      <w:lvlJc w:val="right"/>
      <w:pPr>
        <w:tabs>
          <w:tab w:val="left" w:pos="3398"/>
        </w:tabs>
        <w:ind w:left="3398" w:hanging="420"/>
      </w:pPr>
    </w:lvl>
    <w:lvl w:ilvl="3" w:tentative="0">
      <w:start w:val="1"/>
      <w:numFmt w:val="decimal"/>
      <w:lvlText w:val="%4."/>
      <w:lvlJc w:val="left"/>
      <w:pPr>
        <w:tabs>
          <w:tab w:val="left" w:pos="3818"/>
        </w:tabs>
        <w:ind w:left="3818" w:hanging="420"/>
      </w:pPr>
    </w:lvl>
    <w:lvl w:ilvl="4" w:tentative="0">
      <w:start w:val="1"/>
      <w:numFmt w:val="lowerLetter"/>
      <w:lvlText w:val="%5)"/>
      <w:lvlJc w:val="left"/>
      <w:pPr>
        <w:tabs>
          <w:tab w:val="left" w:pos="4238"/>
        </w:tabs>
        <w:ind w:left="4238" w:hanging="420"/>
      </w:pPr>
    </w:lvl>
    <w:lvl w:ilvl="5" w:tentative="0">
      <w:start w:val="1"/>
      <w:numFmt w:val="lowerRoman"/>
      <w:lvlText w:val="%6."/>
      <w:lvlJc w:val="right"/>
      <w:pPr>
        <w:tabs>
          <w:tab w:val="left" w:pos="4658"/>
        </w:tabs>
        <w:ind w:left="4658" w:hanging="420"/>
      </w:pPr>
    </w:lvl>
    <w:lvl w:ilvl="6" w:tentative="0">
      <w:start w:val="1"/>
      <w:numFmt w:val="decimal"/>
      <w:lvlText w:val="%7."/>
      <w:lvlJc w:val="left"/>
      <w:pPr>
        <w:tabs>
          <w:tab w:val="left" w:pos="5078"/>
        </w:tabs>
        <w:ind w:left="5078" w:hanging="420"/>
      </w:pPr>
    </w:lvl>
    <w:lvl w:ilvl="7" w:tentative="0">
      <w:start w:val="1"/>
      <w:numFmt w:val="lowerLetter"/>
      <w:lvlText w:val="%8)"/>
      <w:lvlJc w:val="left"/>
      <w:pPr>
        <w:tabs>
          <w:tab w:val="left" w:pos="5498"/>
        </w:tabs>
        <w:ind w:left="5498" w:hanging="420"/>
      </w:pPr>
    </w:lvl>
    <w:lvl w:ilvl="8" w:tentative="0">
      <w:start w:val="1"/>
      <w:numFmt w:val="lowerRoman"/>
      <w:lvlText w:val="%9."/>
      <w:lvlJc w:val="right"/>
      <w:pPr>
        <w:tabs>
          <w:tab w:val="left" w:pos="5918"/>
        </w:tabs>
        <w:ind w:left="591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0"/>
      <w:numFmt w:val="decimal"/>
      <w:pStyle w:val="187"/>
      <w:suff w:val="nothing"/>
      <w:lvlText w:val="注%1："/>
      <w:lvlJc w:val="left"/>
      <w:pPr>
        <w:ind w:left="1158" w:hanging="448"/>
      </w:pPr>
      <w:rPr>
        <w:rFonts w:hint="eastAsia" w:ascii="黑体" w:eastAsia="黑体"/>
        <w:b w:val="0"/>
        <w:i w:val="0"/>
        <w:strike w:val="0"/>
        <w:sz w:val="18"/>
      </w:rPr>
    </w:lvl>
    <w:lvl w:ilvl="1" w:tentative="0">
      <w:start w:val="1"/>
      <w:numFmt w:val="lowerLetter"/>
      <w:lvlText w:val="%2)"/>
      <w:lvlJc w:val="left"/>
      <w:pPr>
        <w:tabs>
          <w:tab w:val="left" w:pos="148"/>
        </w:tabs>
        <w:ind w:left="568" w:hanging="629"/>
      </w:pPr>
      <w:rPr>
        <w:rFonts w:hint="eastAsia"/>
      </w:rPr>
    </w:lvl>
    <w:lvl w:ilvl="2" w:tentative="0">
      <w:start w:val="1"/>
      <w:numFmt w:val="lowerRoman"/>
      <w:lvlText w:val="%3."/>
      <w:lvlJc w:val="right"/>
      <w:pPr>
        <w:tabs>
          <w:tab w:val="left" w:pos="148"/>
        </w:tabs>
        <w:ind w:left="568" w:hanging="629"/>
      </w:pPr>
      <w:rPr>
        <w:rFonts w:hint="eastAsia"/>
      </w:rPr>
    </w:lvl>
    <w:lvl w:ilvl="3" w:tentative="0">
      <w:start w:val="1"/>
      <w:numFmt w:val="decimal"/>
      <w:lvlText w:val="%4."/>
      <w:lvlJc w:val="left"/>
      <w:pPr>
        <w:tabs>
          <w:tab w:val="left" w:pos="148"/>
        </w:tabs>
        <w:ind w:left="568" w:hanging="629"/>
      </w:pPr>
      <w:rPr>
        <w:rFonts w:hint="eastAsia"/>
      </w:rPr>
    </w:lvl>
    <w:lvl w:ilvl="4" w:tentative="0">
      <w:start w:val="1"/>
      <w:numFmt w:val="lowerLetter"/>
      <w:lvlText w:val="%5)"/>
      <w:lvlJc w:val="left"/>
      <w:pPr>
        <w:tabs>
          <w:tab w:val="left" w:pos="148"/>
        </w:tabs>
        <w:ind w:left="568" w:hanging="629"/>
      </w:pPr>
      <w:rPr>
        <w:rFonts w:hint="eastAsia"/>
      </w:rPr>
    </w:lvl>
    <w:lvl w:ilvl="5" w:tentative="0">
      <w:start w:val="1"/>
      <w:numFmt w:val="lowerRoman"/>
      <w:lvlText w:val="%6."/>
      <w:lvlJc w:val="right"/>
      <w:pPr>
        <w:tabs>
          <w:tab w:val="left" w:pos="148"/>
        </w:tabs>
        <w:ind w:left="568" w:hanging="629"/>
      </w:pPr>
      <w:rPr>
        <w:rFonts w:hint="eastAsia"/>
      </w:rPr>
    </w:lvl>
    <w:lvl w:ilvl="6" w:tentative="0">
      <w:start w:val="1"/>
      <w:numFmt w:val="decimal"/>
      <w:lvlText w:val="%7."/>
      <w:lvlJc w:val="left"/>
      <w:pPr>
        <w:tabs>
          <w:tab w:val="left" w:pos="148"/>
        </w:tabs>
        <w:ind w:left="568" w:hanging="629"/>
      </w:pPr>
      <w:rPr>
        <w:rFonts w:hint="eastAsia"/>
      </w:rPr>
    </w:lvl>
    <w:lvl w:ilvl="7" w:tentative="0">
      <w:start w:val="1"/>
      <w:numFmt w:val="lowerLetter"/>
      <w:lvlText w:val="%8)"/>
      <w:lvlJc w:val="left"/>
      <w:pPr>
        <w:tabs>
          <w:tab w:val="left" w:pos="148"/>
        </w:tabs>
        <w:ind w:left="568" w:hanging="629"/>
      </w:pPr>
      <w:rPr>
        <w:rFonts w:hint="eastAsia"/>
      </w:rPr>
    </w:lvl>
    <w:lvl w:ilvl="8" w:tentative="0">
      <w:start w:val="1"/>
      <w:numFmt w:val="lowerRoman"/>
      <w:lvlText w:val="%9."/>
      <w:lvlJc w:val="right"/>
      <w:pPr>
        <w:tabs>
          <w:tab w:val="left" w:pos="148"/>
        </w:tabs>
        <w:ind w:left="568" w:hanging="629"/>
      </w:pPr>
      <w:rPr>
        <w:rFonts w:hint="eastAsia"/>
      </w:rPr>
    </w:lvl>
  </w:abstractNum>
  <w:abstractNum w:abstractNumId="3">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B04D33"/>
    <w:multiLevelType w:val="multilevel"/>
    <w:tmpl w:val="09B04D33"/>
    <w:lvl w:ilvl="0" w:tentative="0">
      <w:start w:val="1"/>
      <w:numFmt w:val="upperLetter"/>
      <w:pStyle w:val="206"/>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4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2"/>
      <w:suff w:val="nothing"/>
      <w:lvlText w:val="%1.%2.%3　"/>
      <w:lvlJc w:val="left"/>
      <w:pPr>
        <w:ind w:left="0" w:firstLine="0"/>
      </w:pPr>
      <w:rPr>
        <w:rFonts w:hint="eastAsia" w:ascii="黑体" w:hAnsi="Times New Roman" w:eastAsia="黑体"/>
        <w:b w:val="0"/>
        <w:i w:val="0"/>
        <w:sz w:val="21"/>
      </w:rPr>
    </w:lvl>
    <w:lvl w:ilvl="3" w:tentative="0">
      <w:start w:val="1"/>
      <w:numFmt w:val="decimal"/>
      <w:pStyle w:val="243"/>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0" w:firstLine="0"/>
      </w:pPr>
      <w:rPr>
        <w:rFonts w:hint="eastAsia" w:ascii="黑体" w:hAnsi="Times New Roman" w:eastAsia="黑体"/>
        <w:b w:val="0"/>
        <w:i w:val="0"/>
        <w:sz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9"/>
      <w:lvlText w:val="%1——"/>
      <w:lvlJc w:val="left"/>
      <w:pPr>
        <w:tabs>
          <w:tab w:val="left" w:pos="852"/>
        </w:tabs>
        <w:ind w:left="852" w:hanging="426"/>
      </w:pPr>
      <w:rPr>
        <w:rFonts w:hint="eastAsia" w:ascii="宋体" w:hAnsi="Times New Roman" w:eastAsia="宋体"/>
        <w:b w:val="0"/>
        <w:i w:val="0"/>
        <w:sz w:val="21"/>
        <w:lang w:val="en-US"/>
      </w:rPr>
    </w:lvl>
    <w:lvl w:ilvl="1" w:tentative="0">
      <w:start w:val="1"/>
      <w:numFmt w:val="none"/>
      <w:pStyle w:val="194"/>
      <w:lvlText w:val=""/>
      <w:lvlJc w:val="left"/>
      <w:pPr>
        <w:ind w:left="567" w:hanging="431"/>
      </w:pPr>
      <w:rPr>
        <w:rFonts w:hint="default" w:ascii="Symbol" w:hAnsi="Symbol"/>
        <w:sz w:val="21"/>
      </w:rPr>
    </w:lvl>
    <w:lvl w:ilvl="2" w:tentative="0">
      <w:start w:val="1"/>
      <w:numFmt w:val="bullet"/>
      <w:pStyle w:val="179"/>
      <w:lvlText w:val=""/>
      <w:lvlJc w:val="left"/>
      <w:pPr>
        <w:ind w:left="567" w:hanging="426"/>
      </w:pPr>
      <w:rPr>
        <w:rFonts w:hint="default" w:ascii="Wingdings" w:hAnsi="Wingdings"/>
        <w:sz w:val="21"/>
      </w:rPr>
    </w:lvl>
    <w:lvl w:ilvl="3" w:tentative="0">
      <w:start w:val="1"/>
      <w:numFmt w:val="decimal"/>
      <w:lvlText w:val="%4."/>
      <w:lvlJc w:val="left"/>
      <w:pPr>
        <w:tabs>
          <w:tab w:val="left" w:pos="1787"/>
        </w:tabs>
        <w:ind w:left="1600" w:hanging="528"/>
      </w:pPr>
      <w:rPr>
        <w:rFonts w:hint="eastAsia"/>
      </w:rPr>
    </w:lvl>
    <w:lvl w:ilvl="4" w:tentative="0">
      <w:start w:val="1"/>
      <w:numFmt w:val="lowerLetter"/>
      <w:lvlText w:val="%5)"/>
      <w:lvlJc w:val="left"/>
      <w:pPr>
        <w:tabs>
          <w:tab w:val="left" w:pos="2099"/>
        </w:tabs>
        <w:ind w:left="1912" w:hanging="528"/>
      </w:pPr>
      <w:rPr>
        <w:rFonts w:hint="eastAsia"/>
      </w:rPr>
    </w:lvl>
    <w:lvl w:ilvl="5" w:tentative="0">
      <w:start w:val="1"/>
      <w:numFmt w:val="lowerRoman"/>
      <w:lvlText w:val="%6."/>
      <w:lvlJc w:val="right"/>
      <w:pPr>
        <w:tabs>
          <w:tab w:val="left" w:pos="2411"/>
        </w:tabs>
        <w:ind w:left="2224" w:hanging="528"/>
      </w:pPr>
      <w:rPr>
        <w:rFonts w:hint="eastAsia"/>
      </w:rPr>
    </w:lvl>
    <w:lvl w:ilvl="6" w:tentative="0">
      <w:start w:val="1"/>
      <w:numFmt w:val="decimal"/>
      <w:lvlText w:val="%7."/>
      <w:lvlJc w:val="left"/>
      <w:pPr>
        <w:tabs>
          <w:tab w:val="left" w:pos="2723"/>
        </w:tabs>
        <w:ind w:left="2536" w:hanging="528"/>
      </w:pPr>
      <w:rPr>
        <w:rFonts w:hint="eastAsia"/>
      </w:rPr>
    </w:lvl>
    <w:lvl w:ilvl="7" w:tentative="0">
      <w:start w:val="1"/>
      <w:numFmt w:val="lowerLetter"/>
      <w:lvlText w:val="%8)"/>
      <w:lvlJc w:val="left"/>
      <w:pPr>
        <w:tabs>
          <w:tab w:val="left" w:pos="3035"/>
        </w:tabs>
        <w:ind w:left="2848" w:hanging="528"/>
      </w:pPr>
      <w:rPr>
        <w:rFonts w:hint="eastAsia"/>
      </w:rPr>
    </w:lvl>
    <w:lvl w:ilvl="8" w:tentative="0">
      <w:start w:val="1"/>
      <w:numFmt w:val="lowerRoman"/>
      <w:lvlText w:val="%9."/>
      <w:lvlJc w:val="right"/>
      <w:pPr>
        <w:tabs>
          <w:tab w:val="left" w:pos="3347"/>
        </w:tabs>
        <w:ind w:left="3160" w:hanging="528"/>
      </w:pPr>
      <w:rPr>
        <w:rFonts w:hint="eastAsia"/>
      </w:rPr>
    </w:lvl>
  </w:abstractNum>
  <w:abstractNum w:abstractNumId="13">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81"/>
      <w:lvlText w:val="%1)"/>
      <w:lvlJc w:val="left"/>
      <w:pPr>
        <w:tabs>
          <w:tab w:val="left" w:pos="851"/>
        </w:tabs>
        <w:ind w:left="1277" w:hanging="426"/>
      </w:pPr>
      <w:rPr>
        <w:rFonts w:hint="eastAsia" w:ascii="宋体" w:hAnsi="Times New Roman" w:eastAsia="宋体"/>
        <w:sz w:val="21"/>
      </w:rPr>
    </w:lvl>
    <w:lvl w:ilvl="1" w:tentative="0">
      <w:start w:val="1"/>
      <w:numFmt w:val="decimal"/>
      <w:pStyle w:val="116"/>
      <w:lvlText w:val="%2)"/>
      <w:lvlJc w:val="left"/>
      <w:pPr>
        <w:tabs>
          <w:tab w:val="left" w:pos="1276"/>
        </w:tabs>
        <w:ind w:left="2553" w:hanging="425"/>
      </w:pPr>
      <w:rPr>
        <w:rFonts w:hint="eastAsia" w:ascii="宋体" w:hAnsi="Times New Roman" w:eastAsia="宋体"/>
        <w:sz w:val="21"/>
      </w:rPr>
    </w:lvl>
    <w:lvl w:ilvl="2" w:tentative="0">
      <w:start w:val="1"/>
      <w:numFmt w:val="decimal"/>
      <w:pStyle w:val="124"/>
      <w:lvlText w:val="(%3)"/>
      <w:lvlJc w:val="left"/>
      <w:pPr>
        <w:ind w:left="2978" w:hanging="425"/>
      </w:pPr>
      <w:rPr>
        <w:rFonts w:hint="eastAsia" w:ascii="宋体" w:hAnsi="Times New Roman" w:eastAsia="宋体"/>
        <w:sz w:val="21"/>
      </w:rPr>
    </w:lvl>
    <w:lvl w:ilvl="3" w:tentative="0">
      <w:start w:val="1"/>
      <w:numFmt w:val="decimal"/>
      <w:lvlText w:val="%4."/>
      <w:lvlJc w:val="left"/>
      <w:pPr>
        <w:tabs>
          <w:tab w:val="left" w:pos="2100"/>
        </w:tabs>
        <w:ind w:left="3376" w:hanging="419"/>
      </w:pPr>
      <w:rPr>
        <w:rFonts w:hint="eastAsia"/>
      </w:rPr>
    </w:lvl>
    <w:lvl w:ilvl="4" w:tentative="0">
      <w:start w:val="1"/>
      <w:numFmt w:val="lowerLetter"/>
      <w:lvlText w:val="%5)"/>
      <w:lvlJc w:val="left"/>
      <w:pPr>
        <w:tabs>
          <w:tab w:val="left" w:pos="2520"/>
        </w:tabs>
        <w:ind w:left="3796" w:hanging="419"/>
      </w:pPr>
      <w:rPr>
        <w:rFonts w:hint="eastAsia"/>
      </w:rPr>
    </w:lvl>
    <w:lvl w:ilvl="5" w:tentative="0">
      <w:start w:val="1"/>
      <w:numFmt w:val="lowerRoman"/>
      <w:lvlText w:val="%6."/>
      <w:lvlJc w:val="right"/>
      <w:pPr>
        <w:tabs>
          <w:tab w:val="left" w:pos="2940"/>
        </w:tabs>
        <w:ind w:left="4216" w:hanging="419"/>
      </w:pPr>
      <w:rPr>
        <w:rFonts w:hint="eastAsia"/>
      </w:rPr>
    </w:lvl>
    <w:lvl w:ilvl="6" w:tentative="0">
      <w:start w:val="1"/>
      <w:numFmt w:val="decimal"/>
      <w:lvlText w:val="%7."/>
      <w:lvlJc w:val="left"/>
      <w:pPr>
        <w:tabs>
          <w:tab w:val="left" w:pos="3360"/>
        </w:tabs>
        <w:ind w:left="4636" w:hanging="419"/>
      </w:pPr>
      <w:rPr>
        <w:rFonts w:hint="eastAsia"/>
      </w:rPr>
    </w:lvl>
    <w:lvl w:ilvl="7" w:tentative="0">
      <w:start w:val="1"/>
      <w:numFmt w:val="lowerLetter"/>
      <w:lvlText w:val="%8)"/>
      <w:lvlJc w:val="left"/>
      <w:pPr>
        <w:tabs>
          <w:tab w:val="left" w:pos="3780"/>
        </w:tabs>
        <w:ind w:left="5056" w:hanging="419"/>
      </w:pPr>
      <w:rPr>
        <w:rFonts w:hint="eastAsia"/>
      </w:rPr>
    </w:lvl>
    <w:lvl w:ilvl="8" w:tentative="0">
      <w:start w:val="1"/>
      <w:numFmt w:val="lowerRoman"/>
      <w:lvlText w:val="%9."/>
      <w:lvlJc w:val="right"/>
      <w:pPr>
        <w:tabs>
          <w:tab w:val="left" w:pos="4200"/>
        </w:tabs>
        <w:ind w:left="5476" w:hanging="419"/>
      </w:pPr>
      <w:rPr>
        <w:rFonts w:hint="eastAsia"/>
      </w:rPr>
    </w:lvl>
  </w:abstractNum>
  <w:abstractNum w:abstractNumId="15">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pStyle w:val="260"/>
      <w:lvlText w:val="%1"/>
      <w:lvlJc w:val="left"/>
      <w:pPr>
        <w:tabs>
          <w:tab w:val="left" w:pos="0"/>
        </w:tabs>
        <w:ind w:left="0" w:hanging="425"/>
      </w:pPr>
      <w:rPr>
        <w:rFonts w:hint="eastAsia"/>
      </w:rPr>
    </w:lvl>
    <w:lvl w:ilvl="1" w:tentative="0">
      <w:start w:val="1"/>
      <w:numFmt w:val="decimal"/>
      <w:pStyle w:val="26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9"/>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5"/>
      <w:suff w:val="nothing"/>
      <w:lvlText w:val="附录%1"/>
      <w:lvlJc w:val="left"/>
      <w:pPr>
        <w:ind w:left="568"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993"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4"/>
      <w:suff w:val="nothing"/>
      <w:lvlText w:val="%1%2.%3.%4　"/>
      <w:lvlJc w:val="left"/>
      <w:pPr>
        <w:ind w:left="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color w:val="auto"/>
        <w:sz w:val="21"/>
      </w:rPr>
    </w:lvl>
    <w:lvl w:ilvl="5" w:tentative="0">
      <w:start w:val="1"/>
      <w:numFmt w:val="decimal"/>
      <w:pStyle w:val="106"/>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6"/>
      <w:lvlText w:val="%1注："/>
      <w:lvlJc w:val="left"/>
      <w:pPr>
        <w:ind w:left="1651" w:hanging="374"/>
      </w:pPr>
      <w:rPr>
        <w:rFonts w:hint="eastAsia" w:ascii="黑体"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4"/>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0"/>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5"/>
  </w:num>
  <w:num w:numId="29">
    <w:abstractNumId w:val="16"/>
  </w:num>
  <w:num w:numId="30">
    <w:abstractNumId w:val="26"/>
  </w:num>
  <w:num w:numId="31">
    <w:abstractNumId w:val="24"/>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3YTk2MzMxMjczY2FhYjJjYzk0YWVjMTRlNTk5MTkifQ=="/>
  </w:docVars>
  <w:rsids>
    <w:rsidRoot w:val="007847A3"/>
    <w:rsid w:val="00000D99"/>
    <w:rsid w:val="00002C5E"/>
    <w:rsid w:val="00003D60"/>
    <w:rsid w:val="00004611"/>
    <w:rsid w:val="00006221"/>
    <w:rsid w:val="000122EA"/>
    <w:rsid w:val="000125BD"/>
    <w:rsid w:val="0001294D"/>
    <w:rsid w:val="00020E61"/>
    <w:rsid w:val="00022548"/>
    <w:rsid w:val="00023CDE"/>
    <w:rsid w:val="000254CB"/>
    <w:rsid w:val="00027117"/>
    <w:rsid w:val="00031171"/>
    <w:rsid w:val="00037C01"/>
    <w:rsid w:val="0004333B"/>
    <w:rsid w:val="00046528"/>
    <w:rsid w:val="00055A48"/>
    <w:rsid w:val="00062062"/>
    <w:rsid w:val="00062D2F"/>
    <w:rsid w:val="000679D1"/>
    <w:rsid w:val="00070B0F"/>
    <w:rsid w:val="000856FC"/>
    <w:rsid w:val="0009570D"/>
    <w:rsid w:val="000A7ADF"/>
    <w:rsid w:val="000B1AAE"/>
    <w:rsid w:val="000B25F4"/>
    <w:rsid w:val="000B5129"/>
    <w:rsid w:val="000D391D"/>
    <w:rsid w:val="000D3AE6"/>
    <w:rsid w:val="000E47BA"/>
    <w:rsid w:val="000F0569"/>
    <w:rsid w:val="000F13C2"/>
    <w:rsid w:val="000F1D42"/>
    <w:rsid w:val="000F56DF"/>
    <w:rsid w:val="0010389F"/>
    <w:rsid w:val="001106B5"/>
    <w:rsid w:val="001121F8"/>
    <w:rsid w:val="00117BD2"/>
    <w:rsid w:val="00122DAC"/>
    <w:rsid w:val="00124522"/>
    <w:rsid w:val="00124F9B"/>
    <w:rsid w:val="00126D20"/>
    <w:rsid w:val="001301B4"/>
    <w:rsid w:val="0013630E"/>
    <w:rsid w:val="00140549"/>
    <w:rsid w:val="00142C3F"/>
    <w:rsid w:val="00153023"/>
    <w:rsid w:val="001557E4"/>
    <w:rsid w:val="001623A5"/>
    <w:rsid w:val="00164E86"/>
    <w:rsid w:val="0017073B"/>
    <w:rsid w:val="00176B2E"/>
    <w:rsid w:val="00181E8E"/>
    <w:rsid w:val="00183576"/>
    <w:rsid w:val="001958B6"/>
    <w:rsid w:val="0019601F"/>
    <w:rsid w:val="001A70E9"/>
    <w:rsid w:val="001B06DF"/>
    <w:rsid w:val="001C0141"/>
    <w:rsid w:val="001D3058"/>
    <w:rsid w:val="001D335B"/>
    <w:rsid w:val="001D74A8"/>
    <w:rsid w:val="001E4EB4"/>
    <w:rsid w:val="001E695A"/>
    <w:rsid w:val="001E69A0"/>
    <w:rsid w:val="001F2C6B"/>
    <w:rsid w:val="001F4446"/>
    <w:rsid w:val="001F547A"/>
    <w:rsid w:val="001F547D"/>
    <w:rsid w:val="001F554C"/>
    <w:rsid w:val="00215D28"/>
    <w:rsid w:val="00220605"/>
    <w:rsid w:val="00222431"/>
    <w:rsid w:val="00222B16"/>
    <w:rsid w:val="00226AB8"/>
    <w:rsid w:val="00226C3B"/>
    <w:rsid w:val="00226DA2"/>
    <w:rsid w:val="00233095"/>
    <w:rsid w:val="00236D4C"/>
    <w:rsid w:val="00244EE7"/>
    <w:rsid w:val="00246160"/>
    <w:rsid w:val="00246AF9"/>
    <w:rsid w:val="002535D0"/>
    <w:rsid w:val="00253F47"/>
    <w:rsid w:val="002579A2"/>
    <w:rsid w:val="00257A85"/>
    <w:rsid w:val="00262227"/>
    <w:rsid w:val="00262312"/>
    <w:rsid w:val="00282F3A"/>
    <w:rsid w:val="002830A2"/>
    <w:rsid w:val="00283F05"/>
    <w:rsid w:val="00287E77"/>
    <w:rsid w:val="00295B4F"/>
    <w:rsid w:val="002A2058"/>
    <w:rsid w:val="002A394C"/>
    <w:rsid w:val="002A5045"/>
    <w:rsid w:val="002A5525"/>
    <w:rsid w:val="002A6EBD"/>
    <w:rsid w:val="002B3C41"/>
    <w:rsid w:val="002B51DC"/>
    <w:rsid w:val="002B580C"/>
    <w:rsid w:val="002B6A4D"/>
    <w:rsid w:val="002C0505"/>
    <w:rsid w:val="002C5027"/>
    <w:rsid w:val="002D31FE"/>
    <w:rsid w:val="002D57D4"/>
    <w:rsid w:val="002D59BF"/>
    <w:rsid w:val="002D5B08"/>
    <w:rsid w:val="002E205F"/>
    <w:rsid w:val="002F0E6C"/>
    <w:rsid w:val="00305FA5"/>
    <w:rsid w:val="00307C46"/>
    <w:rsid w:val="00311BF5"/>
    <w:rsid w:val="0031305E"/>
    <w:rsid w:val="00313B44"/>
    <w:rsid w:val="00313BFA"/>
    <w:rsid w:val="0031405C"/>
    <w:rsid w:val="00315C1B"/>
    <w:rsid w:val="00322E75"/>
    <w:rsid w:val="00333F5A"/>
    <w:rsid w:val="00336282"/>
    <w:rsid w:val="00342CC3"/>
    <w:rsid w:val="00343FF3"/>
    <w:rsid w:val="00345D3B"/>
    <w:rsid w:val="00355265"/>
    <w:rsid w:val="003722C0"/>
    <w:rsid w:val="003742E1"/>
    <w:rsid w:val="003766DB"/>
    <w:rsid w:val="00382A22"/>
    <w:rsid w:val="00383EA0"/>
    <w:rsid w:val="00386CF5"/>
    <w:rsid w:val="00390163"/>
    <w:rsid w:val="00391A7C"/>
    <w:rsid w:val="00392257"/>
    <w:rsid w:val="00394D8C"/>
    <w:rsid w:val="00397314"/>
    <w:rsid w:val="003A081D"/>
    <w:rsid w:val="003B2FE4"/>
    <w:rsid w:val="003B3147"/>
    <w:rsid w:val="003D5B5B"/>
    <w:rsid w:val="003E47A5"/>
    <w:rsid w:val="003F5615"/>
    <w:rsid w:val="003F72DC"/>
    <w:rsid w:val="004005D6"/>
    <w:rsid w:val="00402AB5"/>
    <w:rsid w:val="00411C67"/>
    <w:rsid w:val="00414720"/>
    <w:rsid w:val="0042205A"/>
    <w:rsid w:val="004242D2"/>
    <w:rsid w:val="004331BC"/>
    <w:rsid w:val="00436613"/>
    <w:rsid w:val="00440105"/>
    <w:rsid w:val="00444093"/>
    <w:rsid w:val="0044767E"/>
    <w:rsid w:val="0045610C"/>
    <w:rsid w:val="004633A4"/>
    <w:rsid w:val="004645BB"/>
    <w:rsid w:val="00475CBF"/>
    <w:rsid w:val="004773AC"/>
    <w:rsid w:val="00480CCA"/>
    <w:rsid w:val="00480FC5"/>
    <w:rsid w:val="00481F23"/>
    <w:rsid w:val="00483560"/>
    <w:rsid w:val="00493BBE"/>
    <w:rsid w:val="004B0553"/>
    <w:rsid w:val="004B38E9"/>
    <w:rsid w:val="004B564F"/>
    <w:rsid w:val="004C2376"/>
    <w:rsid w:val="004C7A37"/>
    <w:rsid w:val="004D054F"/>
    <w:rsid w:val="004D546C"/>
    <w:rsid w:val="004E5EBF"/>
    <w:rsid w:val="004F0ECE"/>
    <w:rsid w:val="004F56A3"/>
    <w:rsid w:val="004F6C21"/>
    <w:rsid w:val="00500219"/>
    <w:rsid w:val="0050120A"/>
    <w:rsid w:val="00510B11"/>
    <w:rsid w:val="00511017"/>
    <w:rsid w:val="005179B8"/>
    <w:rsid w:val="0052216B"/>
    <w:rsid w:val="00525BC8"/>
    <w:rsid w:val="0053242F"/>
    <w:rsid w:val="00536C24"/>
    <w:rsid w:val="005415D2"/>
    <w:rsid w:val="0054417B"/>
    <w:rsid w:val="005442A3"/>
    <w:rsid w:val="0054588A"/>
    <w:rsid w:val="005466C8"/>
    <w:rsid w:val="00546FDE"/>
    <w:rsid w:val="00547089"/>
    <w:rsid w:val="0055020D"/>
    <w:rsid w:val="005502A7"/>
    <w:rsid w:val="00550EB7"/>
    <w:rsid w:val="00553816"/>
    <w:rsid w:val="00553CE7"/>
    <w:rsid w:val="00557062"/>
    <w:rsid w:val="00563224"/>
    <w:rsid w:val="005645CF"/>
    <w:rsid w:val="00567E3E"/>
    <w:rsid w:val="005700CC"/>
    <w:rsid w:val="00570399"/>
    <w:rsid w:val="0057551D"/>
    <w:rsid w:val="00576D03"/>
    <w:rsid w:val="0058165C"/>
    <w:rsid w:val="00582871"/>
    <w:rsid w:val="00591C49"/>
    <w:rsid w:val="005926B3"/>
    <w:rsid w:val="00595F31"/>
    <w:rsid w:val="005A4F48"/>
    <w:rsid w:val="005C659B"/>
    <w:rsid w:val="005D7788"/>
    <w:rsid w:val="005E0A25"/>
    <w:rsid w:val="005E26C1"/>
    <w:rsid w:val="005E3228"/>
    <w:rsid w:val="005E476C"/>
    <w:rsid w:val="005E7900"/>
    <w:rsid w:val="005F0C00"/>
    <w:rsid w:val="005F17AE"/>
    <w:rsid w:val="005F1966"/>
    <w:rsid w:val="006041E9"/>
    <w:rsid w:val="00613720"/>
    <w:rsid w:val="00621AB3"/>
    <w:rsid w:val="00623B9C"/>
    <w:rsid w:val="00626BD4"/>
    <w:rsid w:val="00637D19"/>
    <w:rsid w:val="006415B9"/>
    <w:rsid w:val="00647F42"/>
    <w:rsid w:val="006517E0"/>
    <w:rsid w:val="0065468B"/>
    <w:rsid w:val="0065642B"/>
    <w:rsid w:val="00662DFD"/>
    <w:rsid w:val="00663898"/>
    <w:rsid w:val="00673C1F"/>
    <w:rsid w:val="00677342"/>
    <w:rsid w:val="00695E2F"/>
    <w:rsid w:val="006A69B7"/>
    <w:rsid w:val="006B7D5B"/>
    <w:rsid w:val="006C1269"/>
    <w:rsid w:val="006C4A00"/>
    <w:rsid w:val="006C5C54"/>
    <w:rsid w:val="006D27A8"/>
    <w:rsid w:val="006E0947"/>
    <w:rsid w:val="006E4FA6"/>
    <w:rsid w:val="006E7BD3"/>
    <w:rsid w:val="0070717D"/>
    <w:rsid w:val="00707376"/>
    <w:rsid w:val="007077B1"/>
    <w:rsid w:val="00712780"/>
    <w:rsid w:val="00720572"/>
    <w:rsid w:val="00723CF6"/>
    <w:rsid w:val="00725BF1"/>
    <w:rsid w:val="0073525C"/>
    <w:rsid w:val="00740ACE"/>
    <w:rsid w:val="0074241D"/>
    <w:rsid w:val="00744016"/>
    <w:rsid w:val="00745452"/>
    <w:rsid w:val="00747C14"/>
    <w:rsid w:val="0075095D"/>
    <w:rsid w:val="00751418"/>
    <w:rsid w:val="007600C4"/>
    <w:rsid w:val="0076180F"/>
    <w:rsid w:val="00762BE3"/>
    <w:rsid w:val="00762D82"/>
    <w:rsid w:val="00776926"/>
    <w:rsid w:val="0078090E"/>
    <w:rsid w:val="0078294F"/>
    <w:rsid w:val="0078462F"/>
    <w:rsid w:val="0078477D"/>
    <w:rsid w:val="007847A3"/>
    <w:rsid w:val="00785671"/>
    <w:rsid w:val="007944EC"/>
    <w:rsid w:val="007A2E50"/>
    <w:rsid w:val="007B5C12"/>
    <w:rsid w:val="007B7EBE"/>
    <w:rsid w:val="007C5551"/>
    <w:rsid w:val="007C5731"/>
    <w:rsid w:val="007D5CC1"/>
    <w:rsid w:val="007D61AA"/>
    <w:rsid w:val="007D6CF7"/>
    <w:rsid w:val="007E35E8"/>
    <w:rsid w:val="007F0493"/>
    <w:rsid w:val="00800B5E"/>
    <w:rsid w:val="00804B98"/>
    <w:rsid w:val="00806B3D"/>
    <w:rsid w:val="0081068A"/>
    <w:rsid w:val="0081120C"/>
    <w:rsid w:val="00834CDF"/>
    <w:rsid w:val="00837A1D"/>
    <w:rsid w:val="00842579"/>
    <w:rsid w:val="0085133C"/>
    <w:rsid w:val="00861BD0"/>
    <w:rsid w:val="008621BB"/>
    <w:rsid w:val="00864C10"/>
    <w:rsid w:val="00873BC0"/>
    <w:rsid w:val="008804F2"/>
    <w:rsid w:val="008812FA"/>
    <w:rsid w:val="00881A2B"/>
    <w:rsid w:val="00882E57"/>
    <w:rsid w:val="008842F4"/>
    <w:rsid w:val="00886321"/>
    <w:rsid w:val="0089794E"/>
    <w:rsid w:val="008A2314"/>
    <w:rsid w:val="008A23A1"/>
    <w:rsid w:val="008A50D6"/>
    <w:rsid w:val="008A763D"/>
    <w:rsid w:val="008B20A2"/>
    <w:rsid w:val="008B2262"/>
    <w:rsid w:val="008B45A3"/>
    <w:rsid w:val="008B6E66"/>
    <w:rsid w:val="008C1199"/>
    <w:rsid w:val="008E246C"/>
    <w:rsid w:val="008E2C4E"/>
    <w:rsid w:val="008E47E6"/>
    <w:rsid w:val="008E7796"/>
    <w:rsid w:val="008F4119"/>
    <w:rsid w:val="008F4926"/>
    <w:rsid w:val="008F566D"/>
    <w:rsid w:val="00905773"/>
    <w:rsid w:val="009119BA"/>
    <w:rsid w:val="009158EE"/>
    <w:rsid w:val="00915CAF"/>
    <w:rsid w:val="009205F3"/>
    <w:rsid w:val="00924B35"/>
    <w:rsid w:val="00927EBF"/>
    <w:rsid w:val="00931E38"/>
    <w:rsid w:val="00950FD4"/>
    <w:rsid w:val="0095160D"/>
    <w:rsid w:val="00952FB9"/>
    <w:rsid w:val="00955B82"/>
    <w:rsid w:val="00971B2E"/>
    <w:rsid w:val="00973765"/>
    <w:rsid w:val="00981519"/>
    <w:rsid w:val="0098227A"/>
    <w:rsid w:val="0098784A"/>
    <w:rsid w:val="00990B7F"/>
    <w:rsid w:val="009924B1"/>
    <w:rsid w:val="009A451D"/>
    <w:rsid w:val="009A65E1"/>
    <w:rsid w:val="009B3C43"/>
    <w:rsid w:val="009C4860"/>
    <w:rsid w:val="009D4635"/>
    <w:rsid w:val="009D6115"/>
    <w:rsid w:val="009E1CAD"/>
    <w:rsid w:val="009E6CE2"/>
    <w:rsid w:val="009F0FFD"/>
    <w:rsid w:val="009F760F"/>
    <w:rsid w:val="00A04926"/>
    <w:rsid w:val="00A07E57"/>
    <w:rsid w:val="00A102BB"/>
    <w:rsid w:val="00A120B2"/>
    <w:rsid w:val="00A1481E"/>
    <w:rsid w:val="00A2060C"/>
    <w:rsid w:val="00A218D3"/>
    <w:rsid w:val="00A26967"/>
    <w:rsid w:val="00A30B38"/>
    <w:rsid w:val="00A32228"/>
    <w:rsid w:val="00A328AE"/>
    <w:rsid w:val="00A52461"/>
    <w:rsid w:val="00A62564"/>
    <w:rsid w:val="00A62857"/>
    <w:rsid w:val="00A65B47"/>
    <w:rsid w:val="00A745D5"/>
    <w:rsid w:val="00A8049A"/>
    <w:rsid w:val="00A81F17"/>
    <w:rsid w:val="00A83330"/>
    <w:rsid w:val="00A84326"/>
    <w:rsid w:val="00A86D77"/>
    <w:rsid w:val="00A87416"/>
    <w:rsid w:val="00A87680"/>
    <w:rsid w:val="00A91D21"/>
    <w:rsid w:val="00A9235C"/>
    <w:rsid w:val="00A93BB6"/>
    <w:rsid w:val="00A96C53"/>
    <w:rsid w:val="00AA0799"/>
    <w:rsid w:val="00AA1755"/>
    <w:rsid w:val="00AC6E73"/>
    <w:rsid w:val="00AD15AA"/>
    <w:rsid w:val="00AD264F"/>
    <w:rsid w:val="00AD504A"/>
    <w:rsid w:val="00AD7FDB"/>
    <w:rsid w:val="00AE5F18"/>
    <w:rsid w:val="00AF129A"/>
    <w:rsid w:val="00AF747A"/>
    <w:rsid w:val="00AF7EC8"/>
    <w:rsid w:val="00B02E79"/>
    <w:rsid w:val="00B05FC1"/>
    <w:rsid w:val="00B146FB"/>
    <w:rsid w:val="00B14EE3"/>
    <w:rsid w:val="00B20AD6"/>
    <w:rsid w:val="00B260F5"/>
    <w:rsid w:val="00B26C97"/>
    <w:rsid w:val="00B33A51"/>
    <w:rsid w:val="00B36BEA"/>
    <w:rsid w:val="00B46C26"/>
    <w:rsid w:val="00B637DB"/>
    <w:rsid w:val="00B63C93"/>
    <w:rsid w:val="00B877AE"/>
    <w:rsid w:val="00B92890"/>
    <w:rsid w:val="00BA4D30"/>
    <w:rsid w:val="00BC4AA1"/>
    <w:rsid w:val="00BC6DA8"/>
    <w:rsid w:val="00BD0A13"/>
    <w:rsid w:val="00BD1947"/>
    <w:rsid w:val="00BD33ED"/>
    <w:rsid w:val="00BD4171"/>
    <w:rsid w:val="00BE3500"/>
    <w:rsid w:val="00BE7D5D"/>
    <w:rsid w:val="00BF1283"/>
    <w:rsid w:val="00C04A1C"/>
    <w:rsid w:val="00C07862"/>
    <w:rsid w:val="00C2156F"/>
    <w:rsid w:val="00C21CA5"/>
    <w:rsid w:val="00C22178"/>
    <w:rsid w:val="00C238F8"/>
    <w:rsid w:val="00C26B55"/>
    <w:rsid w:val="00C27AC4"/>
    <w:rsid w:val="00C30D11"/>
    <w:rsid w:val="00C30DDE"/>
    <w:rsid w:val="00C43053"/>
    <w:rsid w:val="00C4723C"/>
    <w:rsid w:val="00C50A94"/>
    <w:rsid w:val="00C62330"/>
    <w:rsid w:val="00C64050"/>
    <w:rsid w:val="00C70171"/>
    <w:rsid w:val="00C7044D"/>
    <w:rsid w:val="00C70876"/>
    <w:rsid w:val="00C723C0"/>
    <w:rsid w:val="00C74984"/>
    <w:rsid w:val="00C74BA0"/>
    <w:rsid w:val="00C84F07"/>
    <w:rsid w:val="00C955A5"/>
    <w:rsid w:val="00C9723A"/>
    <w:rsid w:val="00CA49D3"/>
    <w:rsid w:val="00CA7DD6"/>
    <w:rsid w:val="00CB6996"/>
    <w:rsid w:val="00CD6923"/>
    <w:rsid w:val="00CE2164"/>
    <w:rsid w:val="00D02B6C"/>
    <w:rsid w:val="00D070AE"/>
    <w:rsid w:val="00D17032"/>
    <w:rsid w:val="00D17AF3"/>
    <w:rsid w:val="00D20569"/>
    <w:rsid w:val="00D21353"/>
    <w:rsid w:val="00D32787"/>
    <w:rsid w:val="00D538AB"/>
    <w:rsid w:val="00D57506"/>
    <w:rsid w:val="00D623EB"/>
    <w:rsid w:val="00D63BD9"/>
    <w:rsid w:val="00D70C55"/>
    <w:rsid w:val="00D7392F"/>
    <w:rsid w:val="00D760A3"/>
    <w:rsid w:val="00D86A5D"/>
    <w:rsid w:val="00D900AF"/>
    <w:rsid w:val="00D9270D"/>
    <w:rsid w:val="00D93778"/>
    <w:rsid w:val="00D952D1"/>
    <w:rsid w:val="00D957F2"/>
    <w:rsid w:val="00D97097"/>
    <w:rsid w:val="00D97883"/>
    <w:rsid w:val="00D97BA5"/>
    <w:rsid w:val="00DA0185"/>
    <w:rsid w:val="00DA5CB6"/>
    <w:rsid w:val="00DB75CD"/>
    <w:rsid w:val="00DC0830"/>
    <w:rsid w:val="00DC2A49"/>
    <w:rsid w:val="00DC6712"/>
    <w:rsid w:val="00DE19DC"/>
    <w:rsid w:val="00DE4DCC"/>
    <w:rsid w:val="00DE7C74"/>
    <w:rsid w:val="00DF4266"/>
    <w:rsid w:val="00DF490D"/>
    <w:rsid w:val="00DF4C30"/>
    <w:rsid w:val="00DF50F4"/>
    <w:rsid w:val="00E005C7"/>
    <w:rsid w:val="00E015C9"/>
    <w:rsid w:val="00E02746"/>
    <w:rsid w:val="00E11166"/>
    <w:rsid w:val="00E13215"/>
    <w:rsid w:val="00E138C7"/>
    <w:rsid w:val="00E13DEE"/>
    <w:rsid w:val="00E21C2D"/>
    <w:rsid w:val="00E23BC8"/>
    <w:rsid w:val="00E24754"/>
    <w:rsid w:val="00E36B54"/>
    <w:rsid w:val="00E41DD3"/>
    <w:rsid w:val="00E42A15"/>
    <w:rsid w:val="00E46EF3"/>
    <w:rsid w:val="00E522DE"/>
    <w:rsid w:val="00E55547"/>
    <w:rsid w:val="00E55957"/>
    <w:rsid w:val="00E63B81"/>
    <w:rsid w:val="00E6470F"/>
    <w:rsid w:val="00E714DD"/>
    <w:rsid w:val="00E7174A"/>
    <w:rsid w:val="00E71EA7"/>
    <w:rsid w:val="00E73499"/>
    <w:rsid w:val="00E771BC"/>
    <w:rsid w:val="00E83195"/>
    <w:rsid w:val="00E84FC1"/>
    <w:rsid w:val="00E90D72"/>
    <w:rsid w:val="00E9517C"/>
    <w:rsid w:val="00E9651D"/>
    <w:rsid w:val="00EA090A"/>
    <w:rsid w:val="00EA1BAD"/>
    <w:rsid w:val="00EA3FF4"/>
    <w:rsid w:val="00EA5BD0"/>
    <w:rsid w:val="00EB2BFE"/>
    <w:rsid w:val="00EB77C6"/>
    <w:rsid w:val="00EC0DDB"/>
    <w:rsid w:val="00ED05E7"/>
    <w:rsid w:val="00ED0C55"/>
    <w:rsid w:val="00ED0E71"/>
    <w:rsid w:val="00ED1F5C"/>
    <w:rsid w:val="00EE3AB3"/>
    <w:rsid w:val="00EE3D68"/>
    <w:rsid w:val="00EE422B"/>
    <w:rsid w:val="00EF5E87"/>
    <w:rsid w:val="00F05848"/>
    <w:rsid w:val="00F1230B"/>
    <w:rsid w:val="00F17DA3"/>
    <w:rsid w:val="00F230FD"/>
    <w:rsid w:val="00F3092F"/>
    <w:rsid w:val="00F31F4B"/>
    <w:rsid w:val="00F42410"/>
    <w:rsid w:val="00F4436C"/>
    <w:rsid w:val="00F5698E"/>
    <w:rsid w:val="00F61F32"/>
    <w:rsid w:val="00F631CC"/>
    <w:rsid w:val="00F66CAB"/>
    <w:rsid w:val="00F8289E"/>
    <w:rsid w:val="00F848DF"/>
    <w:rsid w:val="00F84B0F"/>
    <w:rsid w:val="00F93EF7"/>
    <w:rsid w:val="00F96D90"/>
    <w:rsid w:val="00FA38A6"/>
    <w:rsid w:val="00FA5EDD"/>
    <w:rsid w:val="00FA7354"/>
    <w:rsid w:val="00FB2F9A"/>
    <w:rsid w:val="00FB7331"/>
    <w:rsid w:val="00FB7D81"/>
    <w:rsid w:val="00FC3785"/>
    <w:rsid w:val="00FC3CB2"/>
    <w:rsid w:val="00FC452B"/>
    <w:rsid w:val="00FD330A"/>
    <w:rsid w:val="00FD33B1"/>
    <w:rsid w:val="00FE2493"/>
    <w:rsid w:val="00FE254A"/>
    <w:rsid w:val="00FE38A5"/>
    <w:rsid w:val="00FE4545"/>
    <w:rsid w:val="00FE5A43"/>
    <w:rsid w:val="08CB6938"/>
    <w:rsid w:val="0E2D17E7"/>
    <w:rsid w:val="0F8B6259"/>
    <w:rsid w:val="18055B17"/>
    <w:rsid w:val="189A24D7"/>
    <w:rsid w:val="1CC102C2"/>
    <w:rsid w:val="1D667ACB"/>
    <w:rsid w:val="221934FD"/>
    <w:rsid w:val="23FA0EC3"/>
    <w:rsid w:val="28870EC9"/>
    <w:rsid w:val="28C90C5F"/>
    <w:rsid w:val="2EF72D84"/>
    <w:rsid w:val="31394FC3"/>
    <w:rsid w:val="32143AE5"/>
    <w:rsid w:val="354C76D6"/>
    <w:rsid w:val="382C5F20"/>
    <w:rsid w:val="38771A19"/>
    <w:rsid w:val="3BDF0532"/>
    <w:rsid w:val="3C5B2BB6"/>
    <w:rsid w:val="425B5A28"/>
    <w:rsid w:val="436B4014"/>
    <w:rsid w:val="43C423EF"/>
    <w:rsid w:val="4433480E"/>
    <w:rsid w:val="46F36BE6"/>
    <w:rsid w:val="4C9B50BD"/>
    <w:rsid w:val="4E5824D7"/>
    <w:rsid w:val="4E583AB0"/>
    <w:rsid w:val="527603E2"/>
    <w:rsid w:val="55C36097"/>
    <w:rsid w:val="58AA7688"/>
    <w:rsid w:val="59A35702"/>
    <w:rsid w:val="5D3F42E3"/>
    <w:rsid w:val="5D8C248A"/>
    <w:rsid w:val="5F4C331A"/>
    <w:rsid w:val="62543594"/>
    <w:rsid w:val="62DE1D88"/>
    <w:rsid w:val="64FD05E1"/>
    <w:rsid w:val="68FA70CB"/>
    <w:rsid w:val="6C845933"/>
    <w:rsid w:val="6EED38A1"/>
    <w:rsid w:val="737E6552"/>
    <w:rsid w:val="753A0558"/>
    <w:rsid w:val="768D7527"/>
    <w:rsid w:val="77193206"/>
    <w:rsid w:val="78977944"/>
    <w:rsid w:val="78FC2525"/>
    <w:rsid w:val="79E95501"/>
    <w:rsid w:val="7AB34BF2"/>
    <w:rsid w:val="7AD8255B"/>
    <w:rsid w:val="7B5439C8"/>
    <w:rsid w:val="7BF02EB2"/>
    <w:rsid w:val="7C535EF7"/>
    <w:rsid w:val="7C9D11F7"/>
    <w:rsid w:val="7D8D0F8E"/>
    <w:rsid w:val="7D9C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0"/>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56"/>
    <w:semiHidden/>
    <w:unhideWhenUsed/>
    <w:qFormat/>
    <w:uiPriority w:val="99"/>
    <w:pPr>
      <w:jc w:val="left"/>
    </w:pPr>
  </w:style>
  <w:style w:type="paragraph" w:styleId="14">
    <w:name w:val="Body Text"/>
    <w:basedOn w:val="1"/>
    <w:link w:val="5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52"/>
    <w:semiHidden/>
    <w:unhideWhenUsed/>
    <w:qFormat/>
    <w:uiPriority w:val="99"/>
    <w:pPr>
      <w:ind w:left="100" w:leftChars="2500"/>
    </w:pPr>
  </w:style>
  <w:style w:type="paragraph" w:styleId="18">
    <w:name w:val="Balloon Text"/>
    <w:basedOn w:val="1"/>
    <w:link w:val="53"/>
    <w:semiHidden/>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8">
    <w:name w:val="Title"/>
    <w:basedOn w:val="1"/>
    <w:link w:val="55"/>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57"/>
    <w:qFormat/>
    <w:uiPriority w:val="0"/>
    <w:pPr>
      <w:adjustRightInd/>
      <w:spacing w:line="240" w:lineRule="auto"/>
    </w:pPr>
    <w:rPr>
      <w:rFonts w:ascii="Times New Roman" w:hAnsi="Times New Roman"/>
      <w:b/>
      <w:bCs/>
      <w:szCs w:val="24"/>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line number"/>
    <w:basedOn w:val="32"/>
    <w:semiHidden/>
    <w:unhideWhenUsed/>
    <w:qFormat/>
    <w:uiPriority w:val="99"/>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2"/>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页眉 字符"/>
    <w:basedOn w:val="32"/>
    <w:link w:val="20"/>
    <w:qFormat/>
    <w:uiPriority w:val="99"/>
    <w:rPr>
      <w:sz w:val="18"/>
      <w:szCs w:val="18"/>
    </w:rPr>
  </w:style>
  <w:style w:type="character" w:customStyle="1" w:styleId="41">
    <w:name w:val="页脚 字符"/>
    <w:basedOn w:val="32"/>
    <w:link w:val="19"/>
    <w:qFormat/>
    <w:uiPriority w:val="99"/>
    <w:rPr>
      <w:sz w:val="18"/>
      <w:szCs w:val="18"/>
    </w:rPr>
  </w:style>
  <w:style w:type="character" w:customStyle="1" w:styleId="42">
    <w:name w:val="标题 1 字符"/>
    <w:basedOn w:val="32"/>
    <w:link w:val="2"/>
    <w:qFormat/>
    <w:uiPriority w:val="0"/>
    <w:rPr>
      <w:rFonts w:ascii="Calibri" w:hAnsi="Calibri" w:eastAsia="宋体" w:cs="Times New Roman"/>
      <w:b/>
      <w:bCs/>
      <w:kern w:val="44"/>
      <w:sz w:val="44"/>
      <w:szCs w:val="44"/>
    </w:rPr>
  </w:style>
  <w:style w:type="character" w:customStyle="1" w:styleId="43">
    <w:name w:val="标题 2 字符"/>
    <w:basedOn w:val="32"/>
    <w:link w:val="3"/>
    <w:qFormat/>
    <w:uiPriority w:val="0"/>
    <w:rPr>
      <w:rFonts w:ascii="Arial" w:hAnsi="Arial" w:eastAsia="黑体" w:cs="Times New Roman"/>
      <w:b/>
      <w:bCs/>
      <w:sz w:val="32"/>
      <w:szCs w:val="32"/>
    </w:rPr>
  </w:style>
  <w:style w:type="character" w:customStyle="1" w:styleId="44">
    <w:name w:val="标题 3 字符"/>
    <w:basedOn w:val="32"/>
    <w:link w:val="4"/>
    <w:qFormat/>
    <w:uiPriority w:val="0"/>
    <w:rPr>
      <w:rFonts w:ascii="Calibri" w:hAnsi="Calibri" w:eastAsia="宋体" w:cs="Times New Roman"/>
      <w:b/>
      <w:bCs/>
      <w:sz w:val="32"/>
      <w:szCs w:val="32"/>
    </w:rPr>
  </w:style>
  <w:style w:type="character" w:customStyle="1" w:styleId="45">
    <w:name w:val="标题 4 字符"/>
    <w:basedOn w:val="32"/>
    <w:link w:val="5"/>
    <w:qFormat/>
    <w:uiPriority w:val="0"/>
    <w:rPr>
      <w:rFonts w:ascii="Arial" w:hAnsi="Arial" w:eastAsia="黑体" w:cs="Times New Roman"/>
      <w:b/>
      <w:bCs/>
      <w:sz w:val="28"/>
      <w:szCs w:val="28"/>
    </w:rPr>
  </w:style>
  <w:style w:type="character" w:customStyle="1" w:styleId="46">
    <w:name w:val="标题 5 字符"/>
    <w:basedOn w:val="32"/>
    <w:link w:val="6"/>
    <w:qFormat/>
    <w:uiPriority w:val="0"/>
    <w:rPr>
      <w:rFonts w:ascii="Calibri" w:hAnsi="Calibri" w:eastAsia="宋体" w:cs="Times New Roman"/>
      <w:b/>
      <w:bCs/>
      <w:sz w:val="28"/>
      <w:szCs w:val="28"/>
    </w:rPr>
  </w:style>
  <w:style w:type="character" w:customStyle="1" w:styleId="47">
    <w:name w:val="标题 6 字符"/>
    <w:basedOn w:val="32"/>
    <w:link w:val="7"/>
    <w:qFormat/>
    <w:uiPriority w:val="0"/>
    <w:rPr>
      <w:rFonts w:ascii="Arial" w:hAnsi="Arial" w:eastAsia="黑体" w:cs="Times New Roman"/>
      <w:b/>
      <w:bCs/>
      <w:sz w:val="24"/>
      <w:szCs w:val="24"/>
    </w:rPr>
  </w:style>
  <w:style w:type="character" w:customStyle="1" w:styleId="48">
    <w:name w:val="标题 7 字符"/>
    <w:basedOn w:val="32"/>
    <w:link w:val="8"/>
    <w:qFormat/>
    <w:uiPriority w:val="0"/>
    <w:rPr>
      <w:rFonts w:ascii="Calibri" w:hAnsi="Calibri" w:eastAsia="宋体" w:cs="Times New Roman"/>
      <w:b/>
      <w:bCs/>
      <w:sz w:val="24"/>
      <w:szCs w:val="24"/>
    </w:rPr>
  </w:style>
  <w:style w:type="character" w:customStyle="1" w:styleId="49">
    <w:name w:val="标题 8 字符"/>
    <w:basedOn w:val="32"/>
    <w:link w:val="9"/>
    <w:qFormat/>
    <w:uiPriority w:val="0"/>
    <w:rPr>
      <w:rFonts w:ascii="Arial" w:hAnsi="Arial" w:eastAsia="黑体" w:cs="Times New Roman"/>
      <w:sz w:val="24"/>
      <w:szCs w:val="24"/>
    </w:rPr>
  </w:style>
  <w:style w:type="character" w:customStyle="1" w:styleId="50">
    <w:name w:val="标题 9 字符"/>
    <w:basedOn w:val="32"/>
    <w:link w:val="10"/>
    <w:qFormat/>
    <w:uiPriority w:val="0"/>
    <w:rPr>
      <w:rFonts w:ascii="Arial" w:hAnsi="Arial" w:eastAsia="黑体" w:cs="Times New Roman"/>
      <w:szCs w:val="21"/>
    </w:rPr>
  </w:style>
  <w:style w:type="character" w:customStyle="1" w:styleId="51">
    <w:name w:val="正文文本 字符"/>
    <w:basedOn w:val="32"/>
    <w:link w:val="14"/>
    <w:qFormat/>
    <w:uiPriority w:val="0"/>
    <w:rPr>
      <w:rFonts w:ascii="Calibri" w:hAnsi="Calibri" w:eastAsia="宋体" w:cs="Times New Roman"/>
      <w:szCs w:val="21"/>
    </w:rPr>
  </w:style>
  <w:style w:type="character" w:customStyle="1" w:styleId="52">
    <w:name w:val="日期 字符"/>
    <w:basedOn w:val="32"/>
    <w:link w:val="17"/>
    <w:semiHidden/>
    <w:qFormat/>
    <w:uiPriority w:val="99"/>
    <w:rPr>
      <w:rFonts w:ascii="Calibri" w:hAnsi="Calibri" w:eastAsia="宋体" w:cs="Times New Roman"/>
      <w:szCs w:val="21"/>
    </w:rPr>
  </w:style>
  <w:style w:type="character" w:customStyle="1" w:styleId="53">
    <w:name w:val="批注框文本 字符"/>
    <w:basedOn w:val="32"/>
    <w:link w:val="18"/>
    <w:semiHidden/>
    <w:qFormat/>
    <w:uiPriority w:val="99"/>
    <w:rPr>
      <w:rFonts w:ascii="Calibri" w:hAnsi="Calibri" w:eastAsia="宋体" w:cs="Times New Roman"/>
      <w:sz w:val="18"/>
      <w:szCs w:val="18"/>
    </w:rPr>
  </w:style>
  <w:style w:type="character" w:customStyle="1" w:styleId="54">
    <w:name w:val="脚注文本 字符"/>
    <w:basedOn w:val="32"/>
    <w:link w:val="23"/>
    <w:semiHidden/>
    <w:qFormat/>
    <w:uiPriority w:val="0"/>
    <w:rPr>
      <w:rFonts w:ascii="宋体" w:hAnsi="Calibri" w:eastAsia="宋体" w:cs="Times New Roman"/>
      <w:sz w:val="18"/>
      <w:szCs w:val="18"/>
    </w:rPr>
  </w:style>
  <w:style w:type="character" w:customStyle="1" w:styleId="55">
    <w:name w:val="标题 字符"/>
    <w:basedOn w:val="32"/>
    <w:link w:val="28"/>
    <w:qFormat/>
    <w:uiPriority w:val="0"/>
    <w:rPr>
      <w:rFonts w:ascii="Arial" w:hAnsi="Arial" w:eastAsia="宋体" w:cs="Arial"/>
      <w:b/>
      <w:bCs/>
      <w:sz w:val="32"/>
      <w:szCs w:val="32"/>
    </w:rPr>
  </w:style>
  <w:style w:type="paragraph" w:styleId="56">
    <w:name w:val="Quote"/>
    <w:basedOn w:val="1"/>
    <w:next w:val="1"/>
    <w:link w:val="57"/>
    <w:qFormat/>
    <w:uiPriority w:val="29"/>
    <w:rPr>
      <w:i/>
      <w:iCs/>
      <w:color w:val="000000"/>
    </w:rPr>
  </w:style>
  <w:style w:type="character" w:customStyle="1" w:styleId="57">
    <w:name w:val="引用 字符"/>
    <w:basedOn w:val="32"/>
    <w:link w:val="56"/>
    <w:qFormat/>
    <w:uiPriority w:val="29"/>
    <w:rPr>
      <w:rFonts w:ascii="Calibri" w:hAnsi="Calibri" w:eastAsia="宋体" w:cs="Times New Roman"/>
      <w:i/>
      <w:iCs/>
      <w:color w:val="000000"/>
      <w:szCs w:val="21"/>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3"/>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ind w:left="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5">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65"/>
    <w:next w:val="65"/>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before="480" w:afterLines="150"/>
      <w:ind w:left="0" w:firstLine="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65"/>
    <w:qFormat/>
    <w:uiPriority w:val="0"/>
    <w:pPr>
      <w:spacing w:line="460" w:lineRule="exact"/>
    </w:pPr>
  </w:style>
  <w:style w:type="paragraph" w:customStyle="1" w:styleId="99">
    <w:name w:val="标准文件_目录标题"/>
    <w:basedOn w:val="1"/>
    <w:qFormat/>
    <w:uiPriority w:val="0"/>
    <w:pPr>
      <w:spacing w:before="480" w:afterLines="150" w:line="240" w:lineRule="auto"/>
      <w:jc w:val="center"/>
    </w:pPr>
    <w:rPr>
      <w:rFonts w:ascii="黑体" w:eastAsia="黑体"/>
      <w:sz w:val="32"/>
    </w:rPr>
  </w:style>
  <w:style w:type="paragraph" w:customStyle="1" w:styleId="100">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ind w:left="0" w:firstLine="200"/>
    </w:pPr>
  </w:style>
  <w:style w:type="paragraph" w:customStyle="1" w:styleId="102">
    <w:name w:val="标准文件_三级条标题"/>
    <w:basedOn w:val="74"/>
    <w:next w:val="65"/>
    <w:qFormat/>
    <w:uiPriority w:val="0"/>
    <w:pPr>
      <w:widowControl/>
      <w:numPr>
        <w:ilvl w:val="4"/>
      </w:numPr>
      <w:outlineLvl w:val="3"/>
    </w:pPr>
  </w:style>
  <w:style w:type="character" w:customStyle="1" w:styleId="103">
    <w:name w:val="不明显参考1"/>
    <w:qFormat/>
    <w:uiPriority w:val="31"/>
    <w:rPr>
      <w:smallCaps/>
      <w:color w:val="C0504D"/>
      <w:u w:val="single"/>
    </w:rPr>
  </w:style>
  <w:style w:type="paragraph" w:customStyle="1" w:styleId="104">
    <w:name w:val="标准文件_示例后续"/>
    <w:basedOn w:val="1"/>
    <w:qFormat/>
    <w:uiPriority w:val="0"/>
    <w:pPr>
      <w:adjustRightInd/>
      <w:spacing w:line="240" w:lineRule="auto"/>
      <w:ind w:firstLine="200" w:firstLineChars="200"/>
    </w:pPr>
    <w:rPr>
      <w:sz w:val="18"/>
      <w:szCs w:val="24"/>
    </w:rPr>
  </w:style>
  <w:style w:type="paragraph" w:customStyle="1" w:styleId="105">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6">
    <w:name w:val="标准文件_四级条标题"/>
    <w:next w:val="65"/>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107">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5"/>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5"/>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5"/>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5"/>
    <w:qFormat/>
    <w:uiPriority w:val="0"/>
    <w:pPr>
      <w:numPr>
        <w:ilvl w:val="2"/>
      </w:numPr>
      <w:spacing w:beforeLines="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5"/>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5"/>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5"/>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5"/>
    <w:qFormat/>
    <w:uiPriority w:val="0"/>
    <w:pPr>
      <w:outlineLvl w:val="4"/>
    </w:pPr>
  </w:style>
  <w:style w:type="paragraph" w:customStyle="1" w:styleId="137">
    <w:name w:val="附录四级无标题条"/>
    <w:basedOn w:val="136"/>
    <w:next w:val="65"/>
    <w:qFormat/>
    <w:uiPriority w:val="0"/>
    <w:pPr>
      <w:outlineLvl w:val="5"/>
    </w:pPr>
  </w:style>
  <w:style w:type="paragraph" w:customStyle="1" w:styleId="138">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5"/>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5"/>
    <w:next w:val="65"/>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5"/>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5"/>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Lines="0" w:afterLines="0"/>
      <w:outlineLvl w:val="9"/>
    </w:pPr>
    <w:rPr>
      <w:rFonts w:ascii="宋体" w:eastAsia="宋体"/>
    </w:rPr>
  </w:style>
  <w:style w:type="paragraph" w:customStyle="1" w:styleId="170">
    <w:name w:val="标准文件_五级无标题"/>
    <w:basedOn w:val="110"/>
    <w:qFormat/>
    <w:uiPriority w:val="0"/>
    <w:pPr>
      <w:spacing w:beforeLines="0" w:afterLines="0"/>
      <w:outlineLvl w:val="9"/>
    </w:pPr>
    <w:rPr>
      <w:rFonts w:ascii="宋体" w:eastAsia="宋体"/>
    </w:rPr>
  </w:style>
  <w:style w:type="paragraph" w:customStyle="1" w:styleId="171">
    <w:name w:val="标准文件_三级无标题"/>
    <w:basedOn w:val="102"/>
    <w:qFormat/>
    <w:uiPriority w:val="0"/>
    <w:pPr>
      <w:spacing w:beforeLines="0" w:afterLines="0"/>
      <w:outlineLvl w:val="9"/>
    </w:pPr>
    <w:rPr>
      <w:rFonts w:ascii="宋体" w:eastAsia="宋体"/>
    </w:rPr>
  </w:style>
  <w:style w:type="paragraph" w:customStyle="1" w:styleId="172">
    <w:name w:val="标准文件_二级无标题"/>
    <w:basedOn w:val="74"/>
    <w:qFormat/>
    <w:uiPriority w:val="0"/>
    <w:pPr>
      <w:spacing w:beforeLines="0" w:afterLines="0"/>
      <w:outlineLvl w:val="9"/>
    </w:pPr>
    <w:rPr>
      <w:rFonts w:ascii="宋体" w:eastAsia="宋体"/>
    </w:rPr>
  </w:style>
  <w:style w:type="paragraph" w:customStyle="1" w:styleId="173">
    <w:name w:val="标准_四级无标题"/>
    <w:basedOn w:val="106"/>
    <w:next w:val="65"/>
    <w:qFormat/>
    <w:uiPriority w:val="0"/>
    <w:rPr>
      <w:rFonts w:eastAsia="宋体"/>
    </w:rPr>
  </w:style>
  <w:style w:type="paragraph" w:customStyle="1" w:styleId="174">
    <w:name w:val="标准文件_四级无标题"/>
    <w:basedOn w:val="106"/>
    <w:qFormat/>
    <w:uiPriority w:val="0"/>
    <w:pPr>
      <w:spacing w:beforeLines="0" w:afterLines="0"/>
      <w:outlineLvl w:val="9"/>
    </w:pPr>
    <w:rPr>
      <w:rFonts w:ascii="宋体" w:hAnsi="黑体" w:eastAsia="宋体"/>
      <w:szCs w:val="52"/>
    </w:rPr>
  </w:style>
  <w:style w:type="paragraph" w:customStyle="1" w:styleId="175">
    <w:name w:val="标准文件_大写罗马数字编号列项"/>
    <w:basedOn w:val="65"/>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5"/>
    <w:qFormat/>
    <w:uiPriority w:val="0"/>
    <w:pPr>
      <w:numPr>
        <w:ilvl w:val="0"/>
        <w:numId w:val="24"/>
      </w:numPr>
      <w:ind w:firstLine="0" w:firstLineChars="0"/>
    </w:pPr>
    <w:rPr>
      <w:rFonts w:cs="Arial"/>
      <w:szCs w:val="28"/>
    </w:rPr>
  </w:style>
  <w:style w:type="paragraph" w:customStyle="1" w:styleId="177">
    <w:name w:val="标准文件_附录标题"/>
    <w:basedOn w:val="85"/>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5"/>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5"/>
    <w:qFormat/>
    <w:uiPriority w:val="0"/>
    <w:pPr>
      <w:ind w:firstLine="0" w:firstLineChars="0"/>
      <w:jc w:val="center"/>
    </w:pPr>
    <w:rPr>
      <w:sz w:val="18"/>
    </w:rPr>
  </w:style>
  <w:style w:type="paragraph" w:customStyle="1" w:styleId="186">
    <w:name w:val="标准文件_注："/>
    <w:next w:val="65"/>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ind w:left="1016"/>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5"/>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5"/>
    <w:qFormat/>
    <w:uiPriority w:val="0"/>
    <w:rPr>
      <w:rFonts w:ascii="宋体" w:hAnsi="Times New Roman" w:eastAsia="宋体" w:cs="Times New Roman"/>
      <w:kern w:val="0"/>
      <w:szCs w:val="20"/>
    </w:rPr>
  </w:style>
  <w:style w:type="paragraph" w:customStyle="1" w:styleId="192">
    <w:name w:val="标准文件_表格续"/>
    <w:basedOn w:val="65"/>
    <w:next w:val="65"/>
    <w:qFormat/>
    <w:uiPriority w:val="0"/>
    <w:pPr>
      <w:jc w:val="center"/>
    </w:pPr>
    <w:rPr>
      <w:rFonts w:ascii="黑体" w:hAnsi="黑体" w:eastAsia="黑体"/>
    </w:rPr>
  </w:style>
  <w:style w:type="character" w:styleId="193">
    <w:name w:val="Placeholder Text"/>
    <w:basedOn w:val="32"/>
    <w:semiHidden/>
    <w:qFormat/>
    <w:uiPriority w:val="99"/>
    <w:rPr>
      <w:color w:val="808080"/>
    </w:rPr>
  </w:style>
  <w:style w:type="paragraph" w:customStyle="1" w:styleId="194">
    <w:name w:val="标准文件_二级项2"/>
    <w:basedOn w:val="65"/>
    <w:qFormat/>
    <w:uiPriority w:val="0"/>
    <w:pPr>
      <w:numPr>
        <w:ilvl w:val="1"/>
        <w:numId w:val="21"/>
      </w:numPr>
      <w:ind w:left="1271" w:hanging="420" w:firstLineChars="0"/>
    </w:pPr>
  </w:style>
  <w:style w:type="paragraph" w:customStyle="1" w:styleId="195">
    <w:name w:val="标准文件_三级项2"/>
    <w:basedOn w:val="65"/>
    <w:qFormat/>
    <w:uiPriority w:val="0"/>
    <w:pPr>
      <w:numPr>
        <w:ilvl w:val="0"/>
        <w:numId w:val="30"/>
      </w:numPr>
      <w:spacing w:line="300" w:lineRule="exact"/>
      <w:ind w:left="1276" w:hanging="425" w:firstLineChars="0"/>
    </w:pPr>
    <w:rPr>
      <w:rFonts w:ascii="Times New Roman"/>
    </w:rPr>
  </w:style>
  <w:style w:type="paragraph" w:customStyle="1" w:styleId="196">
    <w:name w:val="标准文件_一级项2"/>
    <w:basedOn w:val="65"/>
    <w:qFormat/>
    <w:uiPriority w:val="0"/>
    <w:pPr>
      <w:numPr>
        <w:ilvl w:val="0"/>
        <w:numId w:val="31"/>
      </w:numPr>
      <w:spacing w:line="300" w:lineRule="exact"/>
      <w:ind w:left="1271" w:hanging="420" w:firstLineChars="0"/>
    </w:pPr>
    <w:rPr>
      <w:rFonts w:ascii="Times New Roman"/>
    </w:rPr>
  </w:style>
  <w:style w:type="paragraph" w:customStyle="1" w:styleId="197">
    <w:name w:val="标准文件_提示"/>
    <w:basedOn w:val="65"/>
    <w:next w:val="65"/>
    <w:qFormat/>
    <w:uiPriority w:val="0"/>
    <w:pPr>
      <w:ind w:firstLine="420"/>
    </w:pPr>
    <w:rPr>
      <w:rFonts w:ascii="黑体" w:eastAsia="黑体"/>
    </w:rPr>
  </w:style>
  <w:style w:type="character" w:customStyle="1" w:styleId="198">
    <w:name w:val="标准文件_来源"/>
    <w:basedOn w:val="32"/>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wrap="around" w:vAnchor="page" w:hAnchor="page" w:x="1419" w:y="14097"/>
    </w:pPr>
  </w:style>
  <w:style w:type="paragraph" w:customStyle="1" w:styleId="201">
    <w:name w:val="其他实施日期"/>
    <w:basedOn w:val="161"/>
    <w:qFormat/>
    <w:uiPriority w:val="0"/>
    <w:pPr>
      <w:framePr w:w="3997" w:h="471" w:hRule="exact" w:vSpace="181" w:wrap="around" w:vAnchor="page" w:hAnchor="page" w:x="7089" w:y="14097"/>
    </w:pPr>
  </w:style>
  <w:style w:type="paragraph" w:customStyle="1" w:styleId="202">
    <w:name w:val="标准文件_文件编号"/>
    <w:basedOn w:val="6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framePr w:wrap="around"/>
      <w:spacing w:before="57"/>
    </w:pPr>
    <w:rPr>
      <w:sz w:val="21"/>
    </w:rPr>
  </w:style>
  <w:style w:type="paragraph" w:customStyle="1" w:styleId="204">
    <w:name w:val="标准文件_文件名称"/>
    <w:basedOn w:val="65"/>
    <w:next w:val="6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5"/>
    <w:next w:val="65"/>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5"/>
    <w:next w:val="65"/>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5"/>
    <w:next w:val="65"/>
    <w:qFormat/>
    <w:uiPriority w:val="0"/>
    <w:pPr>
      <w:numPr>
        <w:ilvl w:val="1"/>
        <w:numId w:val="8"/>
      </w:numPr>
      <w:spacing w:beforeLines="50" w:afterLines="50"/>
      <w:ind w:firstLineChars="0"/>
    </w:pPr>
    <w:rPr>
      <w:rFonts w:ascii="黑体" w:eastAsia="黑体"/>
    </w:rPr>
  </w:style>
  <w:style w:type="paragraph" w:customStyle="1" w:styleId="208">
    <w:name w:val="标准文件_引言二级条标题"/>
    <w:basedOn w:val="65"/>
    <w:next w:val="65"/>
    <w:qFormat/>
    <w:uiPriority w:val="0"/>
    <w:pPr>
      <w:numPr>
        <w:ilvl w:val="2"/>
        <w:numId w:val="8"/>
      </w:numPr>
      <w:spacing w:beforeLines="50" w:afterLines="50"/>
      <w:ind w:firstLineChars="0"/>
    </w:pPr>
    <w:rPr>
      <w:rFonts w:ascii="黑体" w:eastAsia="黑体"/>
    </w:rPr>
  </w:style>
  <w:style w:type="paragraph" w:customStyle="1" w:styleId="209">
    <w:name w:val="标准文件_引言三级条标题"/>
    <w:basedOn w:val="65"/>
    <w:next w:val="65"/>
    <w:qFormat/>
    <w:uiPriority w:val="0"/>
    <w:pPr>
      <w:numPr>
        <w:ilvl w:val="3"/>
        <w:numId w:val="8"/>
      </w:numPr>
      <w:spacing w:beforeLines="50" w:afterLines="50"/>
      <w:ind w:firstLineChars="0"/>
    </w:pPr>
    <w:rPr>
      <w:rFonts w:ascii="黑体" w:eastAsia="黑体"/>
    </w:rPr>
  </w:style>
  <w:style w:type="paragraph" w:customStyle="1" w:styleId="210">
    <w:name w:val="标准文件_引言四级条标题"/>
    <w:basedOn w:val="65"/>
    <w:next w:val="65"/>
    <w:qFormat/>
    <w:uiPriority w:val="0"/>
    <w:pPr>
      <w:numPr>
        <w:ilvl w:val="4"/>
        <w:numId w:val="8"/>
      </w:numPr>
      <w:spacing w:beforeLines="50" w:afterLines="50"/>
      <w:ind w:firstLineChars="0"/>
    </w:pPr>
    <w:rPr>
      <w:rFonts w:ascii="黑体" w:eastAsia="黑体"/>
    </w:rPr>
  </w:style>
  <w:style w:type="paragraph" w:customStyle="1" w:styleId="211">
    <w:name w:val="标准文件_引言五级条标题"/>
    <w:basedOn w:val="65"/>
    <w:next w:val="65"/>
    <w:qFormat/>
    <w:uiPriority w:val="0"/>
    <w:pPr>
      <w:numPr>
        <w:ilvl w:val="5"/>
        <w:numId w:val="8"/>
      </w:numPr>
      <w:spacing w:beforeLines="50" w:afterLines="50"/>
      <w:ind w:firstLineChars="0"/>
    </w:pPr>
    <w:rPr>
      <w:rFonts w:ascii="黑体" w:eastAsia="黑体"/>
    </w:rPr>
  </w:style>
  <w:style w:type="paragraph" w:customStyle="1" w:styleId="212">
    <w:name w:val="标准文件_注后"/>
    <w:basedOn w:val="65"/>
    <w:qFormat/>
    <w:uiPriority w:val="0"/>
    <w:pPr>
      <w:ind w:left="811" w:firstLine="0" w:firstLineChars="0"/>
    </w:pPr>
    <w:rPr>
      <w:sz w:val="18"/>
    </w:rPr>
  </w:style>
  <w:style w:type="paragraph" w:customStyle="1" w:styleId="213">
    <w:name w:val="标准文件_注X后"/>
    <w:basedOn w:val="65"/>
    <w:qFormat/>
    <w:uiPriority w:val="0"/>
    <w:pPr>
      <w:ind w:left="811" w:firstLine="0" w:firstLineChars="0"/>
    </w:pPr>
    <w:rPr>
      <w:sz w:val="18"/>
    </w:rPr>
  </w:style>
  <w:style w:type="paragraph" w:customStyle="1" w:styleId="214">
    <w:name w:val="标准文件_示例后"/>
    <w:basedOn w:val="65"/>
    <w:qFormat/>
    <w:uiPriority w:val="0"/>
    <w:pPr>
      <w:ind w:left="964" w:firstLine="0" w:firstLineChars="0"/>
    </w:pPr>
    <w:rPr>
      <w:sz w:val="18"/>
    </w:rPr>
  </w:style>
  <w:style w:type="paragraph" w:customStyle="1" w:styleId="215">
    <w:name w:val="标准文件_示例X后"/>
    <w:basedOn w:val="65"/>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eastAsia="宋体" w:cs="Times New Roman"/>
      <w:kern w:val="0"/>
      <w:sz w:val="18"/>
      <w:szCs w:val="20"/>
    </w:rPr>
  </w:style>
  <w:style w:type="paragraph" w:customStyle="1" w:styleId="217">
    <w:name w:val="标准文件_索引项"/>
    <w:basedOn w:val="65"/>
    <w:next w:val="65"/>
    <w:qFormat/>
    <w:uiPriority w:val="0"/>
    <w:pPr>
      <w:tabs>
        <w:tab w:val="right" w:leader="dot" w:pos="9356"/>
      </w:tabs>
      <w:ind w:left="210" w:hanging="210" w:firstLineChars="0"/>
      <w:jc w:val="left"/>
    </w:pPr>
  </w:style>
  <w:style w:type="paragraph" w:customStyle="1" w:styleId="218">
    <w:name w:val="标准文件_附录一级无标题"/>
    <w:basedOn w:val="87"/>
    <w:qFormat/>
    <w:uiPriority w:val="0"/>
    <w:pPr>
      <w:spacing w:beforeLines="0" w:afterLines="0" w:line="276" w:lineRule="auto"/>
      <w:outlineLvl w:val="9"/>
    </w:pPr>
    <w:rPr>
      <w:rFonts w:ascii="宋体" w:eastAsia="宋体"/>
    </w:rPr>
  </w:style>
  <w:style w:type="paragraph" w:customStyle="1" w:styleId="219">
    <w:name w:val="标准文件_附录二级无标题"/>
    <w:basedOn w:val="88"/>
    <w:qFormat/>
    <w:uiPriority w:val="0"/>
    <w:pPr>
      <w:spacing w:beforeLines="0" w:afterLines="0" w:line="276" w:lineRule="auto"/>
      <w:outlineLvl w:val="9"/>
    </w:pPr>
    <w:rPr>
      <w:rFonts w:ascii="宋体" w:eastAsia="宋体"/>
    </w:rPr>
  </w:style>
  <w:style w:type="paragraph" w:customStyle="1" w:styleId="220">
    <w:name w:val="标准文件_附录三级无标题"/>
    <w:basedOn w:val="90"/>
    <w:qFormat/>
    <w:uiPriority w:val="0"/>
    <w:pPr>
      <w:spacing w:beforeLines="0" w:afterLines="0" w:line="276" w:lineRule="auto"/>
      <w:outlineLvl w:val="9"/>
    </w:pPr>
    <w:rPr>
      <w:rFonts w:ascii="宋体" w:eastAsia="宋体"/>
    </w:rPr>
  </w:style>
  <w:style w:type="paragraph" w:customStyle="1" w:styleId="221">
    <w:name w:val="标准文件_附录四级无标题"/>
    <w:basedOn w:val="91"/>
    <w:qFormat/>
    <w:uiPriority w:val="0"/>
    <w:pPr>
      <w:spacing w:beforeLines="0" w:afterLines="0" w:line="276" w:lineRule="auto"/>
      <w:outlineLvl w:val="9"/>
    </w:pPr>
    <w:rPr>
      <w:rFonts w:ascii="宋体" w:eastAsia="宋体"/>
    </w:rPr>
  </w:style>
  <w:style w:type="paragraph" w:customStyle="1" w:styleId="222">
    <w:name w:val="标准文件_附录五级无标题"/>
    <w:basedOn w:val="93"/>
    <w:qFormat/>
    <w:uiPriority w:val="0"/>
    <w:pPr>
      <w:spacing w:beforeLines="0" w:afterLines="0" w:line="276" w:lineRule="auto"/>
      <w:outlineLvl w:val="9"/>
    </w:pPr>
    <w:rPr>
      <w:rFonts w:ascii="宋体" w:eastAsia="宋体"/>
    </w:rPr>
  </w:style>
  <w:style w:type="paragraph" w:customStyle="1" w:styleId="223">
    <w:name w:val="标准文件_引言一级无标题"/>
    <w:basedOn w:val="207"/>
    <w:next w:val="65"/>
    <w:qFormat/>
    <w:uiPriority w:val="0"/>
    <w:pPr>
      <w:spacing w:beforeLines="0" w:afterLines="0" w:line="276" w:lineRule="auto"/>
    </w:pPr>
    <w:rPr>
      <w:rFonts w:ascii="宋体" w:eastAsia="宋体"/>
    </w:rPr>
  </w:style>
  <w:style w:type="paragraph" w:customStyle="1" w:styleId="224">
    <w:name w:val="标准文件_引言二级无标题"/>
    <w:basedOn w:val="208"/>
    <w:next w:val="65"/>
    <w:qFormat/>
    <w:uiPriority w:val="0"/>
    <w:pPr>
      <w:spacing w:beforeLines="0" w:afterLines="0" w:line="276" w:lineRule="auto"/>
    </w:pPr>
    <w:rPr>
      <w:rFonts w:ascii="宋体" w:eastAsia="宋体"/>
    </w:rPr>
  </w:style>
  <w:style w:type="paragraph" w:customStyle="1" w:styleId="225">
    <w:name w:val="标准文件_引言三级无标题"/>
    <w:basedOn w:val="209"/>
    <w:qFormat/>
    <w:uiPriority w:val="0"/>
    <w:pPr>
      <w:spacing w:beforeLines="0" w:afterLines="0" w:line="276" w:lineRule="auto"/>
    </w:pPr>
    <w:rPr>
      <w:rFonts w:ascii="宋体" w:eastAsia="宋体"/>
    </w:rPr>
  </w:style>
  <w:style w:type="paragraph" w:customStyle="1" w:styleId="226">
    <w:name w:val="标准文件_引言四级无标题"/>
    <w:basedOn w:val="210"/>
    <w:next w:val="65"/>
    <w:qFormat/>
    <w:uiPriority w:val="0"/>
    <w:pPr>
      <w:spacing w:beforeLines="0" w:afterLines="0" w:line="276" w:lineRule="auto"/>
    </w:pPr>
    <w:rPr>
      <w:rFonts w:ascii="宋体" w:eastAsia="宋体"/>
    </w:rPr>
  </w:style>
  <w:style w:type="paragraph" w:customStyle="1" w:styleId="227">
    <w:name w:val="标准文件_引言五级无标题"/>
    <w:basedOn w:val="211"/>
    <w:next w:val="65"/>
    <w:qFormat/>
    <w:uiPriority w:val="0"/>
    <w:pPr>
      <w:spacing w:beforeLines="0" w:afterLines="0" w:line="276" w:lineRule="auto"/>
    </w:pPr>
    <w:rPr>
      <w:rFonts w:ascii="宋体" w:eastAsia="宋体"/>
    </w:rPr>
  </w:style>
  <w:style w:type="paragraph" w:customStyle="1" w:styleId="228">
    <w:name w:val="标准文件_索引标题"/>
    <w:basedOn w:val="72"/>
    <w:next w:val="65"/>
    <w:qFormat/>
    <w:uiPriority w:val="0"/>
    <w:rPr>
      <w:rFonts w:hAnsi="黑体"/>
    </w:rPr>
  </w:style>
  <w:style w:type="paragraph" w:customStyle="1" w:styleId="229">
    <w:name w:val="标准文件_脚注内容"/>
    <w:basedOn w:val="65"/>
    <w:qFormat/>
    <w:uiPriority w:val="0"/>
    <w:pPr>
      <w:ind w:left="400" w:leftChars="200" w:hanging="200" w:hangingChars="200"/>
    </w:pPr>
    <w:rPr>
      <w:sz w:val="15"/>
    </w:rPr>
  </w:style>
  <w:style w:type="paragraph" w:customStyle="1" w:styleId="230">
    <w:name w:val="标准文件_术语条一"/>
    <w:basedOn w:val="169"/>
    <w:next w:val="65"/>
    <w:qFormat/>
    <w:uiPriority w:val="0"/>
  </w:style>
  <w:style w:type="paragraph" w:customStyle="1" w:styleId="231">
    <w:name w:val="标准文件_术语条二"/>
    <w:basedOn w:val="172"/>
    <w:next w:val="65"/>
    <w:qFormat/>
    <w:uiPriority w:val="0"/>
  </w:style>
  <w:style w:type="paragraph" w:customStyle="1" w:styleId="232">
    <w:name w:val="标准文件_术语条三"/>
    <w:basedOn w:val="171"/>
    <w:next w:val="65"/>
    <w:qFormat/>
    <w:uiPriority w:val="0"/>
  </w:style>
  <w:style w:type="paragraph" w:customStyle="1" w:styleId="233">
    <w:name w:val="标准文件_术语条四"/>
    <w:basedOn w:val="174"/>
    <w:next w:val="65"/>
    <w:qFormat/>
    <w:uiPriority w:val="0"/>
  </w:style>
  <w:style w:type="paragraph" w:customStyle="1" w:styleId="234">
    <w:name w:val="标准文件_术语条五"/>
    <w:basedOn w:val="170"/>
    <w:next w:val="65"/>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6">
    <w:name w:val="段"/>
    <w:link w:val="237"/>
    <w:qFormat/>
    <w:uiPriority w:val="0"/>
    <w:pPr>
      <w:ind w:firstLine="20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eastAsia="宋体" w:cs="Times New Roman"/>
      <w:kern w:val="0"/>
      <w:szCs w:val="20"/>
    </w:rPr>
  </w:style>
  <w:style w:type="paragraph" w:customStyle="1" w:styleId="238">
    <w:name w:val="注：（正文）"/>
    <w:basedOn w:val="1"/>
    <w:next w:val="236"/>
    <w:qFormat/>
    <w:uiPriority w:val="0"/>
    <w:pPr>
      <w:autoSpaceDE w:val="0"/>
      <w:autoSpaceDN w:val="0"/>
      <w:adjustRightInd/>
      <w:spacing w:line="240" w:lineRule="auto"/>
    </w:pPr>
    <w:rPr>
      <w:rFonts w:ascii="宋体" w:hAnsi="Times New Roman"/>
      <w:kern w:val="0"/>
      <w:sz w:val="18"/>
      <w:szCs w:val="18"/>
    </w:rPr>
  </w:style>
  <w:style w:type="paragraph" w:customStyle="1" w:styleId="239">
    <w:name w:val="注×："/>
    <w:basedOn w:val="1"/>
    <w:qFormat/>
    <w:uiPriority w:val="0"/>
    <w:pPr>
      <w:autoSpaceDE w:val="0"/>
      <w:autoSpaceDN w:val="0"/>
      <w:adjustRightInd/>
      <w:spacing w:before="100" w:beforeAutospacing="1" w:after="100" w:afterAutospacing="1" w:line="240" w:lineRule="auto"/>
      <w:ind w:left="811" w:hanging="448"/>
    </w:pPr>
    <w:rPr>
      <w:rFonts w:ascii="黑体" w:hAnsi="Times New Roman"/>
      <w:kern w:val="0"/>
      <w:sz w:val="18"/>
      <w:szCs w:val="18"/>
    </w:rPr>
  </w:style>
  <w:style w:type="paragraph" w:customStyle="1" w:styleId="240">
    <w:name w:val="一级条标题"/>
    <w:next w:val="236"/>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41">
    <w:name w:val="章标题"/>
    <w:next w:val="23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42">
    <w:name w:val="二级条标题"/>
    <w:basedOn w:val="240"/>
    <w:next w:val="236"/>
    <w:qFormat/>
    <w:uiPriority w:val="0"/>
    <w:pPr>
      <w:numPr>
        <w:ilvl w:val="2"/>
      </w:numPr>
      <w:spacing w:before="50" w:after="50"/>
      <w:outlineLvl w:val="3"/>
    </w:pPr>
  </w:style>
  <w:style w:type="paragraph" w:customStyle="1" w:styleId="243">
    <w:name w:val="三级条标题"/>
    <w:basedOn w:val="242"/>
    <w:next w:val="236"/>
    <w:qFormat/>
    <w:uiPriority w:val="0"/>
    <w:pPr>
      <w:numPr>
        <w:ilvl w:val="3"/>
      </w:numPr>
      <w:outlineLvl w:val="4"/>
    </w:pPr>
  </w:style>
  <w:style w:type="paragraph" w:customStyle="1" w:styleId="244">
    <w:name w:val="四级条标题"/>
    <w:basedOn w:val="243"/>
    <w:next w:val="236"/>
    <w:qFormat/>
    <w:uiPriority w:val="0"/>
    <w:pPr>
      <w:numPr>
        <w:ilvl w:val="4"/>
      </w:numPr>
      <w:outlineLvl w:val="5"/>
    </w:pPr>
  </w:style>
  <w:style w:type="paragraph" w:customStyle="1" w:styleId="245">
    <w:name w:val="五级条标题"/>
    <w:basedOn w:val="244"/>
    <w:next w:val="236"/>
    <w:qFormat/>
    <w:uiPriority w:val="0"/>
    <w:pPr>
      <w:numPr>
        <w:ilvl w:val="5"/>
      </w:numPr>
      <w:outlineLvl w:val="6"/>
    </w:pPr>
  </w:style>
  <w:style w:type="paragraph" w:customStyle="1" w:styleId="246">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47">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48">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49">
    <w:name w:val="修订1"/>
    <w:hidden/>
    <w:semiHidden/>
    <w:qFormat/>
    <w:uiPriority w:val="99"/>
    <w:rPr>
      <w:rFonts w:ascii="Calibri" w:hAnsi="Calibri" w:eastAsia="宋体" w:cs="Times New Roman"/>
      <w:kern w:val="2"/>
      <w:sz w:val="21"/>
      <w:szCs w:val="21"/>
      <w:lang w:val="en-US" w:eastAsia="zh-CN" w:bidi="ar-SA"/>
    </w:rPr>
  </w:style>
  <w:style w:type="paragraph" w:customStyle="1" w:styleId="250">
    <w:name w:val="修订2"/>
    <w:hidden/>
    <w:semiHidden/>
    <w:qFormat/>
    <w:uiPriority w:val="99"/>
    <w:rPr>
      <w:rFonts w:ascii="Calibri" w:hAnsi="Calibri" w:eastAsia="宋体" w:cs="Times New Roman"/>
      <w:kern w:val="2"/>
      <w:sz w:val="21"/>
      <w:szCs w:val="21"/>
      <w:lang w:val="en-US" w:eastAsia="zh-CN" w:bidi="ar-SA"/>
    </w:rPr>
  </w:style>
  <w:style w:type="paragraph" w:customStyle="1" w:styleId="25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52">
    <w:name w:val="正文表标题"/>
    <w:basedOn w:val="1"/>
    <w:next w:val="1"/>
    <w:qFormat/>
    <w:uiPriority w:val="0"/>
    <w:pPr>
      <w:widowControl/>
      <w:adjustRightInd/>
      <w:spacing w:beforeLines="50" w:afterLines="50" w:line="240" w:lineRule="auto"/>
      <w:jc w:val="center"/>
    </w:pPr>
    <w:rPr>
      <w:rFonts w:ascii="黑体" w:hAnsi="黑体" w:eastAsia="黑体" w:cs="宋体"/>
      <w:kern w:val="0"/>
    </w:rPr>
  </w:style>
  <w:style w:type="paragraph" w:customStyle="1" w:styleId="253">
    <w:name w:val="修订3"/>
    <w:hidden/>
    <w:semiHidden/>
    <w:qFormat/>
    <w:uiPriority w:val="99"/>
    <w:rPr>
      <w:rFonts w:ascii="Calibri" w:hAnsi="Calibri" w:eastAsia="宋体" w:cs="Times New Roman"/>
      <w:kern w:val="2"/>
      <w:sz w:val="21"/>
      <w:szCs w:val="21"/>
      <w:lang w:val="en-US" w:eastAsia="zh-CN" w:bidi="ar-SA"/>
    </w:rPr>
  </w:style>
  <w:style w:type="paragraph" w:customStyle="1" w:styleId="25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5">
    <w:name w:val="发布"/>
    <w:qFormat/>
    <w:uiPriority w:val="0"/>
    <w:rPr>
      <w:rFonts w:ascii="黑体" w:eastAsia="黑体"/>
      <w:spacing w:val="85"/>
      <w:w w:val="100"/>
      <w:position w:val="3"/>
      <w:sz w:val="28"/>
      <w:szCs w:val="28"/>
    </w:rPr>
  </w:style>
  <w:style w:type="character" w:customStyle="1" w:styleId="256">
    <w:name w:val="批注文字 字符"/>
    <w:basedOn w:val="32"/>
    <w:link w:val="13"/>
    <w:semiHidden/>
    <w:qFormat/>
    <w:uiPriority w:val="99"/>
    <w:rPr>
      <w:rFonts w:ascii="Calibri" w:hAnsi="Calibri" w:eastAsia="宋体" w:cs="Times New Roman"/>
      <w:szCs w:val="21"/>
    </w:rPr>
  </w:style>
  <w:style w:type="character" w:customStyle="1" w:styleId="257">
    <w:name w:val="批注主题 字符"/>
    <w:basedOn w:val="256"/>
    <w:link w:val="29"/>
    <w:qFormat/>
    <w:uiPriority w:val="0"/>
    <w:rPr>
      <w:rFonts w:ascii="Times New Roman" w:hAnsi="Times New Roman" w:eastAsia="宋体" w:cs="Times New Roman"/>
      <w:b/>
      <w:bCs/>
      <w:szCs w:val="24"/>
    </w:rPr>
  </w:style>
  <w:style w:type="paragraph" w:customStyle="1" w:styleId="258">
    <w:name w:val="前言、引言标题"/>
    <w:next w:val="23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9">
    <w:name w:val="附录标识"/>
    <w:basedOn w:val="1"/>
    <w:next w:val="236"/>
    <w:qFormat/>
    <w:uiPriority w:val="0"/>
    <w:pPr>
      <w:keepNext/>
      <w:widowControl/>
      <w:shd w:val="clear" w:color="FFFFFF" w:fill="FFFFFF"/>
      <w:tabs>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60">
    <w:name w:val="附录表标号"/>
    <w:basedOn w:val="1"/>
    <w:next w:val="236"/>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61">
    <w:name w:val="附录表标题"/>
    <w:basedOn w:val="1"/>
    <w:next w:val="236"/>
    <w:qFormat/>
    <w:uiPriority w:val="0"/>
    <w:pPr>
      <w:numPr>
        <w:ilvl w:val="1"/>
        <w:numId w:val="33"/>
      </w:numPr>
      <w:tabs>
        <w:tab w:val="left" w:pos="0"/>
        <w:tab w:val="left" w:pos="180"/>
      </w:tabs>
      <w:adjustRightInd/>
      <w:spacing w:beforeLines="50" w:afterLines="50" w:line="240" w:lineRule="auto"/>
      <w:jc w:val="center"/>
    </w:pPr>
    <w:rPr>
      <w:rFonts w:ascii="黑体" w:hAnsi="Times New Roman" w:eastAsia="黑体"/>
    </w:rPr>
  </w:style>
  <w:style w:type="paragraph" w:customStyle="1" w:styleId="262">
    <w:name w:val="附录二级条标题"/>
    <w:basedOn w:val="1"/>
    <w:next w:val="236"/>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63">
    <w:name w:val="附录三级条标题"/>
    <w:basedOn w:val="262"/>
    <w:next w:val="236"/>
    <w:qFormat/>
    <w:uiPriority w:val="0"/>
    <w:pPr>
      <w:outlineLvl w:val="4"/>
    </w:pPr>
  </w:style>
  <w:style w:type="paragraph" w:customStyle="1" w:styleId="264">
    <w:name w:val="附录四级条标题"/>
    <w:basedOn w:val="263"/>
    <w:next w:val="236"/>
    <w:qFormat/>
    <w:uiPriority w:val="0"/>
    <w:pPr>
      <w:outlineLvl w:val="5"/>
    </w:pPr>
  </w:style>
  <w:style w:type="paragraph" w:customStyle="1" w:styleId="265">
    <w:name w:val="附录五级条标题"/>
    <w:basedOn w:val="264"/>
    <w:next w:val="236"/>
    <w:qFormat/>
    <w:uiPriority w:val="0"/>
    <w:pPr>
      <w:outlineLvl w:val="6"/>
    </w:pPr>
  </w:style>
  <w:style w:type="paragraph" w:customStyle="1" w:styleId="266">
    <w:name w:val="附录章标题"/>
    <w:next w:val="236"/>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67">
    <w:name w:val="附录一级条标题"/>
    <w:basedOn w:val="266"/>
    <w:next w:val="236"/>
    <w:qFormat/>
    <w:uiPriority w:val="0"/>
    <w:pPr>
      <w:autoSpaceDN w:val="0"/>
      <w:spacing w:beforeLines="50" w:afterLines="50"/>
      <w:ind w:left="142"/>
      <w:outlineLvl w:val="2"/>
    </w:pPr>
  </w:style>
  <w:style w:type="paragraph" w:customStyle="1" w:styleId="268">
    <w:name w:val="修订4"/>
    <w:hidden/>
    <w:unhideWhenUsed/>
    <w:qFormat/>
    <w:uiPriority w:val="99"/>
    <w:rPr>
      <w:rFonts w:ascii="Calibri" w:hAnsi="Calibri" w:eastAsia="宋体" w:cs="Times New Roman"/>
      <w:kern w:val="2"/>
      <w:sz w:val="21"/>
      <w:szCs w:val="21"/>
      <w:lang w:val="en-US" w:eastAsia="zh-CN" w:bidi="ar-SA"/>
    </w:rPr>
  </w:style>
  <w:style w:type="character" w:customStyle="1" w:styleId="269">
    <w:name w:val="不明显参考2"/>
    <w:qFormat/>
    <w:uiPriority w:val="31"/>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0.jpeg"/><Relationship Id="rId27" Type="http://schemas.openxmlformats.org/officeDocument/2006/relationships/image" Target="media/image9.png"/><Relationship Id="rId26" Type="http://schemas.openxmlformats.org/officeDocument/2006/relationships/image" Target="media/image8.jpeg"/><Relationship Id="rId25" Type="http://schemas.openxmlformats.org/officeDocument/2006/relationships/image" Target="media/image7.emf"/><Relationship Id="rId24" Type="http://schemas.openxmlformats.org/officeDocument/2006/relationships/oleObject" Target="embeddings/Microsoft_Visio_2003-2010___1.vsd"/><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jpe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C40ECBF62A4F75B70425CC74A72ABC"/>
        <w:style w:val=""/>
        <w:category>
          <w:name w:val="常规"/>
          <w:gallery w:val="placeholder"/>
        </w:category>
        <w:types>
          <w:type w:val="bbPlcHdr"/>
        </w:types>
        <w:behaviors>
          <w:behavior w:val="content"/>
        </w:behaviors>
        <w:description w:val=""/>
        <w:guid w:val="{F934F6DB-90D2-4092-8AAF-46E9480128EE}"/>
      </w:docPartPr>
      <w:docPartBody>
        <w:p w14:paraId="740FC3C1">
          <w:pPr>
            <w:pStyle w:val="5"/>
            <w:rPr>
              <w:rFonts w:hint="eastAsia"/>
            </w:rPr>
          </w:pPr>
          <w:r>
            <w:rPr>
              <w:rStyle w:val="4"/>
              <w:rFonts w:hint="eastAsia"/>
            </w:rPr>
            <w:t>单击或点击此处输入文字。</w:t>
          </w:r>
        </w:p>
      </w:docPartBody>
    </w:docPart>
    <w:docPart>
      <w:docPartPr>
        <w:name w:val="3FAC0F25FC8C43569B1190E3F8806519"/>
        <w:style w:val=""/>
        <w:category>
          <w:name w:val="常规"/>
          <w:gallery w:val="placeholder"/>
        </w:category>
        <w:types>
          <w:type w:val="bbPlcHdr"/>
        </w:types>
        <w:behaviors>
          <w:behavior w:val="content"/>
        </w:behaviors>
        <w:description w:val=""/>
        <w:guid w:val="{94DB3006-5E23-426D-A45C-C7EF1CC36BD4}"/>
      </w:docPartPr>
      <w:docPartBody>
        <w:p w14:paraId="020062A6">
          <w:pPr>
            <w:pStyle w:val="6"/>
            <w:rPr>
              <w:rFonts w:hint="eastAsia"/>
            </w:rPr>
          </w:pPr>
          <w:r>
            <w:rPr>
              <w:rStyle w:val="4"/>
              <w:rFonts w:hint="eastAsia"/>
            </w:rPr>
            <w:t>选择一项。</w:t>
          </w:r>
        </w:p>
      </w:docPartBody>
    </w:docPart>
    <w:docPart>
      <w:docPartPr>
        <w:name w:val="40A6B442C482456B8F790CD87694ABC1"/>
        <w:style w:val=""/>
        <w:category>
          <w:name w:val="常规"/>
          <w:gallery w:val="placeholder"/>
        </w:category>
        <w:types>
          <w:type w:val="bbPlcHdr"/>
        </w:types>
        <w:behaviors>
          <w:behavior w:val="content"/>
        </w:behaviors>
        <w:description w:val=""/>
        <w:guid w:val="{BFD21BD4-EF7A-4428-B95C-ABC9BC79FAEE}"/>
      </w:docPartPr>
      <w:docPartBody>
        <w:p w14:paraId="228F0F40">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B4"/>
    <w:rsid w:val="00006221"/>
    <w:rsid w:val="00015656"/>
    <w:rsid w:val="00020E61"/>
    <w:rsid w:val="000433D6"/>
    <w:rsid w:val="00062D2F"/>
    <w:rsid w:val="00070B0F"/>
    <w:rsid w:val="0009570D"/>
    <w:rsid w:val="00122DAC"/>
    <w:rsid w:val="00160EAA"/>
    <w:rsid w:val="00173930"/>
    <w:rsid w:val="001B51CF"/>
    <w:rsid w:val="00236D4C"/>
    <w:rsid w:val="002373E9"/>
    <w:rsid w:val="002526E1"/>
    <w:rsid w:val="00253F47"/>
    <w:rsid w:val="00266BFB"/>
    <w:rsid w:val="00277281"/>
    <w:rsid w:val="002810CC"/>
    <w:rsid w:val="002A2FD1"/>
    <w:rsid w:val="002B51DC"/>
    <w:rsid w:val="00315C1B"/>
    <w:rsid w:val="00342CC3"/>
    <w:rsid w:val="0034658F"/>
    <w:rsid w:val="00352832"/>
    <w:rsid w:val="00354146"/>
    <w:rsid w:val="003766DB"/>
    <w:rsid w:val="00391A7C"/>
    <w:rsid w:val="00397314"/>
    <w:rsid w:val="003D00E5"/>
    <w:rsid w:val="003E13AF"/>
    <w:rsid w:val="003E47A5"/>
    <w:rsid w:val="00464F9D"/>
    <w:rsid w:val="00475CBF"/>
    <w:rsid w:val="004949FD"/>
    <w:rsid w:val="004B564F"/>
    <w:rsid w:val="004F0B0C"/>
    <w:rsid w:val="00506769"/>
    <w:rsid w:val="005360E6"/>
    <w:rsid w:val="0054450B"/>
    <w:rsid w:val="0058659D"/>
    <w:rsid w:val="005C659B"/>
    <w:rsid w:val="005E476C"/>
    <w:rsid w:val="005F7DBA"/>
    <w:rsid w:val="00621A6B"/>
    <w:rsid w:val="00623B9C"/>
    <w:rsid w:val="006240AB"/>
    <w:rsid w:val="00652AC5"/>
    <w:rsid w:val="00673B60"/>
    <w:rsid w:val="00675BD4"/>
    <w:rsid w:val="006861B4"/>
    <w:rsid w:val="007077B1"/>
    <w:rsid w:val="00736BF0"/>
    <w:rsid w:val="00762D82"/>
    <w:rsid w:val="00780E54"/>
    <w:rsid w:val="007A05A1"/>
    <w:rsid w:val="007A13E7"/>
    <w:rsid w:val="007B43AA"/>
    <w:rsid w:val="007D5EF4"/>
    <w:rsid w:val="007E3099"/>
    <w:rsid w:val="007E43C0"/>
    <w:rsid w:val="00845809"/>
    <w:rsid w:val="0085133C"/>
    <w:rsid w:val="00864C10"/>
    <w:rsid w:val="00873BC0"/>
    <w:rsid w:val="008A50D6"/>
    <w:rsid w:val="008E246C"/>
    <w:rsid w:val="00915E0F"/>
    <w:rsid w:val="009506E9"/>
    <w:rsid w:val="009865EA"/>
    <w:rsid w:val="009A39F5"/>
    <w:rsid w:val="009C5750"/>
    <w:rsid w:val="009E15D8"/>
    <w:rsid w:val="009F4AD3"/>
    <w:rsid w:val="00A07E57"/>
    <w:rsid w:val="00A120B2"/>
    <w:rsid w:val="00A70E2C"/>
    <w:rsid w:val="00A71533"/>
    <w:rsid w:val="00A745D5"/>
    <w:rsid w:val="00A95D4E"/>
    <w:rsid w:val="00AB6511"/>
    <w:rsid w:val="00AE6D19"/>
    <w:rsid w:val="00B36BEA"/>
    <w:rsid w:val="00B47ED4"/>
    <w:rsid w:val="00B47EEB"/>
    <w:rsid w:val="00B87F1E"/>
    <w:rsid w:val="00B94B62"/>
    <w:rsid w:val="00BB7A09"/>
    <w:rsid w:val="00C52F46"/>
    <w:rsid w:val="00C64050"/>
    <w:rsid w:val="00C75A9E"/>
    <w:rsid w:val="00CA2F82"/>
    <w:rsid w:val="00CB7746"/>
    <w:rsid w:val="00CE6B71"/>
    <w:rsid w:val="00CF17DD"/>
    <w:rsid w:val="00D03561"/>
    <w:rsid w:val="00D52EE7"/>
    <w:rsid w:val="00D57506"/>
    <w:rsid w:val="00D61ACA"/>
    <w:rsid w:val="00D629C2"/>
    <w:rsid w:val="00D75844"/>
    <w:rsid w:val="00DA5CB6"/>
    <w:rsid w:val="00DB75CD"/>
    <w:rsid w:val="00E714DD"/>
    <w:rsid w:val="00E83FB8"/>
    <w:rsid w:val="00E90D72"/>
    <w:rsid w:val="00E939C2"/>
    <w:rsid w:val="00EA7985"/>
    <w:rsid w:val="00EB2BFE"/>
    <w:rsid w:val="00EB6AAA"/>
    <w:rsid w:val="00ED0E71"/>
    <w:rsid w:val="00ED652F"/>
    <w:rsid w:val="00F12475"/>
    <w:rsid w:val="00F66CAB"/>
    <w:rsid w:val="00F84B0F"/>
    <w:rsid w:val="00F85316"/>
    <w:rsid w:val="00FA31F0"/>
    <w:rsid w:val="00FA487F"/>
    <w:rsid w:val="00FC7A65"/>
    <w:rsid w:val="00FE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5C40ECBF62A4F75B70425CC74A72AB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FAC0F25FC8C43569B1190E3F880651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40A6B442C482456B8F790CD87694ABC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C3B17-95D2-4463-B719-A6CC16BFDC7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4103</Words>
  <Characters>5389</Characters>
  <Lines>292</Lines>
  <Paragraphs>220</Paragraphs>
  <TotalTime>7024</TotalTime>
  <ScaleCrop>false</ScaleCrop>
  <LinksUpToDate>false</LinksUpToDate>
  <CharactersWithSpaces>5885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2024-11-13T06:42:00Z</dcterms:created>
  <dc:creator>岳 国义</dc:creator>
  <cp:lastModifiedBy>老兔子</cp:lastModifiedBy>
  <dcterms:modified xsi:type="dcterms:W3CDTF">2025-11-24T08:08:53Z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27174F49E3964E62964B90B594D177E0_13</vt:lpwstr>
  </property>
  <property fmtid="{D5CDD505-2E9C-101B-9397-08002B2CF9AE}" pid="4" name="KSOTemplateDocerSaveRecord">
    <vt:lpwstr>eyJoZGlkIjoiODE2ZmIwNmJmZTI5ZWNhNTI3M2U2MzliNWE3ZmM3MWEiLCJ1c2VySWQiOiIxMDI2NjMzMDU4In0=</vt:lpwstr>
  </property>
</Properties>
</file>