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6F7C7">
      <w:pPr>
        <w:pStyle w:val="2"/>
        <w:jc w:val="center"/>
        <w:rPr>
          <w:rFonts w:ascii="Times New Roman" w:hAnsi="Times New Roman" w:eastAsia="黑体"/>
          <w:sz w:val="52"/>
          <w:szCs w:val="52"/>
        </w:rPr>
      </w:pPr>
      <w:r>
        <w:rPr>
          <w:rFonts w:hint="eastAsia" w:ascii="Times New Roman" w:hAnsi="Times New Roman" w:eastAsia="黑体"/>
          <w:sz w:val="52"/>
          <w:szCs w:val="52"/>
        </w:rPr>
        <w:t>中国仪器仪表行业协会团体标准</w:t>
      </w:r>
    </w:p>
    <w:p w14:paraId="2EAC517B">
      <w:pPr>
        <w:rPr>
          <w:rFonts w:ascii="Times New Roman" w:hAnsi="Times New Roman" w:eastAsia="黑体"/>
          <w:sz w:val="52"/>
          <w:szCs w:val="52"/>
        </w:rPr>
      </w:pPr>
    </w:p>
    <w:p w14:paraId="23BE9A67">
      <w:pPr>
        <w:pStyle w:val="2"/>
        <w:rPr>
          <w:rFonts w:ascii="Times New Roman" w:hAnsi="Times New Roman"/>
        </w:rPr>
      </w:pPr>
      <w:r>
        <w:rPr>
          <w:rFonts w:hint="eastAsia" w:ascii="Times New Roman" w:hAnsi="Times New Roman"/>
        </w:rPr>
        <w:t>《单相交流标准电能表瞬联电气接口技术规范》</w:t>
      </w:r>
    </w:p>
    <w:p w14:paraId="6236162A">
      <w:pPr>
        <w:rPr>
          <w:rFonts w:ascii="Times New Roman" w:hAnsi="Times New Roman"/>
          <w:sz w:val="32"/>
          <w:szCs w:val="32"/>
        </w:rPr>
      </w:pPr>
    </w:p>
    <w:p w14:paraId="4FFD44AA">
      <w:pPr>
        <w:rPr>
          <w:rFonts w:ascii="Times New Roman" w:hAnsi="Times New Roman"/>
          <w:sz w:val="32"/>
          <w:szCs w:val="32"/>
        </w:rPr>
      </w:pPr>
    </w:p>
    <w:p w14:paraId="42400DD1">
      <w:pPr>
        <w:rPr>
          <w:rFonts w:ascii="Times New Roman" w:hAnsi="Times New Roman"/>
          <w:sz w:val="32"/>
          <w:szCs w:val="32"/>
        </w:rPr>
      </w:pPr>
    </w:p>
    <w:p w14:paraId="2E5EDF85">
      <w:pPr>
        <w:pStyle w:val="2"/>
        <w:jc w:val="center"/>
        <w:rPr>
          <w:rFonts w:ascii="Times New Roman" w:hAnsi="Times New Roman"/>
        </w:rPr>
      </w:pPr>
      <w:r>
        <w:rPr>
          <w:rFonts w:hint="eastAsia" w:ascii="Times New Roman" w:hAnsi="Times New Roman"/>
        </w:rPr>
        <w:t>编制说明</w:t>
      </w:r>
    </w:p>
    <w:p w14:paraId="08B1CDEE">
      <w:pPr>
        <w:jc w:val="center"/>
        <w:rPr>
          <w:rFonts w:ascii="Times New Roman" w:hAnsi="Times New Roman"/>
          <w:sz w:val="28"/>
          <w:szCs w:val="28"/>
        </w:rPr>
      </w:pPr>
      <w:r>
        <w:rPr>
          <w:rFonts w:hint="eastAsia" w:ascii="Times New Roman" w:hAnsi="Times New Roman"/>
          <w:sz w:val="28"/>
          <w:szCs w:val="28"/>
        </w:rPr>
        <w:t>（</w:t>
      </w:r>
      <w:r>
        <w:rPr>
          <w:rFonts w:hint="eastAsia" w:ascii="Times New Roman" w:hAnsi="Times New Roman"/>
          <w:b/>
          <w:bCs/>
          <w:sz w:val="28"/>
          <w:szCs w:val="28"/>
          <w:lang w:val="en-US" w:eastAsia="zh-CN"/>
        </w:rPr>
        <w:t>征求意见</w:t>
      </w:r>
      <w:r>
        <w:rPr>
          <w:rFonts w:hint="eastAsia" w:ascii="Times New Roman" w:hAnsi="Times New Roman"/>
          <w:b/>
          <w:bCs/>
          <w:sz w:val="28"/>
          <w:szCs w:val="28"/>
        </w:rPr>
        <w:t>稿</w:t>
      </w:r>
      <w:r>
        <w:rPr>
          <w:rFonts w:hint="eastAsia" w:ascii="Times New Roman" w:hAnsi="Times New Roman"/>
          <w:sz w:val="28"/>
          <w:szCs w:val="28"/>
        </w:rPr>
        <w:t>）</w:t>
      </w:r>
    </w:p>
    <w:p w14:paraId="2835EA6B">
      <w:pPr>
        <w:rPr>
          <w:rFonts w:ascii="Times New Roman" w:hAnsi="Times New Roman"/>
          <w:sz w:val="28"/>
          <w:szCs w:val="28"/>
        </w:rPr>
      </w:pPr>
      <w:r>
        <w:rPr>
          <w:rFonts w:hint="eastAsia" w:ascii="Times New Roman" w:hAnsi="Times New Roman"/>
          <w:sz w:val="28"/>
          <w:szCs w:val="28"/>
        </w:rPr>
        <w:t xml:space="preserve">                          </w:t>
      </w:r>
    </w:p>
    <w:p w14:paraId="376EE53C">
      <w:pPr>
        <w:rPr>
          <w:rFonts w:ascii="Times New Roman" w:hAnsi="Times New Roman"/>
          <w:sz w:val="28"/>
          <w:szCs w:val="28"/>
        </w:rPr>
      </w:pPr>
    </w:p>
    <w:p w14:paraId="345D0AE3">
      <w:pPr>
        <w:rPr>
          <w:rFonts w:ascii="Times New Roman" w:hAnsi="Times New Roman"/>
          <w:sz w:val="28"/>
          <w:szCs w:val="28"/>
        </w:rPr>
      </w:pPr>
    </w:p>
    <w:p w14:paraId="70776301">
      <w:pPr>
        <w:rPr>
          <w:rFonts w:ascii="Times New Roman" w:hAnsi="Times New Roman"/>
          <w:sz w:val="28"/>
          <w:szCs w:val="28"/>
        </w:rPr>
      </w:pPr>
    </w:p>
    <w:p w14:paraId="2F1E1493">
      <w:pPr>
        <w:rPr>
          <w:rFonts w:ascii="Times New Roman" w:hAnsi="Times New Roman"/>
          <w:sz w:val="28"/>
          <w:szCs w:val="28"/>
        </w:rPr>
      </w:pPr>
    </w:p>
    <w:p w14:paraId="300824F1">
      <w:pPr>
        <w:jc w:val="center"/>
        <w:rPr>
          <w:rFonts w:ascii="Times New Roman" w:hAnsi="Times New Roman"/>
          <w:sz w:val="28"/>
          <w:szCs w:val="28"/>
        </w:rPr>
      </w:pPr>
      <w:r>
        <w:rPr>
          <w:rFonts w:hint="eastAsia" w:ascii="Times New Roman" w:hAnsi="Times New Roman"/>
          <w:sz w:val="28"/>
          <w:szCs w:val="28"/>
        </w:rPr>
        <w:t>202511</w:t>
      </w:r>
    </w:p>
    <w:p w14:paraId="437E0DB6">
      <w:pPr>
        <w:pStyle w:val="22"/>
        <w:ind w:firstLine="0" w:firstLineChars="0"/>
        <w:jc w:val="center"/>
        <w:rPr>
          <w:rFonts w:hint="eastAsia" w:ascii="黑体" w:hAnsi="黑体" w:eastAsia="黑体" w:cs="黑体"/>
          <w:sz w:val="28"/>
          <w:szCs w:val="28"/>
        </w:rPr>
      </w:pPr>
    </w:p>
    <w:p w14:paraId="55E0E8FD">
      <w:pPr>
        <w:pStyle w:val="22"/>
        <w:ind w:firstLine="1400" w:firstLineChars="500"/>
        <w:jc w:val="left"/>
        <w:rPr>
          <w:rFonts w:hint="eastAsia" w:ascii="黑体" w:hAnsi="黑体" w:eastAsia="黑体" w:cs="黑体"/>
          <w:sz w:val="28"/>
          <w:szCs w:val="28"/>
        </w:rPr>
      </w:pPr>
    </w:p>
    <w:p w14:paraId="1A334AD7">
      <w:pPr>
        <w:pStyle w:val="22"/>
        <w:ind w:firstLine="0" w:firstLineChars="0"/>
        <w:jc w:val="left"/>
        <w:rPr>
          <w:rFonts w:hint="eastAsia" w:ascii="黑体" w:hAnsi="黑体" w:eastAsia="黑体" w:cs="黑体"/>
          <w:sz w:val="28"/>
          <w:szCs w:val="28"/>
        </w:rPr>
      </w:pPr>
    </w:p>
    <w:p w14:paraId="3CCAEBC7">
      <w:pPr>
        <w:pStyle w:val="24"/>
        <w:spacing w:before="360" w:after="360"/>
        <w:rPr>
          <w:rFonts w:hint="eastAsia" w:hAnsi="黑体" w:cs="黑体"/>
          <w:shd w:val="clear" w:color="auto" w:fill="FFFFFF"/>
        </w:rPr>
        <w:sectPr>
          <w:pgSz w:w="11906" w:h="16838"/>
          <w:pgMar w:top="1440" w:right="1800" w:bottom="1440" w:left="1800" w:header="851" w:footer="992" w:gutter="0"/>
          <w:cols w:space="720" w:num="1"/>
          <w:docGrid w:type="lines" w:linePitch="312" w:charSpace="0"/>
        </w:sectPr>
      </w:pPr>
    </w:p>
    <w:p w14:paraId="4FC40AAF">
      <w:pPr>
        <w:pStyle w:val="3"/>
        <w:rPr>
          <w:rFonts w:hint="eastAsia" w:ascii="宋体" w:hAnsi="宋体" w:cs="宋体"/>
          <w:sz w:val="28"/>
          <w:szCs w:val="28"/>
        </w:rPr>
      </w:pPr>
      <w:r>
        <w:rPr>
          <w:rFonts w:hint="eastAsia" w:ascii="宋体" w:hAnsi="宋体" w:cs="宋体"/>
          <w:sz w:val="28"/>
          <w:szCs w:val="28"/>
        </w:rPr>
        <w:t>一、工作简况</w:t>
      </w:r>
    </w:p>
    <w:p w14:paraId="2EDAA9CD">
      <w:pPr>
        <w:rPr>
          <w:rFonts w:hint="eastAsia" w:ascii="宋体" w:hAnsi="宋体" w:cs="宋体"/>
          <w:sz w:val="28"/>
          <w:szCs w:val="28"/>
        </w:rPr>
      </w:pPr>
      <w:r>
        <w:rPr>
          <w:rFonts w:hint="eastAsia" w:ascii="宋体" w:hAnsi="宋体" w:cs="宋体"/>
          <w:sz w:val="28"/>
          <w:szCs w:val="28"/>
        </w:rPr>
        <w:t>1．任务来源</w:t>
      </w:r>
      <w:r>
        <w:rPr>
          <w:rFonts w:hint="eastAsia"/>
        </w:rPr>
        <w:t xml:space="preserve"> </w:t>
      </w:r>
    </w:p>
    <w:p w14:paraId="15B0E93A">
      <w:pPr>
        <w:pStyle w:val="3"/>
        <w:ind w:firstLine="480" w:firstLineChars="200"/>
        <w:rPr>
          <w:rFonts w:ascii="Calibri" w:hAnsi="Calibri"/>
          <w:b w:val="0"/>
          <w:bCs w:val="0"/>
          <w:kern w:val="2"/>
          <w:sz w:val="24"/>
          <w:szCs w:val="24"/>
        </w:rPr>
      </w:pPr>
      <w:r>
        <w:rPr>
          <w:rFonts w:hint="eastAsia" w:ascii="宋体" w:hAnsi="宋体" w:eastAsia="宋体" w:cs="宋体"/>
          <w:b w:val="0"/>
          <w:bCs w:val="0"/>
          <w:kern w:val="2"/>
          <w:sz w:val="24"/>
          <w:szCs w:val="24"/>
          <w:highlight w:val="none"/>
        </w:rPr>
        <w:t>本团体标准根据中国仪器仪表行业协会同意</w:t>
      </w:r>
      <w:r>
        <w:rPr>
          <w:rFonts w:hint="eastAsia" w:ascii="宋体" w:hAnsi="宋体" w:eastAsia="宋体" w:cs="宋体"/>
          <w:b w:val="0"/>
          <w:bCs w:val="0"/>
          <w:kern w:val="2"/>
          <w:sz w:val="24"/>
          <w:szCs w:val="24"/>
          <w:highlight w:val="none"/>
          <w:lang w:eastAsia="zh-CN"/>
        </w:rPr>
        <w:t>《</w:t>
      </w:r>
      <w:r>
        <w:rPr>
          <w:rFonts w:hint="eastAsia" w:ascii="宋体" w:hAnsi="宋体" w:eastAsia="宋体" w:cs="宋体"/>
          <w:b w:val="0"/>
          <w:bCs w:val="0"/>
          <w:color w:val="000000"/>
          <w:kern w:val="2"/>
          <w:sz w:val="24"/>
          <w:szCs w:val="24"/>
          <w:highlight w:val="none"/>
          <w:lang w:val="en-US" w:eastAsia="zh-CN" w:bidi="ar-SA"/>
        </w:rPr>
        <w:t>关于</w:t>
      </w:r>
      <w:r>
        <w:rPr>
          <w:rFonts w:hint="eastAsia" w:ascii="宋体" w:hAnsi="宋体" w:cs="宋体"/>
          <w:b w:val="0"/>
          <w:bCs w:val="0"/>
          <w:color w:val="000000"/>
          <w:kern w:val="2"/>
          <w:sz w:val="24"/>
          <w:szCs w:val="24"/>
          <w:highlight w:val="none"/>
          <w:lang w:val="en-US" w:eastAsia="zh-CN" w:bidi="ar-SA"/>
        </w:rPr>
        <w:t>&lt;</w:t>
      </w:r>
      <w:r>
        <w:rPr>
          <w:rFonts w:hint="eastAsia" w:ascii="宋体" w:hAnsi="宋体" w:eastAsia="宋体" w:cs="宋体"/>
          <w:b w:val="0"/>
          <w:bCs w:val="0"/>
          <w:color w:val="000000"/>
          <w:kern w:val="2"/>
          <w:sz w:val="24"/>
          <w:szCs w:val="24"/>
          <w:highlight w:val="none"/>
          <w:lang w:val="en-US" w:eastAsia="zh-CN" w:bidi="ar-SA"/>
        </w:rPr>
        <w:t>反窃电智能诊断模型评价导则</w:t>
      </w:r>
      <w:r>
        <w:rPr>
          <w:rFonts w:hint="eastAsia" w:ascii="宋体" w:hAnsi="宋体" w:cs="宋体"/>
          <w:b w:val="0"/>
          <w:bCs w:val="0"/>
          <w:color w:val="000000"/>
          <w:kern w:val="2"/>
          <w:sz w:val="24"/>
          <w:szCs w:val="24"/>
          <w:highlight w:val="none"/>
          <w:lang w:val="en-US" w:eastAsia="zh-CN" w:bidi="ar-SA"/>
        </w:rPr>
        <w:t>&gt;</w:t>
      </w:r>
      <w:r>
        <w:rPr>
          <w:rFonts w:hint="eastAsia" w:ascii="宋体" w:hAnsi="宋体" w:eastAsia="宋体" w:cs="宋体"/>
          <w:b w:val="0"/>
          <w:bCs w:val="0"/>
          <w:color w:val="000000"/>
          <w:kern w:val="2"/>
          <w:sz w:val="24"/>
          <w:szCs w:val="24"/>
          <w:highlight w:val="none"/>
          <w:lang w:val="en-US" w:eastAsia="zh-CN" w:bidi="ar-SA"/>
        </w:rPr>
        <w:t>等 10 项团体标准立项的批复》</w:t>
      </w:r>
      <w:r>
        <w:rPr>
          <w:rFonts w:hint="eastAsia" w:ascii="宋体" w:hAnsi="宋体" w:eastAsia="宋体" w:cs="宋体"/>
          <w:b w:val="0"/>
          <w:bCs w:val="0"/>
          <w:kern w:val="2"/>
          <w:sz w:val="24"/>
          <w:szCs w:val="24"/>
          <w:highlight w:val="none"/>
        </w:rPr>
        <w:t>（中仪协 [202</w:t>
      </w:r>
      <w:r>
        <w:rPr>
          <w:rFonts w:hint="eastAsia" w:ascii="宋体" w:hAnsi="宋体" w:cs="宋体"/>
          <w:b w:val="0"/>
          <w:bCs w:val="0"/>
          <w:kern w:val="2"/>
          <w:sz w:val="24"/>
          <w:szCs w:val="24"/>
          <w:highlight w:val="none"/>
          <w:lang w:val="en-US" w:eastAsia="zh-CN"/>
        </w:rPr>
        <w:t>5</w:t>
      </w:r>
      <w:r>
        <w:rPr>
          <w:rFonts w:hint="eastAsia" w:ascii="宋体" w:hAnsi="宋体" w:eastAsia="宋体" w:cs="宋体"/>
          <w:b w:val="0"/>
          <w:bCs w:val="0"/>
          <w:kern w:val="2"/>
          <w:sz w:val="24"/>
          <w:szCs w:val="24"/>
          <w:highlight w:val="none"/>
        </w:rPr>
        <w:t>]</w:t>
      </w:r>
      <w:r>
        <w:rPr>
          <w:rFonts w:hint="eastAsia" w:ascii="宋体" w:hAnsi="宋体" w:eastAsia="宋体" w:cs="宋体"/>
          <w:b w:val="0"/>
          <w:bCs w:val="0"/>
          <w:kern w:val="2"/>
          <w:sz w:val="24"/>
          <w:szCs w:val="24"/>
          <w:highlight w:val="none"/>
          <w:lang w:val="en-US" w:eastAsia="zh-CN"/>
        </w:rPr>
        <w:t>2</w:t>
      </w:r>
      <w:r>
        <w:rPr>
          <w:rFonts w:hint="eastAsia" w:ascii="宋体" w:hAnsi="宋体" w:eastAsia="宋体" w:cs="宋体"/>
          <w:b w:val="0"/>
          <w:bCs w:val="0"/>
          <w:kern w:val="2"/>
          <w:sz w:val="24"/>
          <w:szCs w:val="24"/>
          <w:highlight w:val="none"/>
        </w:rPr>
        <w:t>号）文件立项</w:t>
      </w:r>
      <w:r>
        <w:rPr>
          <w:rFonts w:hint="eastAsia" w:ascii="Calibri" w:hAnsi="Calibri"/>
          <w:b w:val="0"/>
          <w:bCs w:val="0"/>
          <w:color w:val="000000" w:themeColor="text1"/>
          <w:kern w:val="2"/>
          <w:sz w:val="24"/>
          <w:szCs w:val="24"/>
          <w14:textFill>
            <w14:solidFill>
              <w14:schemeClr w14:val="tx1"/>
            </w14:solidFill>
          </w14:textFill>
        </w:rPr>
        <w:t>，项目名称为：《单相交流标准电能表电气接口技术规范》，项目编号为：</w:t>
      </w:r>
      <w:r>
        <w:rPr>
          <w:rFonts w:ascii="Calibri" w:hAnsi="Calibri"/>
          <w:b w:val="0"/>
          <w:bCs w:val="0"/>
          <w:color w:val="000000" w:themeColor="text1"/>
          <w:kern w:val="2"/>
          <w:sz w:val="24"/>
          <w:szCs w:val="24"/>
          <w14:textFill>
            <w14:solidFill>
              <w14:schemeClr w14:val="tx1"/>
            </w14:solidFill>
          </w14:textFill>
        </w:rPr>
        <w:t>T/CIMA 0183</w:t>
      </w:r>
      <w:r>
        <w:rPr>
          <w:rFonts w:hint="eastAsia" w:ascii="Calibri" w:hAnsi="Calibri"/>
          <w:b w:val="0"/>
          <w:bCs w:val="0"/>
          <w:color w:val="000000" w:themeColor="text1"/>
          <w:kern w:val="2"/>
          <w:sz w:val="24"/>
          <w:szCs w:val="24"/>
          <w14:textFill>
            <w14:solidFill>
              <w14:schemeClr w14:val="tx1"/>
            </w14:solidFill>
          </w14:textFill>
        </w:rPr>
        <w:t>。本标准由中国仪器仪表行业协会电工仪器仪表分会提出，</w:t>
      </w:r>
      <w:r>
        <w:rPr>
          <w:rFonts w:hint="eastAsia" w:ascii="Times New Roman" w:hAnsi="Times New Roman"/>
          <w:b w:val="0"/>
          <w:bCs w:val="0"/>
          <w:color w:val="000000" w:themeColor="text1"/>
          <w:kern w:val="2"/>
          <w:sz w:val="24"/>
          <w:szCs w:val="24"/>
          <w14:textFill>
            <w14:solidFill>
              <w14:schemeClr w14:val="tx1"/>
            </w14:solidFill>
          </w14:textFill>
        </w:rPr>
        <w:t>由中国仪器仪表行业协会归口。</w:t>
      </w:r>
      <w:r>
        <w:rPr>
          <w:rFonts w:hint="eastAsia" w:ascii="Calibri" w:hAnsi="Calibri"/>
          <w:b w:val="0"/>
          <w:bCs w:val="0"/>
          <w:color w:val="000000" w:themeColor="text1"/>
          <w:kern w:val="2"/>
          <w:sz w:val="24"/>
          <w:szCs w:val="24"/>
          <w14:textFill>
            <w14:solidFill>
              <w14:schemeClr w14:val="tx1"/>
            </w14:solidFill>
          </w14:textFill>
        </w:rPr>
        <w:t>计划完成时间为</w:t>
      </w:r>
      <w:r>
        <w:rPr>
          <w:rFonts w:ascii="Calibri" w:hAnsi="Calibri"/>
          <w:b w:val="0"/>
          <w:bCs w:val="0"/>
          <w:color w:val="000000" w:themeColor="text1"/>
          <w:kern w:val="2"/>
          <w:sz w:val="24"/>
          <w:szCs w:val="24"/>
          <w14:textFill>
            <w14:solidFill>
              <w14:schemeClr w14:val="tx1"/>
            </w14:solidFill>
          </w14:textFill>
        </w:rPr>
        <w:t>202</w:t>
      </w:r>
      <w:r>
        <w:rPr>
          <w:rFonts w:hint="eastAsia" w:ascii="Calibri" w:hAnsi="Calibri"/>
          <w:b w:val="0"/>
          <w:bCs w:val="0"/>
          <w:color w:val="000000" w:themeColor="text1"/>
          <w:kern w:val="2"/>
          <w:sz w:val="24"/>
          <w:szCs w:val="24"/>
          <w14:textFill>
            <w14:solidFill>
              <w14:schemeClr w14:val="tx1"/>
            </w14:solidFill>
          </w14:textFill>
        </w:rPr>
        <w:t>6年。</w:t>
      </w:r>
    </w:p>
    <w:p w14:paraId="3EF0220C">
      <w:pPr>
        <w:pStyle w:val="3"/>
        <w:rPr>
          <w:rFonts w:hint="eastAsia" w:ascii="宋体" w:hAnsi="宋体" w:cs="宋体"/>
          <w:sz w:val="28"/>
          <w:szCs w:val="28"/>
        </w:rPr>
      </w:pPr>
      <w:r>
        <w:rPr>
          <w:rFonts w:hint="eastAsia" w:ascii="宋体" w:hAnsi="宋体" w:cs="宋体"/>
          <w:sz w:val="28"/>
          <w:szCs w:val="28"/>
        </w:rPr>
        <w:t>2</w:t>
      </w:r>
      <w:r>
        <w:rPr>
          <w:rFonts w:ascii="宋体" w:hAnsi="宋体" w:cs="宋体"/>
          <w:sz w:val="28"/>
          <w:szCs w:val="28"/>
        </w:rPr>
        <w:t>．主要工作过程</w:t>
      </w:r>
    </w:p>
    <w:p w14:paraId="1D57073E">
      <w:pPr>
        <w:spacing w:line="360" w:lineRule="auto"/>
        <w:ind w:firstLine="482" w:firstLineChars="200"/>
        <w:rPr>
          <w:rFonts w:hint="eastAsia" w:ascii="宋体" w:hAnsi="宋体" w:cs="宋体"/>
          <w:bCs/>
          <w:sz w:val="24"/>
          <w:szCs w:val="24"/>
        </w:rPr>
      </w:pPr>
      <w:r>
        <w:rPr>
          <w:rFonts w:ascii="宋体" w:hAnsi="宋体" w:cs="宋体"/>
          <w:b/>
          <w:bCs/>
          <w:sz w:val="24"/>
          <w:szCs w:val="24"/>
        </w:rPr>
        <w:t>202</w:t>
      </w:r>
      <w:r>
        <w:rPr>
          <w:rFonts w:hint="eastAsia" w:ascii="宋体" w:hAnsi="宋体" w:cs="宋体"/>
          <w:b/>
          <w:bCs/>
          <w:sz w:val="24"/>
          <w:szCs w:val="24"/>
        </w:rPr>
        <w:t>4</w:t>
      </w:r>
      <w:r>
        <w:rPr>
          <w:rFonts w:ascii="宋体" w:hAnsi="宋体" w:cs="宋体"/>
          <w:b/>
          <w:bCs/>
          <w:sz w:val="24"/>
          <w:szCs w:val="24"/>
        </w:rPr>
        <w:t>年</w:t>
      </w:r>
      <w:r>
        <w:rPr>
          <w:rFonts w:hint="eastAsia" w:ascii="宋体" w:hAnsi="宋体" w:cs="宋体"/>
          <w:b/>
          <w:bCs/>
          <w:sz w:val="24"/>
          <w:szCs w:val="24"/>
          <w:highlight w:val="none"/>
          <w:lang w:val="en-US" w:eastAsia="zh-CN"/>
        </w:rPr>
        <w:t>9</w:t>
      </w:r>
      <w:r>
        <w:rPr>
          <w:rFonts w:hint="eastAsia" w:ascii="宋体" w:hAnsi="宋体" w:cs="宋体"/>
          <w:b/>
          <w:bCs/>
          <w:sz w:val="24"/>
          <w:szCs w:val="24"/>
          <w:highlight w:val="none"/>
        </w:rPr>
        <w:t>月</w:t>
      </w:r>
      <w:r>
        <w:rPr>
          <w:rFonts w:hint="eastAsia" w:ascii="宋体" w:hAnsi="宋体" w:cs="宋体"/>
          <w:bCs/>
          <w:sz w:val="24"/>
          <w:szCs w:val="24"/>
        </w:rPr>
        <w:t>：</w:t>
      </w:r>
      <w:r>
        <w:rPr>
          <w:rFonts w:hint="eastAsia"/>
          <w:bCs/>
          <w:sz w:val="24"/>
          <w:szCs w:val="24"/>
        </w:rPr>
        <w:t>申请立项并上报标准的</w:t>
      </w:r>
      <w:r>
        <w:rPr>
          <w:rFonts w:hint="eastAsia" w:ascii="黑体" w:hAnsi="黑体" w:eastAsia="黑体" w:cs="黑体"/>
          <w:bCs/>
          <w:sz w:val="24"/>
          <w:szCs w:val="24"/>
        </w:rPr>
        <w:t>草案稿和项目建议书</w:t>
      </w:r>
      <w:r>
        <w:rPr>
          <w:rFonts w:hint="eastAsia"/>
          <w:bCs/>
          <w:sz w:val="24"/>
          <w:szCs w:val="24"/>
        </w:rPr>
        <w:t>，制定立项计划。</w:t>
      </w:r>
    </w:p>
    <w:p w14:paraId="2EBDAA0B">
      <w:pPr>
        <w:spacing w:line="360" w:lineRule="auto"/>
        <w:ind w:firstLine="482" w:firstLineChars="200"/>
        <w:rPr>
          <w:rFonts w:hint="eastAsia" w:ascii="宋体" w:hAnsi="宋体" w:cs="宋体"/>
          <w:bCs/>
          <w:sz w:val="24"/>
          <w:szCs w:val="24"/>
        </w:rPr>
      </w:pPr>
      <w:r>
        <w:rPr>
          <w:rFonts w:ascii="宋体" w:hAnsi="宋体" w:cs="宋体"/>
          <w:b/>
          <w:bCs/>
          <w:sz w:val="24"/>
          <w:szCs w:val="24"/>
        </w:rPr>
        <w:t>202</w:t>
      </w:r>
      <w:r>
        <w:rPr>
          <w:rFonts w:hint="eastAsia" w:ascii="宋体" w:hAnsi="宋体" w:cs="宋体"/>
          <w:b/>
          <w:bCs/>
          <w:sz w:val="24"/>
          <w:szCs w:val="24"/>
          <w:lang w:val="en-US" w:eastAsia="zh-CN"/>
        </w:rPr>
        <w:t>5</w:t>
      </w:r>
      <w:r>
        <w:rPr>
          <w:rFonts w:ascii="宋体" w:hAnsi="宋体" w:cs="宋体"/>
          <w:b/>
          <w:bCs/>
          <w:sz w:val="24"/>
          <w:szCs w:val="24"/>
        </w:rPr>
        <w:t>年1月</w:t>
      </w:r>
      <w:r>
        <w:rPr>
          <w:rFonts w:hint="eastAsia" w:ascii="宋体" w:hAnsi="宋体" w:cs="宋体"/>
          <w:bCs/>
          <w:sz w:val="24"/>
          <w:szCs w:val="24"/>
        </w:rPr>
        <w:t>：中国仪器仪表行业协会</w:t>
      </w:r>
      <w:r>
        <w:rPr>
          <w:rFonts w:hint="eastAsia" w:ascii="宋体" w:hAnsi="宋体" w:cs="宋体"/>
          <w:bCs/>
          <w:color w:val="000000" w:themeColor="text1"/>
          <w:sz w:val="24"/>
          <w:szCs w:val="24"/>
          <w14:textFill>
            <w14:solidFill>
              <w14:schemeClr w14:val="tx1"/>
            </w14:solidFill>
          </w14:textFill>
        </w:rPr>
        <w:t>组织召开立项评审会议并</w:t>
      </w:r>
      <w:r>
        <w:rPr>
          <w:rFonts w:hint="eastAsia" w:ascii="宋体" w:hAnsi="宋体" w:cs="宋体"/>
          <w:bCs/>
          <w:sz w:val="24"/>
          <w:szCs w:val="24"/>
        </w:rPr>
        <w:t>下达了</w:t>
      </w:r>
      <w:r>
        <w:rPr>
          <w:rFonts w:hint="eastAsia" w:ascii="宋体" w:hAnsi="宋体" w:cs="宋体"/>
          <w:bCs/>
          <w:sz w:val="24"/>
          <w:szCs w:val="24"/>
          <w:highlight w:val="none"/>
        </w:rPr>
        <w:t>《</w:t>
      </w:r>
      <w:r>
        <w:rPr>
          <w:rFonts w:hint="eastAsia" w:ascii="宋体" w:hAnsi="宋体" w:eastAsia="宋体" w:cs="宋体"/>
          <w:b w:val="0"/>
          <w:bCs w:val="0"/>
          <w:color w:val="000000"/>
          <w:kern w:val="2"/>
          <w:sz w:val="24"/>
          <w:szCs w:val="24"/>
          <w:highlight w:val="none"/>
          <w:lang w:val="en-US" w:eastAsia="zh-CN" w:bidi="ar-SA"/>
        </w:rPr>
        <w:t>关于</w:t>
      </w:r>
      <w:r>
        <w:rPr>
          <w:rFonts w:hint="eastAsia" w:ascii="宋体" w:hAnsi="宋体" w:cs="宋体"/>
          <w:b w:val="0"/>
          <w:bCs w:val="0"/>
          <w:color w:val="000000"/>
          <w:kern w:val="2"/>
          <w:sz w:val="24"/>
          <w:szCs w:val="24"/>
          <w:highlight w:val="none"/>
          <w:lang w:val="en-US" w:eastAsia="zh-CN" w:bidi="ar-SA"/>
        </w:rPr>
        <w:t>&lt;</w:t>
      </w:r>
      <w:r>
        <w:rPr>
          <w:rFonts w:hint="eastAsia" w:ascii="宋体" w:hAnsi="宋体" w:eastAsia="宋体" w:cs="宋体"/>
          <w:b w:val="0"/>
          <w:bCs w:val="0"/>
          <w:color w:val="000000"/>
          <w:kern w:val="2"/>
          <w:sz w:val="24"/>
          <w:szCs w:val="24"/>
          <w:highlight w:val="none"/>
          <w:lang w:val="en-US" w:eastAsia="zh-CN" w:bidi="ar-SA"/>
        </w:rPr>
        <w:t>反窃电智能诊断模型评价导则</w:t>
      </w:r>
      <w:r>
        <w:rPr>
          <w:rFonts w:hint="eastAsia" w:ascii="宋体" w:hAnsi="宋体" w:cs="宋体"/>
          <w:b w:val="0"/>
          <w:bCs w:val="0"/>
          <w:color w:val="000000"/>
          <w:kern w:val="2"/>
          <w:sz w:val="24"/>
          <w:szCs w:val="24"/>
          <w:highlight w:val="none"/>
          <w:lang w:val="en-US" w:eastAsia="zh-CN" w:bidi="ar-SA"/>
        </w:rPr>
        <w:t>&gt;</w:t>
      </w:r>
      <w:r>
        <w:rPr>
          <w:rFonts w:hint="eastAsia" w:ascii="宋体" w:hAnsi="宋体" w:eastAsia="宋体" w:cs="宋体"/>
          <w:b w:val="0"/>
          <w:bCs w:val="0"/>
          <w:color w:val="000000"/>
          <w:kern w:val="2"/>
          <w:sz w:val="24"/>
          <w:szCs w:val="24"/>
          <w:highlight w:val="none"/>
          <w:lang w:val="en-US" w:eastAsia="zh-CN" w:bidi="ar-SA"/>
        </w:rPr>
        <w:t>等 10 项团体标准立项的批复</w:t>
      </w:r>
      <w:r>
        <w:rPr>
          <w:rFonts w:hint="eastAsia" w:ascii="宋体" w:hAnsi="宋体" w:cs="宋体"/>
          <w:bCs/>
          <w:sz w:val="24"/>
          <w:szCs w:val="24"/>
          <w:highlight w:val="none"/>
        </w:rPr>
        <w:t>》</w:t>
      </w:r>
      <w:r>
        <w:rPr>
          <w:rFonts w:ascii="宋体" w:hAnsi="宋体" w:cs="宋体"/>
          <w:bCs/>
          <w:sz w:val="24"/>
          <w:szCs w:val="24"/>
        </w:rPr>
        <w:t>，由</w:t>
      </w:r>
      <w:r>
        <w:rPr>
          <w:rFonts w:hint="eastAsia" w:ascii="宋体" w:hAnsi="宋体" w:cs="宋体"/>
          <w:bCs/>
          <w:kern w:val="0"/>
          <w:sz w:val="24"/>
        </w:rPr>
        <w:t>国网河北省电力有限公司营销服务中心</w:t>
      </w:r>
      <w:r>
        <w:rPr>
          <w:rFonts w:hint="eastAsia" w:ascii="宋体" w:hAnsi="宋体" w:cs="宋体"/>
          <w:bCs/>
          <w:sz w:val="24"/>
          <w:szCs w:val="24"/>
        </w:rPr>
        <w:t>牵头，组织成立标准起草工作组。</w:t>
      </w:r>
    </w:p>
    <w:p w14:paraId="3D313DA4">
      <w:pPr>
        <w:spacing w:line="360" w:lineRule="auto"/>
        <w:ind w:firstLine="472" w:firstLineChars="196"/>
        <w:rPr>
          <w:rFonts w:hint="eastAsia" w:ascii="宋体" w:hAnsi="宋体" w:cs="宋体"/>
          <w:bCs/>
          <w:sz w:val="24"/>
          <w:szCs w:val="24"/>
        </w:rPr>
      </w:pPr>
      <w:r>
        <w:rPr>
          <w:rFonts w:ascii="宋体" w:hAnsi="宋体" w:cs="宋体"/>
          <w:b/>
          <w:bCs/>
          <w:sz w:val="24"/>
          <w:szCs w:val="24"/>
        </w:rPr>
        <w:t>202</w:t>
      </w:r>
      <w:r>
        <w:rPr>
          <w:rFonts w:hint="eastAsia" w:ascii="宋体" w:hAnsi="宋体" w:cs="宋体"/>
          <w:b/>
          <w:bCs/>
          <w:sz w:val="24"/>
          <w:szCs w:val="24"/>
        </w:rPr>
        <w:t>5</w:t>
      </w:r>
      <w:r>
        <w:rPr>
          <w:rFonts w:ascii="宋体" w:hAnsi="宋体" w:cs="宋体"/>
          <w:b/>
          <w:bCs/>
          <w:sz w:val="24"/>
          <w:szCs w:val="24"/>
        </w:rPr>
        <w:t>年</w:t>
      </w:r>
      <w:r>
        <w:rPr>
          <w:rFonts w:hint="eastAsia" w:ascii="宋体" w:hAnsi="宋体" w:cs="宋体"/>
          <w:b/>
          <w:bCs/>
          <w:sz w:val="24"/>
          <w:szCs w:val="24"/>
        </w:rPr>
        <w:t>5</w:t>
      </w:r>
      <w:r>
        <w:rPr>
          <w:rFonts w:ascii="宋体" w:hAnsi="宋体" w:cs="宋体"/>
          <w:b/>
          <w:bCs/>
          <w:sz w:val="24"/>
          <w:szCs w:val="24"/>
        </w:rPr>
        <w:t>月</w:t>
      </w:r>
      <w:r>
        <w:rPr>
          <w:rFonts w:ascii="宋体" w:hAnsi="宋体" w:cs="宋体"/>
          <w:bCs/>
          <w:sz w:val="24"/>
          <w:szCs w:val="24"/>
        </w:rPr>
        <w:t>：</w:t>
      </w:r>
      <w:r>
        <w:rPr>
          <w:rFonts w:hint="eastAsia" w:hAnsi="宋体"/>
          <w:bCs/>
          <w:sz w:val="24"/>
        </w:rPr>
        <w:t>在陕西西安市召开</w:t>
      </w:r>
      <w:r>
        <w:rPr>
          <w:rFonts w:hint="eastAsia" w:ascii="宋体" w:hAnsi="宋体" w:cs="宋体"/>
          <w:bCs/>
          <w:sz w:val="24"/>
          <w:szCs w:val="24"/>
        </w:rPr>
        <w:t>起草标准</w:t>
      </w:r>
      <w:r>
        <w:rPr>
          <w:rFonts w:hint="eastAsia" w:ascii="宋体" w:hAnsi="宋体" w:cs="宋体"/>
          <w:b/>
          <w:sz w:val="24"/>
          <w:szCs w:val="24"/>
        </w:rPr>
        <w:t>第一次工作组会议</w:t>
      </w:r>
      <w:r>
        <w:rPr>
          <w:rFonts w:hint="eastAsia" w:ascii="宋体" w:hAnsi="宋体" w:cs="宋体"/>
          <w:bCs/>
          <w:sz w:val="24"/>
          <w:szCs w:val="24"/>
        </w:rPr>
        <w:t>，工作组对工作组讨论稿的标准化对象、标准结构进行了认真、细致的逐条讨论，并对主要技术内容达成了一致意见，同时分配标准符合性验证工作，形成会议纪要。</w:t>
      </w:r>
    </w:p>
    <w:p w14:paraId="251687A9">
      <w:pPr>
        <w:spacing w:line="360" w:lineRule="auto"/>
        <w:ind w:firstLine="472" w:firstLineChars="196"/>
        <w:rPr>
          <w:rFonts w:hint="eastAsia" w:ascii="宋体" w:hAnsi="宋体" w:cs="宋体"/>
          <w:bCs/>
          <w:sz w:val="24"/>
          <w:szCs w:val="24"/>
        </w:rPr>
      </w:pPr>
      <w:r>
        <w:rPr>
          <w:rFonts w:ascii="宋体" w:hAnsi="宋体" w:cs="宋体"/>
          <w:b/>
          <w:bCs/>
          <w:sz w:val="24"/>
          <w:szCs w:val="24"/>
        </w:rPr>
        <w:t>202</w:t>
      </w:r>
      <w:r>
        <w:rPr>
          <w:rFonts w:hint="eastAsia" w:ascii="宋体" w:hAnsi="宋体" w:cs="宋体"/>
          <w:b/>
          <w:bCs/>
          <w:sz w:val="24"/>
          <w:szCs w:val="24"/>
        </w:rPr>
        <w:t>5</w:t>
      </w:r>
      <w:r>
        <w:rPr>
          <w:rFonts w:ascii="宋体" w:hAnsi="宋体" w:cs="宋体"/>
          <w:b/>
          <w:bCs/>
          <w:sz w:val="24"/>
          <w:szCs w:val="24"/>
        </w:rPr>
        <w:t>年</w:t>
      </w:r>
      <w:r>
        <w:rPr>
          <w:rFonts w:hint="eastAsia" w:ascii="宋体" w:hAnsi="宋体" w:cs="宋体"/>
          <w:b/>
          <w:bCs/>
          <w:sz w:val="24"/>
          <w:szCs w:val="24"/>
        </w:rPr>
        <w:t>10</w:t>
      </w:r>
      <w:r>
        <w:rPr>
          <w:rFonts w:ascii="宋体" w:hAnsi="宋体" w:cs="宋体"/>
          <w:b/>
          <w:bCs/>
          <w:sz w:val="24"/>
          <w:szCs w:val="24"/>
        </w:rPr>
        <w:t>月</w:t>
      </w:r>
      <w:r>
        <w:rPr>
          <w:rFonts w:ascii="宋体" w:hAnsi="宋体" w:cs="宋体"/>
          <w:bCs/>
          <w:sz w:val="24"/>
          <w:szCs w:val="24"/>
        </w:rPr>
        <w:t>：</w:t>
      </w:r>
      <w:r>
        <w:rPr>
          <w:rFonts w:hint="eastAsia" w:ascii="宋体" w:hAnsi="宋体" w:cs="宋体"/>
          <w:bCs/>
          <w:sz w:val="24"/>
          <w:szCs w:val="24"/>
        </w:rPr>
        <w:t>在</w:t>
      </w:r>
      <w:r>
        <w:rPr>
          <w:rFonts w:hint="eastAsia" w:hAnsi="宋体"/>
          <w:bCs/>
          <w:sz w:val="24"/>
        </w:rPr>
        <w:t>贵州省贵阳市</w:t>
      </w:r>
      <w:r>
        <w:rPr>
          <w:rFonts w:hint="eastAsia" w:ascii="宋体" w:hAnsi="宋体" w:cs="宋体"/>
          <w:bCs/>
          <w:sz w:val="24"/>
          <w:szCs w:val="24"/>
        </w:rPr>
        <w:t>召开起草标准</w:t>
      </w:r>
      <w:r>
        <w:rPr>
          <w:rFonts w:hint="eastAsia" w:ascii="宋体" w:hAnsi="宋体" w:cs="宋体"/>
          <w:b/>
          <w:sz w:val="24"/>
          <w:szCs w:val="24"/>
        </w:rPr>
        <w:t>第二次工作组会议</w:t>
      </w:r>
      <w:r>
        <w:rPr>
          <w:rFonts w:hint="eastAsia" w:ascii="宋体" w:hAnsi="宋体" w:cs="宋体"/>
          <w:bCs/>
          <w:sz w:val="24"/>
          <w:szCs w:val="24"/>
        </w:rPr>
        <w:t>，对标准工作组讨论稿以及所征求的意见内容进行了仔细讨论，形成会议纪要。</w:t>
      </w:r>
    </w:p>
    <w:p w14:paraId="6C5F1205">
      <w:pPr>
        <w:spacing w:line="360" w:lineRule="auto"/>
        <w:ind w:firstLine="472" w:firstLineChars="196"/>
        <w:rPr>
          <w:rFonts w:hint="eastAsia" w:ascii="宋体" w:hAnsi="宋体" w:cs="宋体"/>
          <w:bCs/>
          <w:sz w:val="24"/>
          <w:szCs w:val="24"/>
        </w:rPr>
      </w:pPr>
      <w:r>
        <w:rPr>
          <w:rFonts w:ascii="宋体" w:hAnsi="宋体" w:cs="宋体"/>
          <w:b/>
          <w:bCs/>
          <w:sz w:val="24"/>
          <w:szCs w:val="24"/>
        </w:rPr>
        <w:t>202</w:t>
      </w:r>
      <w:r>
        <w:rPr>
          <w:rFonts w:hint="eastAsia" w:ascii="宋体" w:hAnsi="宋体" w:cs="宋体"/>
          <w:b/>
          <w:bCs/>
          <w:sz w:val="24"/>
          <w:szCs w:val="24"/>
          <w:lang w:val="en-US" w:eastAsia="zh-CN"/>
        </w:rPr>
        <w:t>5</w:t>
      </w:r>
      <w:r>
        <w:rPr>
          <w:rFonts w:ascii="宋体" w:hAnsi="宋体" w:cs="宋体"/>
          <w:b/>
          <w:bCs/>
          <w:sz w:val="24"/>
          <w:szCs w:val="24"/>
        </w:rPr>
        <w:t>年</w:t>
      </w:r>
      <w:r>
        <w:rPr>
          <w:rFonts w:hint="eastAsia" w:ascii="宋体" w:hAnsi="宋体" w:cs="宋体"/>
          <w:b/>
          <w:bCs/>
          <w:sz w:val="24"/>
          <w:szCs w:val="24"/>
        </w:rPr>
        <w:t>11</w:t>
      </w:r>
      <w:r>
        <w:rPr>
          <w:rFonts w:ascii="宋体" w:hAnsi="宋体" w:cs="宋体"/>
          <w:b/>
          <w:bCs/>
          <w:sz w:val="24"/>
          <w:szCs w:val="24"/>
        </w:rPr>
        <w:t>月</w:t>
      </w:r>
      <w:r>
        <w:rPr>
          <w:rFonts w:hint="eastAsia" w:ascii="宋体" w:hAnsi="宋体" w:cs="宋体"/>
          <w:bCs/>
          <w:sz w:val="24"/>
          <w:szCs w:val="24"/>
        </w:rPr>
        <w:t>：标准编制工作组根据第二次会议纪要对工作组讨论稿进行了修改完善，形成</w:t>
      </w:r>
      <w:r>
        <w:rPr>
          <w:rFonts w:hint="eastAsia" w:ascii="黑体" w:hAnsi="黑体" w:eastAsia="黑体" w:cs="黑体"/>
          <w:bCs/>
          <w:sz w:val="24"/>
          <w:szCs w:val="24"/>
        </w:rPr>
        <w:t>征求意见稿</w:t>
      </w:r>
      <w:r>
        <w:rPr>
          <w:rFonts w:hint="eastAsia" w:ascii="宋体" w:hAnsi="宋体" w:cs="宋体"/>
          <w:bCs/>
          <w:sz w:val="24"/>
          <w:szCs w:val="24"/>
        </w:rPr>
        <w:t>、征求意见稿编制说明、征求意见汇总处理表。</w:t>
      </w:r>
    </w:p>
    <w:p w14:paraId="29990BBF">
      <w:pPr>
        <w:spacing w:line="400" w:lineRule="exact"/>
        <w:ind w:firstLine="470" w:firstLineChars="196"/>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7AC44D7E">
      <w:pPr>
        <w:pStyle w:val="3"/>
        <w:rPr>
          <w:rFonts w:hint="eastAsia" w:ascii="宋体" w:hAnsi="宋体" w:cs="宋体"/>
          <w:sz w:val="28"/>
          <w:szCs w:val="28"/>
          <w:lang w:val="zh-CN"/>
        </w:rPr>
      </w:pPr>
      <w:r>
        <w:rPr>
          <w:rFonts w:ascii="宋体" w:hAnsi="宋体" w:cs="宋体"/>
          <w:sz w:val="28"/>
          <w:szCs w:val="28"/>
        </w:rPr>
        <w:t>4．</w:t>
      </w:r>
      <w:r>
        <w:rPr>
          <w:rFonts w:hint="eastAsia" w:ascii="宋体" w:hAnsi="宋体" w:cs="宋体"/>
          <w:sz w:val="28"/>
          <w:szCs w:val="28"/>
          <w:lang w:val="zh-CN"/>
        </w:rPr>
        <w:t>主要参加单位和工作组成员及其所做的工作</w:t>
      </w:r>
    </w:p>
    <w:p w14:paraId="57DDCA57">
      <w:pPr>
        <w:spacing w:line="360" w:lineRule="auto"/>
        <w:ind w:firstLine="480" w:firstLineChars="200"/>
        <w:rPr>
          <w:rFonts w:ascii="Times New Roman" w:hAnsi="Times New Roman"/>
          <w:sz w:val="24"/>
          <w:szCs w:val="24"/>
        </w:rPr>
      </w:pPr>
      <w:r>
        <w:rPr>
          <w:rFonts w:hint="eastAsia" w:ascii="Times New Roman" w:hAnsi="Times New Roman"/>
          <w:sz w:val="24"/>
          <w:szCs w:val="24"/>
        </w:rPr>
        <w:t>工作组组长和牵头起草单位是</w:t>
      </w:r>
      <w:r>
        <w:rPr>
          <w:rFonts w:hint="eastAsia" w:ascii="宋体" w:hAnsi="宋体" w:cs="宋体"/>
          <w:color w:val="000000"/>
          <w:kern w:val="0"/>
          <w:sz w:val="24"/>
        </w:rPr>
        <w:t>国网河北省电力有限公司营销服务中心</w:t>
      </w:r>
      <w:r>
        <w:rPr>
          <w:rFonts w:hint="eastAsia" w:ascii="Times New Roman" w:hAnsi="Times New Roman"/>
          <w:sz w:val="24"/>
          <w:szCs w:val="24"/>
        </w:rPr>
        <w:t>，主要起草单位有哈尔滨电工仪表研究所有限公司、</w:t>
      </w:r>
      <w:r>
        <w:rPr>
          <w:rFonts w:hint="eastAsia" w:ascii="宋体" w:hAnsi="宋体" w:cs="宋体"/>
          <w:color w:val="000000"/>
          <w:kern w:val="0"/>
          <w:sz w:val="24"/>
        </w:rPr>
        <w:t>深圳市科陆电子科技股份有限公司、浙江涵普电力科技有限公司、杭州德创电子股份有限公司和深圳市隆元科技有限公司、青岛乾程科技股份有限公司</w:t>
      </w:r>
      <w:r>
        <w:rPr>
          <w:rFonts w:hint="eastAsia" w:ascii="Times New Roman" w:hAnsi="Times New Roman"/>
          <w:sz w:val="24"/>
          <w:szCs w:val="24"/>
        </w:rPr>
        <w:t>等。</w:t>
      </w:r>
    </w:p>
    <w:p w14:paraId="72A85746">
      <w:pPr>
        <w:spacing w:line="360" w:lineRule="auto"/>
        <w:ind w:firstLine="480" w:firstLineChars="200"/>
        <w:rPr>
          <w:sz w:val="24"/>
          <w:szCs w:val="24"/>
        </w:rPr>
      </w:pPr>
      <w:r>
        <w:rPr>
          <w:rFonts w:hint="eastAsia" w:ascii="宋体" w:hAnsi="宋体" w:cs="宋体"/>
          <w:color w:val="000000"/>
          <w:kern w:val="0"/>
          <w:sz w:val="24"/>
        </w:rPr>
        <w:t>国网河北省电力有限公司营销服务中心</w:t>
      </w:r>
      <w:r>
        <w:rPr>
          <w:rFonts w:hint="eastAsia"/>
          <w:sz w:val="24"/>
          <w:szCs w:val="24"/>
        </w:rPr>
        <w:t>作为执笔单位负责了本标准的起草、修改工作；哈尔滨电工仪表研究所有限公司作为工作组组长主要负责组织、协调等相关工作；</w:t>
      </w:r>
      <w:r>
        <w:rPr>
          <w:rFonts w:hint="eastAsia" w:ascii="宋体" w:hAnsi="宋体" w:cs="宋体"/>
          <w:color w:val="000000"/>
          <w:kern w:val="0"/>
          <w:sz w:val="24"/>
        </w:rPr>
        <w:t>国网河北省电力有限公司营销服务中心</w:t>
      </w:r>
      <w:r>
        <w:rPr>
          <w:rFonts w:hint="eastAsia" w:ascii="Times New Roman" w:hAnsi="Times New Roman"/>
          <w:sz w:val="24"/>
          <w:szCs w:val="24"/>
        </w:rPr>
        <w:t>、</w:t>
      </w:r>
      <w:r>
        <w:rPr>
          <w:rFonts w:hint="eastAsia" w:ascii="宋体" w:hAnsi="宋体" w:cs="宋体"/>
          <w:color w:val="000000"/>
          <w:kern w:val="0"/>
          <w:sz w:val="24"/>
        </w:rPr>
        <w:t>深圳市科陆电子科技股份有限公司、浙江涵普电力科技有限公司、杭州德创电子股份有限公司、深圳市隆元科技有限公司、浙江盛迪科技股份有限公司、青岛乾程科技股份有限公司、华立科技股份有限公司、烟台东方威思顿电气有限公司、河南锋恩电气有限公司</w:t>
      </w:r>
      <w:r>
        <w:rPr>
          <w:rFonts w:hint="eastAsia"/>
          <w:sz w:val="24"/>
          <w:szCs w:val="24"/>
        </w:rPr>
        <w:t>等成员单位在标准制定过程中提出了很多修改意见。</w:t>
      </w:r>
    </w:p>
    <w:p w14:paraId="3F29194F">
      <w:pPr>
        <w:spacing w:line="360" w:lineRule="auto"/>
        <w:ind w:firstLine="480" w:firstLineChars="200"/>
        <w:rPr>
          <w:rFonts w:ascii="Times New Roman" w:hAnsi="Times New Roman"/>
          <w:sz w:val="24"/>
          <w:szCs w:val="24"/>
        </w:rPr>
      </w:pPr>
      <w:r>
        <w:rPr>
          <w:rFonts w:hint="eastAsia" w:ascii="Times New Roman" w:hAnsi="Times New Roman"/>
          <w:sz w:val="24"/>
          <w:szCs w:val="24"/>
        </w:rPr>
        <w:t>本文件主要起草人：</w:t>
      </w:r>
      <w:r>
        <w:rPr>
          <w:rFonts w:hint="eastAsia" w:ascii="宋体" w:hAnsi="宋体" w:cs="宋体"/>
          <w:kern w:val="0"/>
          <w:sz w:val="24"/>
        </w:rPr>
        <w:t>韩永禄、黄世回、</w:t>
      </w:r>
      <w:r>
        <w:rPr>
          <w:rFonts w:hint="eastAsia" w:ascii="Times New Roman" w:hAnsi="Times New Roman"/>
          <w:sz w:val="24"/>
          <w:szCs w:val="24"/>
        </w:rPr>
        <w:t>冷学道、杨建东、路振义、</w:t>
      </w:r>
      <w:r>
        <w:rPr>
          <w:rFonts w:hint="eastAsia"/>
          <w:sz w:val="24"/>
          <w:szCs w:val="24"/>
        </w:rPr>
        <w:t>王佩军、曾仕途、</w:t>
      </w:r>
      <w:r>
        <w:rPr>
          <w:rFonts w:hint="eastAsia" w:ascii="Times New Roman" w:hAnsi="Times New Roman"/>
          <w:sz w:val="24"/>
          <w:szCs w:val="24"/>
        </w:rPr>
        <w:t>曹伟倩、韦欢等</w:t>
      </w:r>
      <w:r>
        <w:rPr>
          <w:rFonts w:hint="eastAsia"/>
          <w:sz w:val="24"/>
          <w:szCs w:val="24"/>
        </w:rPr>
        <w:t>。</w:t>
      </w:r>
    </w:p>
    <w:p w14:paraId="26BCAF5D">
      <w:pPr>
        <w:spacing w:line="360" w:lineRule="auto"/>
        <w:ind w:firstLine="480" w:firstLineChars="200"/>
        <w:rPr>
          <w:sz w:val="24"/>
          <w:szCs w:val="24"/>
        </w:rPr>
      </w:pPr>
      <w:r>
        <w:rPr>
          <w:rFonts w:hint="eastAsia" w:ascii="宋体" w:hAnsi="宋体" w:cs="宋体"/>
          <w:kern w:val="0"/>
          <w:sz w:val="24"/>
        </w:rPr>
        <w:t>韩永禄</w:t>
      </w:r>
      <w:r>
        <w:rPr>
          <w:rFonts w:hint="eastAsia"/>
          <w:sz w:val="24"/>
          <w:szCs w:val="24"/>
        </w:rPr>
        <w:t>为本标准的主笔人，负责标准的编写；</w:t>
      </w:r>
      <w:r>
        <w:rPr>
          <w:rFonts w:hint="eastAsia" w:ascii="Times New Roman" w:hAnsi="Times New Roman"/>
          <w:sz w:val="24"/>
          <w:szCs w:val="24"/>
        </w:rPr>
        <w:t>申洪涛</w:t>
      </w:r>
      <w:r>
        <w:rPr>
          <w:rFonts w:hint="eastAsia"/>
          <w:sz w:val="24"/>
          <w:szCs w:val="24"/>
        </w:rPr>
        <w:t>为本标准的技术负责人，为标准的总体内容进行全面指导；</w:t>
      </w:r>
      <w:r>
        <w:rPr>
          <w:rFonts w:hint="eastAsia" w:ascii="宋体" w:hAnsi="宋体" w:cs="宋体"/>
          <w:kern w:val="0"/>
          <w:sz w:val="24"/>
        </w:rPr>
        <w:t>韩永禄</w:t>
      </w:r>
      <w:r>
        <w:rPr>
          <w:rFonts w:hint="eastAsia"/>
          <w:sz w:val="24"/>
          <w:szCs w:val="24"/>
        </w:rPr>
        <w:t>本标准起草工作组的组长</w:t>
      </w:r>
      <w:r>
        <w:rPr>
          <w:rFonts w:hint="eastAsia"/>
          <w:sz w:val="24"/>
          <w:szCs w:val="24"/>
          <w:highlight w:val="none"/>
        </w:rPr>
        <w:t>，</w:t>
      </w:r>
      <w:r>
        <w:rPr>
          <w:rFonts w:hint="eastAsia" w:ascii="Times New Roman" w:hAnsi="Times New Roman"/>
          <w:sz w:val="24"/>
          <w:szCs w:val="24"/>
          <w:highlight w:val="none"/>
          <w:lang w:val="en-US" w:eastAsia="zh-CN"/>
        </w:rPr>
        <w:t>于雷</w:t>
      </w:r>
      <w:r>
        <w:rPr>
          <w:rFonts w:hint="eastAsia"/>
          <w:sz w:val="24"/>
          <w:szCs w:val="24"/>
          <w:highlight w:val="none"/>
        </w:rPr>
        <w:t>为本标准起草工作组的副组长</w:t>
      </w:r>
      <w:r>
        <w:rPr>
          <w:rFonts w:hint="eastAsia"/>
          <w:sz w:val="24"/>
          <w:szCs w:val="24"/>
        </w:rPr>
        <w:t>，黄世回、冷学道、杨建东等为本标准起草工作组的组员，负责标准的编写进程和组织协调工作；</w:t>
      </w:r>
      <w:r>
        <w:rPr>
          <w:rFonts w:hint="eastAsia" w:ascii="Times New Roman" w:hAnsi="Times New Roman"/>
          <w:sz w:val="24"/>
          <w:szCs w:val="24"/>
        </w:rPr>
        <w:t>路振义、</w:t>
      </w:r>
      <w:r>
        <w:rPr>
          <w:rFonts w:hint="eastAsia"/>
          <w:sz w:val="24"/>
          <w:szCs w:val="24"/>
        </w:rPr>
        <w:t>王佩军</w:t>
      </w:r>
      <w:r>
        <w:rPr>
          <w:rFonts w:hint="eastAsia" w:ascii="Times New Roman" w:hAnsi="Times New Roman"/>
          <w:sz w:val="24"/>
          <w:szCs w:val="24"/>
        </w:rPr>
        <w:t>、韦欢和</w:t>
      </w:r>
      <w:r>
        <w:rPr>
          <w:rFonts w:hint="eastAsia"/>
          <w:sz w:val="24"/>
          <w:szCs w:val="24"/>
        </w:rPr>
        <w:t>曾仕途等工作组成员为本标准的编写和修改工作给与大量帮助。</w:t>
      </w:r>
    </w:p>
    <w:p w14:paraId="2FA03716">
      <w:pPr>
        <w:pStyle w:val="3"/>
        <w:rPr>
          <w:rFonts w:hint="eastAsia" w:ascii="宋体" w:hAnsi="宋体" w:cs="宋体"/>
          <w:sz w:val="28"/>
          <w:szCs w:val="28"/>
        </w:rPr>
      </w:pPr>
      <w:r>
        <w:rPr>
          <w:rFonts w:hint="eastAsia" w:ascii="宋体" w:hAnsi="宋体" w:cs="宋体"/>
          <w:sz w:val="28"/>
          <w:szCs w:val="28"/>
        </w:rPr>
        <w:t>二、</w:t>
      </w:r>
      <w:r>
        <w:rPr>
          <w:rFonts w:ascii="宋体" w:hAnsi="宋体" w:cs="宋体"/>
          <w:sz w:val="28"/>
          <w:szCs w:val="28"/>
        </w:rPr>
        <w:t xml:space="preserve"> </w:t>
      </w:r>
      <w:r>
        <w:rPr>
          <w:rFonts w:hint="eastAsia" w:ascii="宋体" w:hAnsi="宋体" w:cs="宋体"/>
          <w:sz w:val="28"/>
          <w:szCs w:val="28"/>
        </w:rPr>
        <w:t>标准编制原则和主要技术内容确定的依据</w:t>
      </w:r>
    </w:p>
    <w:p w14:paraId="306E1897">
      <w:pPr>
        <w:pStyle w:val="3"/>
        <w:rPr>
          <w:rFonts w:hint="eastAsia" w:ascii="宋体" w:hAnsi="宋体" w:cs="宋体"/>
          <w:sz w:val="28"/>
          <w:szCs w:val="28"/>
        </w:rPr>
      </w:pPr>
      <w:r>
        <w:rPr>
          <w:rFonts w:hint="eastAsia" w:ascii="宋体" w:hAnsi="宋体" w:cs="宋体"/>
          <w:sz w:val="28"/>
          <w:szCs w:val="28"/>
        </w:rPr>
        <w:t>主要阐述标准制定或修订过程遵循的基本原则</w:t>
      </w:r>
    </w:p>
    <w:p w14:paraId="0AB22B48">
      <w:pPr>
        <w:spacing w:line="360" w:lineRule="auto"/>
        <w:ind w:firstLine="600" w:firstLineChars="250"/>
        <w:rPr>
          <w:rFonts w:hint="eastAsia" w:ascii="宋体" w:hAnsi="宋体" w:cs="宋体"/>
          <w:sz w:val="24"/>
          <w:szCs w:val="24"/>
        </w:rPr>
      </w:pPr>
      <w:r>
        <w:rPr>
          <w:rFonts w:hint="eastAsia" w:ascii="宋体" w:hAnsi="宋体" w:cs="宋体"/>
          <w:sz w:val="24"/>
          <w:szCs w:val="24"/>
        </w:rPr>
        <w:t>本文件是首次制定版本。编制遵循“统一性、协调性、适用性、一致性和规范性”的原则，并与相关标准协调统一。</w:t>
      </w:r>
    </w:p>
    <w:p w14:paraId="70331523">
      <w:pPr>
        <w:spacing w:line="360" w:lineRule="auto"/>
        <w:ind w:firstLine="600" w:firstLineChars="250"/>
        <w:rPr>
          <w:rFonts w:hint="eastAsia" w:ascii="宋体" w:hAnsi="宋体" w:cs="宋体"/>
          <w:sz w:val="24"/>
          <w:szCs w:val="24"/>
        </w:rPr>
      </w:pPr>
      <w:r>
        <w:rPr>
          <w:rFonts w:hint="eastAsia" w:ascii="宋体" w:hAnsi="宋体" w:cs="宋体"/>
          <w:sz w:val="24"/>
          <w:szCs w:val="24"/>
        </w:rPr>
        <w:t>（1）本标准编制遵循</w:t>
      </w:r>
      <w:r>
        <w:rPr>
          <w:rFonts w:ascii="宋体" w:hAnsi="宋体" w:cs="宋体"/>
          <w:sz w:val="24"/>
          <w:szCs w:val="24"/>
        </w:rPr>
        <w:t>GB/T 1.1-2020</w:t>
      </w:r>
      <w:r>
        <w:rPr>
          <w:rFonts w:hint="eastAsia" w:ascii="宋体" w:hAnsi="宋体" w:cs="宋体"/>
          <w:sz w:val="24"/>
          <w:szCs w:val="24"/>
        </w:rPr>
        <w:t>《标准化工作导则</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1</w:t>
      </w:r>
      <w:r>
        <w:rPr>
          <w:rFonts w:hint="eastAsia" w:ascii="宋体" w:hAnsi="宋体" w:cs="宋体"/>
          <w:sz w:val="24"/>
          <w:szCs w:val="24"/>
        </w:rPr>
        <w:t>部分：标准化文件的结构和起草规则》，坚持先进性与实用性相结合、统一性与灵活性相结合、可靠性与经济性相结合的原则，以标准化为引领，服务于交流标准电能表的技术发展。</w:t>
      </w:r>
    </w:p>
    <w:p w14:paraId="72BED174">
      <w:pPr>
        <w:spacing w:line="360" w:lineRule="auto"/>
        <w:ind w:firstLine="600" w:firstLineChars="250"/>
        <w:rPr>
          <w:rFonts w:hint="eastAsia" w:ascii="宋体" w:hAnsi="宋体" w:cs="宋体"/>
          <w:sz w:val="24"/>
          <w:szCs w:val="24"/>
        </w:rPr>
      </w:pPr>
      <w:r>
        <w:rPr>
          <w:rFonts w:hint="eastAsia" w:ascii="宋体" w:hAnsi="宋体" w:cs="宋体"/>
          <w:sz w:val="24"/>
          <w:szCs w:val="24"/>
        </w:rPr>
        <w:t>（2）采用分散与集中讨论的形式，充分调研各电力省公司的单相交流标准电能表量值传递的应用经验，认真分析单相交流标准电能表的使用方便性要求，充分体现标准的实用性和先进性。</w:t>
      </w:r>
    </w:p>
    <w:p w14:paraId="1D764528">
      <w:pPr>
        <w:spacing w:line="360" w:lineRule="auto"/>
        <w:ind w:firstLine="600" w:firstLineChars="250"/>
        <w:rPr>
          <w:rFonts w:hint="eastAsia" w:ascii="宋体" w:hAnsi="宋体" w:cs="宋体"/>
          <w:sz w:val="24"/>
          <w:szCs w:val="24"/>
        </w:rPr>
      </w:pPr>
      <w:r>
        <w:rPr>
          <w:rFonts w:hint="eastAsia" w:ascii="宋体" w:hAnsi="宋体" w:cs="宋体"/>
          <w:sz w:val="24"/>
          <w:szCs w:val="24"/>
        </w:rPr>
        <w:t>（3）充分研究借鉴现行相关国家标准、行业标准、企业标准等，体现交流标准电能表技术的最新发展，体现标准的规范性。</w:t>
      </w:r>
    </w:p>
    <w:p w14:paraId="5D47C64D">
      <w:pPr>
        <w:spacing w:line="360" w:lineRule="auto"/>
        <w:ind w:firstLine="600" w:firstLineChars="250"/>
        <w:rPr>
          <w:rFonts w:hint="eastAsia" w:ascii="宋体" w:hAnsi="宋体" w:cs="宋体"/>
          <w:sz w:val="24"/>
          <w:szCs w:val="24"/>
          <w:highlight w:val="green"/>
        </w:rPr>
      </w:pPr>
      <w:r>
        <w:rPr>
          <w:rFonts w:hint="eastAsia" w:ascii="宋体" w:hAnsi="宋体" w:cs="宋体"/>
          <w:sz w:val="24"/>
          <w:szCs w:val="24"/>
        </w:rPr>
        <w:t>（4）规范统一单相交流标准电能表瞬联电气接口的</w:t>
      </w:r>
      <w:r>
        <w:rPr>
          <w:rFonts w:hint="eastAsia"/>
          <w:sz w:val="24"/>
          <w:szCs w:val="24"/>
        </w:rPr>
        <w:t>的规格和尺寸、技术要求及试验方法</w:t>
      </w:r>
      <w:r>
        <w:rPr>
          <w:rFonts w:hint="eastAsia" w:ascii="宋体" w:hAnsi="宋体" w:cs="宋体"/>
          <w:sz w:val="24"/>
          <w:szCs w:val="24"/>
        </w:rPr>
        <w:t>等相关内容，切实指导单相交流标准电能表的检测工作。</w:t>
      </w:r>
    </w:p>
    <w:p w14:paraId="258F6FB6">
      <w:pPr>
        <w:pStyle w:val="3"/>
        <w:rPr>
          <w:rFonts w:hint="eastAsia" w:ascii="宋体" w:hAnsi="宋体" w:cs="宋体"/>
          <w:sz w:val="28"/>
          <w:szCs w:val="28"/>
        </w:rPr>
      </w:pPr>
      <w:r>
        <w:rPr>
          <w:rFonts w:hint="eastAsia" w:ascii="宋体" w:hAnsi="宋体" w:cs="宋体"/>
          <w:sz w:val="28"/>
          <w:szCs w:val="28"/>
        </w:rPr>
        <w:t>三、 主要试验（或验证）情况</w:t>
      </w:r>
    </w:p>
    <w:p w14:paraId="0ABD56A3">
      <w:pPr>
        <w:spacing w:line="360" w:lineRule="auto"/>
        <w:ind w:firstLine="480" w:firstLineChars="200"/>
        <w:rPr>
          <w:rFonts w:ascii="Times New Roman"/>
          <w:sz w:val="24"/>
          <w:szCs w:val="24"/>
        </w:rPr>
      </w:pPr>
      <w:r>
        <w:rPr>
          <w:rFonts w:hint="eastAsia" w:ascii="Times New Roman"/>
          <w:sz w:val="24"/>
          <w:szCs w:val="24"/>
        </w:rPr>
        <w:t>本文件在指定指标的试验及验证过程中使用的设备包括：电能表校验装置、双通道K型热电偶电子温度计、点温计、多通道温度仪、可视测温仪等。</w:t>
      </w:r>
    </w:p>
    <w:p w14:paraId="70D056AE">
      <w:pPr>
        <w:spacing w:line="360" w:lineRule="auto"/>
        <w:ind w:firstLine="480" w:firstLineChars="200"/>
        <w:rPr>
          <w:rFonts w:hint="eastAsia" w:ascii="宋体" w:hAnsi="宋体" w:cs="宋体"/>
          <w:sz w:val="24"/>
          <w:szCs w:val="24"/>
        </w:rPr>
      </w:pPr>
      <w:r>
        <w:rPr>
          <w:rFonts w:ascii="Times New Roman"/>
          <w:sz w:val="24"/>
          <w:szCs w:val="24"/>
        </w:rPr>
        <w:t>在</w:t>
      </w:r>
      <w:r>
        <w:rPr>
          <w:rFonts w:hint="eastAsia" w:ascii="Times New Roman"/>
          <w:sz w:val="24"/>
          <w:szCs w:val="24"/>
        </w:rPr>
        <w:t>本文件</w:t>
      </w:r>
      <w:r>
        <w:rPr>
          <w:rFonts w:ascii="Times New Roman"/>
          <w:sz w:val="24"/>
          <w:szCs w:val="24"/>
        </w:rPr>
        <w:t>起草工作过程中，委托</w:t>
      </w:r>
      <w:r>
        <w:rPr>
          <w:rFonts w:hint="eastAsia" w:ascii="Times New Roman"/>
          <w:sz w:val="24"/>
          <w:szCs w:val="24"/>
        </w:rPr>
        <w:t>深圳市科陆电子科技股份有限公司、</w:t>
      </w:r>
      <w:r>
        <w:rPr>
          <w:rFonts w:hint="eastAsia" w:ascii="宋体" w:hAnsi="宋体" w:cs="宋体"/>
          <w:color w:val="000000"/>
          <w:kern w:val="0"/>
          <w:sz w:val="24"/>
        </w:rPr>
        <w:t>浙江盛迪科技股份有限公司、深圳市隆元科技有限公司和烟台东方威思顿电气有限公司</w:t>
      </w:r>
      <w:r>
        <w:rPr>
          <w:rFonts w:ascii="Times New Roman"/>
          <w:sz w:val="24"/>
          <w:szCs w:val="24"/>
        </w:rPr>
        <w:t>对标准中的</w:t>
      </w:r>
      <w:r>
        <w:rPr>
          <w:rFonts w:hint="eastAsia" w:ascii="Times New Roman"/>
          <w:sz w:val="24"/>
          <w:szCs w:val="24"/>
        </w:rPr>
        <w:t>电流端子载流指标</w:t>
      </w:r>
      <w:r>
        <w:rPr>
          <w:rFonts w:ascii="Times New Roman"/>
          <w:sz w:val="24"/>
          <w:szCs w:val="24"/>
        </w:rPr>
        <w:t>进行了验证试验</w:t>
      </w:r>
      <w:r>
        <w:rPr>
          <w:rFonts w:hint="eastAsia" w:ascii="Times New Roman"/>
          <w:sz w:val="24"/>
          <w:szCs w:val="24"/>
        </w:rPr>
        <w:t>并出具了试验报告</w:t>
      </w:r>
      <w:r>
        <w:rPr>
          <w:rFonts w:ascii="Times New Roman"/>
          <w:sz w:val="24"/>
          <w:szCs w:val="24"/>
        </w:rPr>
        <w:t>。</w:t>
      </w:r>
      <w:r>
        <w:rPr>
          <w:rFonts w:hint="eastAsia" w:ascii="宋体" w:hAnsi="宋体" w:cs="宋体"/>
          <w:sz w:val="24"/>
          <w:szCs w:val="24"/>
        </w:rPr>
        <w:t>测试结果均符合本文件中的指标要求，为标准的制定提供了试验数据支撑。</w:t>
      </w:r>
    </w:p>
    <w:p w14:paraId="0B3D87DF">
      <w:pPr>
        <w:pStyle w:val="44"/>
        <w:numPr>
          <w:ilvl w:val="0"/>
          <w:numId w:val="4"/>
        </w:numPr>
        <w:ind w:firstLineChars="0"/>
        <w:rPr>
          <w:b/>
          <w:bCs/>
          <w:sz w:val="28"/>
          <w:szCs w:val="28"/>
        </w:rPr>
      </w:pPr>
      <w:r>
        <w:rPr>
          <w:rFonts w:hint="eastAsia"/>
          <w:b/>
          <w:bCs/>
          <w:sz w:val="28"/>
          <w:szCs w:val="28"/>
        </w:rPr>
        <w:t>试验项目</w:t>
      </w:r>
    </w:p>
    <w:tbl>
      <w:tblPr>
        <w:tblStyle w:val="18"/>
        <w:tblpPr w:leftFromText="180" w:rightFromText="180" w:vertAnchor="text" w:horzAnchor="margin" w:tblpY="2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5189"/>
        <w:gridCol w:w="2344"/>
      </w:tblGrid>
      <w:tr w14:paraId="0195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7" w:type="dxa"/>
          </w:tcPr>
          <w:p w14:paraId="11BCEAAE">
            <w:pPr>
              <w:pStyle w:val="44"/>
              <w:ind w:firstLine="0" w:firstLineChars="0"/>
              <w:rPr>
                <w:rFonts w:ascii="Times New Roman" w:hAnsi="Times New Roman"/>
                <w:b/>
                <w:bCs/>
                <w:sz w:val="24"/>
                <w:szCs w:val="24"/>
              </w:rPr>
            </w:pPr>
            <w:r>
              <w:rPr>
                <w:rFonts w:ascii="Times New Roman" w:hAnsi="Times New Roman"/>
                <w:b/>
                <w:bCs/>
                <w:sz w:val="24"/>
                <w:szCs w:val="24"/>
              </w:rPr>
              <w:t>序号</w:t>
            </w:r>
          </w:p>
        </w:tc>
        <w:tc>
          <w:tcPr>
            <w:tcW w:w="5189" w:type="dxa"/>
          </w:tcPr>
          <w:p w14:paraId="1783D115">
            <w:pPr>
              <w:pStyle w:val="44"/>
              <w:ind w:firstLine="1446" w:firstLineChars="600"/>
              <w:rPr>
                <w:rFonts w:ascii="Times New Roman" w:hAnsi="Times New Roman"/>
                <w:b/>
                <w:bCs/>
                <w:sz w:val="24"/>
                <w:szCs w:val="24"/>
              </w:rPr>
            </w:pPr>
            <w:r>
              <w:rPr>
                <w:rFonts w:ascii="Times New Roman" w:hAnsi="Times New Roman"/>
                <w:b/>
                <w:bCs/>
                <w:sz w:val="24"/>
                <w:szCs w:val="24"/>
              </w:rPr>
              <w:t>实验项目</w:t>
            </w:r>
          </w:p>
        </w:tc>
        <w:tc>
          <w:tcPr>
            <w:tcW w:w="2344" w:type="dxa"/>
          </w:tcPr>
          <w:p w14:paraId="36F8CB20">
            <w:pPr>
              <w:pStyle w:val="44"/>
              <w:ind w:firstLine="723" w:firstLineChars="300"/>
              <w:rPr>
                <w:rFonts w:ascii="Times New Roman" w:hAnsi="Times New Roman"/>
                <w:b/>
                <w:bCs/>
                <w:sz w:val="24"/>
                <w:szCs w:val="24"/>
              </w:rPr>
            </w:pPr>
            <w:r>
              <w:rPr>
                <w:rFonts w:hint="eastAsia" w:ascii="Times New Roman" w:hAnsi="Times New Roman"/>
                <w:b/>
                <w:bCs/>
                <w:sz w:val="24"/>
                <w:szCs w:val="24"/>
              </w:rPr>
              <w:t>备注</w:t>
            </w:r>
          </w:p>
        </w:tc>
      </w:tr>
      <w:tr w14:paraId="68FC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7" w:type="dxa"/>
          </w:tcPr>
          <w:p w14:paraId="5AFCBDBF">
            <w:pPr>
              <w:pStyle w:val="44"/>
              <w:ind w:firstLine="240" w:firstLineChars="100"/>
              <w:rPr>
                <w:rFonts w:ascii="Times New Roman" w:hAnsi="Times New Roman"/>
                <w:sz w:val="24"/>
                <w:szCs w:val="24"/>
              </w:rPr>
            </w:pPr>
            <w:r>
              <w:rPr>
                <w:rFonts w:ascii="Times New Roman" w:hAnsi="Times New Roman"/>
                <w:sz w:val="24"/>
                <w:szCs w:val="24"/>
              </w:rPr>
              <w:t>1</w:t>
            </w:r>
          </w:p>
        </w:tc>
        <w:tc>
          <w:tcPr>
            <w:tcW w:w="5189" w:type="dxa"/>
          </w:tcPr>
          <w:p w14:paraId="2D082FB7">
            <w:pPr>
              <w:pStyle w:val="44"/>
              <w:ind w:firstLine="0" w:firstLineChars="0"/>
              <w:rPr>
                <w:rFonts w:ascii="Times New Roman" w:hAnsi="Times New Roman"/>
                <w:sz w:val="24"/>
                <w:szCs w:val="24"/>
              </w:rPr>
            </w:pPr>
            <w:r>
              <w:rPr>
                <w:rFonts w:ascii="Times New Roman" w:hAnsi="Times New Roman"/>
                <w:sz w:val="24"/>
                <w:szCs w:val="24"/>
              </w:rPr>
              <w:t>最大电流承载试验：温度限值和耐热试验</w:t>
            </w:r>
          </w:p>
        </w:tc>
        <w:tc>
          <w:tcPr>
            <w:tcW w:w="2344" w:type="dxa"/>
          </w:tcPr>
          <w:p w14:paraId="2E1B50EE">
            <w:pPr>
              <w:pStyle w:val="44"/>
              <w:ind w:firstLine="720" w:firstLineChars="300"/>
              <w:rPr>
                <w:rFonts w:ascii="Times New Roman" w:hAnsi="Times New Roman"/>
                <w:sz w:val="24"/>
                <w:szCs w:val="24"/>
              </w:rPr>
            </w:pPr>
            <w:r>
              <w:rPr>
                <w:rFonts w:hint="eastAsia" w:ascii="Times New Roman" w:hAnsi="Times New Roman"/>
                <w:sz w:val="24"/>
                <w:szCs w:val="24"/>
              </w:rPr>
              <w:t xml:space="preserve">   </w:t>
            </w:r>
          </w:p>
        </w:tc>
      </w:tr>
    </w:tbl>
    <w:p w14:paraId="1FFBCBE3">
      <w:pPr>
        <w:rPr>
          <w:b/>
          <w:bCs/>
          <w:sz w:val="28"/>
          <w:szCs w:val="28"/>
        </w:rPr>
      </w:pPr>
    </w:p>
    <w:p w14:paraId="53AA7968">
      <w:pPr>
        <w:pStyle w:val="44"/>
        <w:numPr>
          <w:ilvl w:val="0"/>
          <w:numId w:val="4"/>
        </w:numPr>
        <w:ind w:firstLineChars="0"/>
        <w:rPr>
          <w:b/>
          <w:bCs/>
          <w:sz w:val="28"/>
          <w:szCs w:val="28"/>
        </w:rPr>
      </w:pPr>
      <w:r>
        <w:rPr>
          <w:rFonts w:hint="eastAsia"/>
          <w:b/>
          <w:bCs/>
          <w:sz w:val="28"/>
          <w:szCs w:val="28"/>
        </w:rPr>
        <w:t>试验环境条件</w:t>
      </w:r>
    </w:p>
    <w:tbl>
      <w:tblPr>
        <w:tblStyle w:val="18"/>
        <w:tblpPr w:leftFromText="180" w:rightFromText="180" w:vertAnchor="text" w:horzAnchor="margin" w:tblpY="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239"/>
        <w:gridCol w:w="2344"/>
      </w:tblGrid>
      <w:tr w14:paraId="79D84191">
        <w:tblPrEx>
          <w:tblCellMar>
            <w:top w:w="0" w:type="dxa"/>
            <w:left w:w="108" w:type="dxa"/>
            <w:bottom w:w="0" w:type="dxa"/>
            <w:right w:w="108" w:type="dxa"/>
          </w:tblCellMar>
        </w:tblPrEx>
        <w:trPr>
          <w:trHeight w:val="384" w:hRule="atLeast"/>
        </w:trPr>
        <w:tc>
          <w:tcPr>
            <w:tcW w:w="817" w:type="dxa"/>
          </w:tcPr>
          <w:p w14:paraId="58E483D2">
            <w:pPr>
              <w:pStyle w:val="44"/>
              <w:ind w:firstLine="0" w:firstLineChars="0"/>
              <w:rPr>
                <w:rFonts w:ascii="Times New Roman" w:hAnsi="Times New Roman"/>
                <w:b/>
                <w:bCs/>
                <w:sz w:val="24"/>
                <w:szCs w:val="24"/>
              </w:rPr>
            </w:pPr>
            <w:r>
              <w:rPr>
                <w:rFonts w:hint="eastAsia" w:ascii="Times New Roman" w:hAnsi="Times New Roman"/>
                <w:b/>
                <w:bCs/>
                <w:sz w:val="24"/>
                <w:szCs w:val="24"/>
              </w:rPr>
              <w:t>序号</w:t>
            </w:r>
          </w:p>
        </w:tc>
        <w:tc>
          <w:tcPr>
            <w:tcW w:w="7583" w:type="dxa"/>
            <w:gridSpan w:val="2"/>
          </w:tcPr>
          <w:p w14:paraId="4C372020">
            <w:pPr>
              <w:pStyle w:val="44"/>
              <w:ind w:firstLine="2409" w:firstLineChars="1000"/>
              <w:rPr>
                <w:rFonts w:ascii="Times New Roman" w:hAnsi="Times New Roman"/>
                <w:b/>
                <w:bCs/>
                <w:sz w:val="24"/>
                <w:szCs w:val="24"/>
              </w:rPr>
            </w:pPr>
            <w:r>
              <w:rPr>
                <w:rFonts w:hint="eastAsia" w:ascii="Times New Roman" w:hAnsi="Times New Roman"/>
                <w:b/>
                <w:bCs/>
                <w:sz w:val="24"/>
                <w:szCs w:val="24"/>
              </w:rPr>
              <w:t>试验环境条件</w:t>
            </w:r>
          </w:p>
        </w:tc>
      </w:tr>
      <w:tr w14:paraId="341B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17" w:type="dxa"/>
          </w:tcPr>
          <w:p w14:paraId="78583EA0">
            <w:pPr>
              <w:pStyle w:val="44"/>
              <w:ind w:firstLine="240" w:firstLineChars="100"/>
              <w:rPr>
                <w:rFonts w:ascii="Times New Roman" w:hAnsi="Times New Roman"/>
                <w:sz w:val="24"/>
                <w:szCs w:val="24"/>
              </w:rPr>
            </w:pPr>
            <w:r>
              <w:rPr>
                <w:rFonts w:hint="eastAsia" w:ascii="Times New Roman" w:hAnsi="Times New Roman"/>
                <w:sz w:val="24"/>
                <w:szCs w:val="24"/>
              </w:rPr>
              <w:t>1</w:t>
            </w:r>
          </w:p>
        </w:tc>
        <w:tc>
          <w:tcPr>
            <w:tcW w:w="5239" w:type="dxa"/>
          </w:tcPr>
          <w:p w14:paraId="6C677024">
            <w:pPr>
              <w:pStyle w:val="44"/>
              <w:ind w:firstLine="1200" w:firstLineChars="500"/>
              <w:rPr>
                <w:rFonts w:ascii="Times New Roman" w:hAnsi="Times New Roman"/>
                <w:sz w:val="24"/>
                <w:szCs w:val="24"/>
              </w:rPr>
            </w:pPr>
            <w:r>
              <w:rPr>
                <w:rFonts w:hint="eastAsia" w:ascii="Times New Roman" w:hAnsi="Times New Roman"/>
                <w:sz w:val="24"/>
                <w:szCs w:val="24"/>
              </w:rPr>
              <w:t>环境温度</w:t>
            </w:r>
          </w:p>
        </w:tc>
        <w:tc>
          <w:tcPr>
            <w:tcW w:w="2344" w:type="dxa"/>
          </w:tcPr>
          <w:p w14:paraId="57460432">
            <w:pPr>
              <w:pStyle w:val="44"/>
              <w:ind w:firstLine="720" w:firstLineChars="300"/>
              <w:rPr>
                <w:rFonts w:ascii="Times New Roman" w:hAnsi="Times New Roman"/>
                <w:sz w:val="24"/>
                <w:szCs w:val="24"/>
              </w:rPr>
            </w:pPr>
            <w:r>
              <w:rPr>
                <w:rFonts w:hint="eastAsia" w:ascii="Times New Roman" w:hAnsi="Times New Roman"/>
                <w:sz w:val="24"/>
                <w:szCs w:val="24"/>
              </w:rPr>
              <w:t>25 ℃</w:t>
            </w:r>
          </w:p>
        </w:tc>
      </w:tr>
      <w:tr w14:paraId="2973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17" w:type="dxa"/>
          </w:tcPr>
          <w:p w14:paraId="6B5BC95C">
            <w:pPr>
              <w:pStyle w:val="44"/>
              <w:ind w:firstLine="240" w:firstLineChars="100"/>
              <w:rPr>
                <w:rFonts w:ascii="Times New Roman" w:hAnsi="Times New Roman"/>
                <w:sz w:val="24"/>
                <w:szCs w:val="24"/>
              </w:rPr>
            </w:pPr>
            <w:r>
              <w:rPr>
                <w:rFonts w:hint="eastAsia" w:ascii="Times New Roman" w:hAnsi="Times New Roman"/>
                <w:sz w:val="24"/>
                <w:szCs w:val="24"/>
              </w:rPr>
              <w:t>2</w:t>
            </w:r>
          </w:p>
        </w:tc>
        <w:tc>
          <w:tcPr>
            <w:tcW w:w="5239" w:type="dxa"/>
          </w:tcPr>
          <w:p w14:paraId="3B48BBF8">
            <w:pPr>
              <w:pStyle w:val="44"/>
              <w:ind w:firstLine="1200" w:firstLineChars="500"/>
              <w:rPr>
                <w:rFonts w:ascii="Times New Roman" w:hAnsi="Times New Roman"/>
                <w:sz w:val="24"/>
                <w:szCs w:val="24"/>
              </w:rPr>
            </w:pPr>
            <w:r>
              <w:rPr>
                <w:rFonts w:hint="eastAsia" w:ascii="Times New Roman" w:hAnsi="Times New Roman"/>
                <w:sz w:val="24"/>
                <w:szCs w:val="24"/>
              </w:rPr>
              <w:t>环境湿度</w:t>
            </w:r>
          </w:p>
        </w:tc>
        <w:tc>
          <w:tcPr>
            <w:tcW w:w="2344" w:type="dxa"/>
          </w:tcPr>
          <w:p w14:paraId="705FE225">
            <w:pPr>
              <w:pStyle w:val="44"/>
              <w:ind w:firstLine="720" w:firstLineChars="300"/>
              <w:rPr>
                <w:rFonts w:ascii="Times New Roman" w:hAnsi="Times New Roman"/>
                <w:sz w:val="24"/>
                <w:szCs w:val="24"/>
              </w:rPr>
            </w:pPr>
            <w:r>
              <w:rPr>
                <w:rFonts w:hint="eastAsia" w:ascii="Times New Roman" w:hAnsi="Times New Roman"/>
                <w:sz w:val="24"/>
                <w:szCs w:val="24"/>
              </w:rPr>
              <w:t>56%RH</w:t>
            </w:r>
          </w:p>
        </w:tc>
      </w:tr>
    </w:tbl>
    <w:p w14:paraId="744269E9">
      <w:pPr>
        <w:rPr>
          <w:b/>
          <w:bCs/>
          <w:sz w:val="28"/>
          <w:szCs w:val="28"/>
        </w:rPr>
      </w:pPr>
    </w:p>
    <w:p w14:paraId="359D5B90">
      <w:pPr>
        <w:rPr>
          <w:b/>
          <w:bCs/>
          <w:sz w:val="28"/>
          <w:szCs w:val="28"/>
        </w:rPr>
      </w:pPr>
      <w:r>
        <w:rPr>
          <w:rFonts w:hint="eastAsia"/>
          <w:b/>
          <w:bCs/>
          <w:sz w:val="28"/>
          <w:szCs w:val="28"/>
        </w:rPr>
        <w:t>3、试验依据</w:t>
      </w:r>
    </w:p>
    <w:p w14:paraId="415F358B">
      <w:pPr>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试验依据</w:t>
      </w:r>
      <w:r>
        <w:rPr>
          <w:rFonts w:ascii="Times New Roman" w:hAnsi="Times New Roman" w:eastAsiaTheme="minorEastAsia"/>
          <w:sz w:val="24"/>
          <w:szCs w:val="24"/>
        </w:rPr>
        <w:t>GB</w:t>
      </w:r>
      <w:r>
        <w:rPr>
          <w:rFonts w:hint="eastAsia" w:ascii="Times New Roman" w:hAnsi="Times New Roman" w:eastAsiaTheme="minorEastAsia"/>
          <w:sz w:val="24"/>
          <w:szCs w:val="24"/>
        </w:rPr>
        <w:t>/</w:t>
      </w:r>
      <w:r>
        <w:rPr>
          <w:rFonts w:ascii="Times New Roman" w:hAnsi="Times New Roman" w:eastAsiaTheme="minorEastAsia"/>
          <w:sz w:val="24"/>
          <w:szCs w:val="24"/>
        </w:rPr>
        <w:t>T 17215.231-2021 电测量设备（交流）通用要求、试验和试验条件第31 部分：产品安全要求和试验</w:t>
      </w:r>
      <w:r>
        <w:rPr>
          <w:rFonts w:hint="eastAsia" w:ascii="Times New Roman" w:hAnsi="Times New Roman" w:eastAsiaTheme="minorEastAsia"/>
          <w:sz w:val="24"/>
          <w:szCs w:val="24"/>
        </w:rPr>
        <w:t>。</w:t>
      </w:r>
    </w:p>
    <w:p w14:paraId="36E91A3C">
      <w:pPr>
        <w:rPr>
          <w:b/>
          <w:bCs/>
          <w:sz w:val="28"/>
          <w:szCs w:val="28"/>
        </w:rPr>
      </w:pPr>
      <w:r>
        <w:rPr>
          <w:rFonts w:hint="eastAsia"/>
          <w:b/>
          <w:bCs/>
          <w:sz w:val="28"/>
          <w:szCs w:val="28"/>
        </w:rPr>
        <w:t>4、试验结果</w:t>
      </w:r>
    </w:p>
    <w:tbl>
      <w:tblPr>
        <w:tblStyle w:val="17"/>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6"/>
        <w:gridCol w:w="2830"/>
        <w:gridCol w:w="1515"/>
        <w:gridCol w:w="1064"/>
        <w:gridCol w:w="1065"/>
      </w:tblGrid>
      <w:tr w14:paraId="6A0B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23" w:type="pct"/>
            <w:vMerge w:val="restart"/>
          </w:tcPr>
          <w:p w14:paraId="778BED33">
            <w:pPr>
              <w:jc w:val="center"/>
              <w:rPr>
                <w:rFonts w:ascii="Times New Roman" w:hAnsiTheme="minorHAnsi" w:eastAsiaTheme="minorEastAsia" w:cstheme="minorBidi"/>
                <w:b/>
                <w:bCs/>
                <w:sz w:val="24"/>
                <w:szCs w:val="24"/>
              </w:rPr>
            </w:pPr>
          </w:p>
          <w:p w14:paraId="4371A83D">
            <w:pPr>
              <w:jc w:val="center"/>
              <w:rPr>
                <w:rFonts w:ascii="Times New Roman" w:hAnsiTheme="minorHAnsi" w:eastAsiaTheme="minorEastAsia" w:cstheme="minorBidi"/>
                <w:b/>
                <w:bCs/>
                <w:sz w:val="24"/>
                <w:szCs w:val="24"/>
              </w:rPr>
            </w:pPr>
            <w:r>
              <w:rPr>
                <w:rFonts w:hint="eastAsia" w:ascii="Times New Roman" w:hAnsiTheme="minorHAnsi" w:eastAsiaTheme="minorEastAsia" w:cstheme="minorBidi"/>
                <w:b/>
                <w:bCs/>
                <w:sz w:val="24"/>
                <w:szCs w:val="24"/>
              </w:rPr>
              <w:t>实验项目</w:t>
            </w:r>
          </w:p>
        </w:tc>
        <w:tc>
          <w:tcPr>
            <w:tcW w:w="1651" w:type="pct"/>
            <w:vMerge w:val="restart"/>
          </w:tcPr>
          <w:p w14:paraId="00C51607">
            <w:pPr>
              <w:jc w:val="center"/>
              <w:rPr>
                <w:rFonts w:ascii="Times New Roman" w:hAnsiTheme="minorHAnsi" w:eastAsiaTheme="minorEastAsia" w:cstheme="minorBidi"/>
                <w:b/>
                <w:bCs/>
                <w:sz w:val="24"/>
                <w:szCs w:val="24"/>
              </w:rPr>
            </w:pPr>
          </w:p>
          <w:p w14:paraId="480C3BEA">
            <w:pPr>
              <w:jc w:val="center"/>
              <w:rPr>
                <w:rFonts w:ascii="Times New Roman" w:hAnsiTheme="minorHAnsi" w:eastAsiaTheme="minorEastAsia" w:cstheme="minorBidi"/>
                <w:b/>
                <w:bCs/>
                <w:sz w:val="24"/>
                <w:szCs w:val="24"/>
              </w:rPr>
            </w:pPr>
            <w:r>
              <w:rPr>
                <w:rFonts w:hint="eastAsia" w:ascii="Times New Roman" w:hAnsiTheme="minorHAnsi" w:eastAsiaTheme="minorEastAsia" w:cstheme="minorBidi"/>
                <w:b/>
                <w:bCs/>
                <w:sz w:val="24"/>
                <w:szCs w:val="24"/>
              </w:rPr>
              <w:t>测试方法</w:t>
            </w:r>
          </w:p>
        </w:tc>
        <w:tc>
          <w:tcPr>
            <w:tcW w:w="884" w:type="pct"/>
            <w:vMerge w:val="restart"/>
          </w:tcPr>
          <w:p w14:paraId="7C49DCDC">
            <w:pPr>
              <w:jc w:val="center"/>
              <w:rPr>
                <w:rFonts w:ascii="Times New Roman" w:hAnsiTheme="minorHAnsi" w:eastAsiaTheme="minorEastAsia" w:cstheme="minorBidi"/>
                <w:b/>
                <w:bCs/>
                <w:sz w:val="24"/>
                <w:szCs w:val="24"/>
              </w:rPr>
            </w:pPr>
          </w:p>
          <w:p w14:paraId="706B945F">
            <w:pPr>
              <w:jc w:val="center"/>
              <w:rPr>
                <w:rFonts w:ascii="Times New Roman" w:hAnsiTheme="minorHAnsi" w:eastAsiaTheme="minorEastAsia" w:cstheme="minorBidi"/>
                <w:b/>
                <w:bCs/>
                <w:sz w:val="24"/>
                <w:szCs w:val="24"/>
              </w:rPr>
            </w:pPr>
            <w:r>
              <w:rPr>
                <w:rFonts w:hint="eastAsia" w:ascii="Times New Roman" w:hAnsiTheme="minorHAnsi" w:eastAsiaTheme="minorEastAsia" w:cstheme="minorBidi"/>
                <w:b/>
                <w:bCs/>
                <w:sz w:val="24"/>
                <w:szCs w:val="24"/>
              </w:rPr>
              <w:t>技术要求</w:t>
            </w:r>
          </w:p>
        </w:tc>
        <w:tc>
          <w:tcPr>
            <w:tcW w:w="1242" w:type="pct"/>
            <w:gridSpan w:val="2"/>
          </w:tcPr>
          <w:p w14:paraId="7A4FFF8D">
            <w:pPr>
              <w:rPr>
                <w:rFonts w:ascii="Times New Roman" w:hAnsiTheme="minorHAnsi" w:eastAsiaTheme="minorEastAsia" w:cstheme="minorBidi"/>
                <w:b/>
                <w:bCs/>
                <w:sz w:val="24"/>
                <w:szCs w:val="24"/>
              </w:rPr>
            </w:pPr>
            <w:r>
              <w:rPr>
                <w:rFonts w:hint="eastAsia" w:ascii="Times New Roman" w:hAnsiTheme="minorHAnsi" w:eastAsiaTheme="minorEastAsia" w:cstheme="minorBidi"/>
                <w:b/>
                <w:bCs/>
                <w:sz w:val="24"/>
                <w:szCs w:val="24"/>
              </w:rPr>
              <w:t>实测表面温度/℃</w:t>
            </w:r>
          </w:p>
        </w:tc>
      </w:tr>
      <w:tr w14:paraId="5DBB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23" w:type="pct"/>
            <w:vMerge w:val="continue"/>
          </w:tcPr>
          <w:p w14:paraId="5E7B4C4D">
            <w:pPr>
              <w:ind w:firstLine="723" w:firstLineChars="300"/>
              <w:rPr>
                <w:rFonts w:ascii="Times New Roman" w:hAnsiTheme="minorHAnsi" w:eastAsiaTheme="minorEastAsia" w:cstheme="minorBidi"/>
                <w:b/>
                <w:bCs/>
                <w:sz w:val="24"/>
                <w:szCs w:val="24"/>
              </w:rPr>
            </w:pPr>
          </w:p>
        </w:tc>
        <w:tc>
          <w:tcPr>
            <w:tcW w:w="1651" w:type="pct"/>
            <w:vMerge w:val="continue"/>
          </w:tcPr>
          <w:p w14:paraId="3B2B06B5">
            <w:pPr>
              <w:ind w:firstLine="241" w:firstLineChars="100"/>
              <w:rPr>
                <w:rFonts w:ascii="Times New Roman" w:hAnsiTheme="minorHAnsi" w:eastAsiaTheme="minorEastAsia" w:cstheme="minorBidi"/>
                <w:b/>
                <w:bCs/>
                <w:sz w:val="24"/>
                <w:szCs w:val="24"/>
              </w:rPr>
            </w:pPr>
          </w:p>
        </w:tc>
        <w:tc>
          <w:tcPr>
            <w:tcW w:w="884" w:type="pct"/>
            <w:vMerge w:val="continue"/>
          </w:tcPr>
          <w:p w14:paraId="7CAD1455">
            <w:pPr>
              <w:ind w:firstLine="241" w:firstLineChars="100"/>
              <w:rPr>
                <w:rFonts w:ascii="Times New Roman" w:hAnsiTheme="minorHAnsi" w:eastAsiaTheme="minorEastAsia" w:cstheme="minorBidi"/>
                <w:b/>
                <w:bCs/>
                <w:sz w:val="24"/>
                <w:szCs w:val="24"/>
              </w:rPr>
            </w:pPr>
          </w:p>
        </w:tc>
        <w:tc>
          <w:tcPr>
            <w:tcW w:w="621" w:type="pct"/>
          </w:tcPr>
          <w:p w14:paraId="6D22B28D">
            <w:pPr>
              <w:ind w:firstLine="241" w:firstLineChars="100"/>
              <w:rPr>
                <w:rFonts w:ascii="Times New Roman" w:hAnsiTheme="minorHAnsi" w:eastAsiaTheme="minorEastAsia" w:cstheme="minorBidi"/>
                <w:b/>
                <w:bCs/>
                <w:sz w:val="24"/>
                <w:szCs w:val="24"/>
              </w:rPr>
            </w:pPr>
            <w:r>
              <w:rPr>
                <w:rFonts w:hint="eastAsia" w:ascii="Times New Roman"/>
                <w:b/>
                <w:bCs/>
                <w:sz w:val="24"/>
                <w:szCs w:val="24"/>
              </w:rPr>
              <w:t>100 A</w:t>
            </w:r>
          </w:p>
        </w:tc>
        <w:tc>
          <w:tcPr>
            <w:tcW w:w="621" w:type="pct"/>
          </w:tcPr>
          <w:p w14:paraId="16F20521">
            <w:pPr>
              <w:ind w:firstLine="241" w:firstLineChars="100"/>
              <w:rPr>
                <w:rFonts w:ascii="Times New Roman" w:hAnsiTheme="minorHAnsi" w:eastAsiaTheme="minorEastAsia" w:cstheme="minorBidi"/>
                <w:b/>
                <w:bCs/>
                <w:sz w:val="24"/>
                <w:szCs w:val="24"/>
              </w:rPr>
            </w:pPr>
            <w:r>
              <w:rPr>
                <w:rFonts w:hint="eastAsia" w:ascii="Times New Roman"/>
                <w:b/>
                <w:bCs/>
                <w:sz w:val="24"/>
                <w:szCs w:val="24"/>
              </w:rPr>
              <w:t>120 A</w:t>
            </w:r>
          </w:p>
        </w:tc>
      </w:tr>
      <w:tr w14:paraId="1F7F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1223" w:type="pct"/>
          </w:tcPr>
          <w:p w14:paraId="140DC6B6">
            <w:pPr>
              <w:rPr>
                <w:rFonts w:ascii="Times New Roman" w:hAnsi="Times New Roman" w:eastAsiaTheme="minorEastAsia"/>
                <w:sz w:val="24"/>
                <w:szCs w:val="24"/>
              </w:rPr>
            </w:pPr>
          </w:p>
          <w:p w14:paraId="0E7A82EA">
            <w:pPr>
              <w:rPr>
                <w:rFonts w:ascii="Times New Roman" w:hAnsi="Times New Roman" w:eastAsiaTheme="minorEastAsia"/>
                <w:sz w:val="24"/>
                <w:szCs w:val="24"/>
              </w:rPr>
            </w:pPr>
          </w:p>
          <w:p w14:paraId="616FB046">
            <w:pPr>
              <w:rPr>
                <w:rFonts w:ascii="Times New Roman" w:hAnsi="Times New Roman" w:eastAsiaTheme="minorEastAsia"/>
                <w:sz w:val="24"/>
                <w:szCs w:val="24"/>
              </w:rPr>
            </w:pPr>
            <w:r>
              <w:rPr>
                <w:rFonts w:ascii="Times New Roman" w:hAnsi="Times New Roman" w:eastAsiaTheme="minorEastAsia"/>
                <w:sz w:val="24"/>
                <w:szCs w:val="24"/>
              </w:rPr>
              <w:t>外护物的外表面（非故意的接触）的表面温度限值</w:t>
            </w:r>
          </w:p>
        </w:tc>
        <w:tc>
          <w:tcPr>
            <w:tcW w:w="1651" w:type="pct"/>
            <w:vMerge w:val="restart"/>
          </w:tcPr>
          <w:p w14:paraId="362173EE">
            <w:pPr>
              <w:rPr>
                <w:rFonts w:ascii="Times New Roman" w:hAnsi="Times New Roman" w:eastAsiaTheme="minorEastAsia"/>
                <w:sz w:val="24"/>
                <w:szCs w:val="24"/>
              </w:rPr>
            </w:pPr>
          </w:p>
          <w:p w14:paraId="14CA682A">
            <w:pPr>
              <w:rPr>
                <w:rFonts w:ascii="Times New Roman" w:hAnsi="Times New Roman" w:eastAsiaTheme="minorEastAsia"/>
                <w:sz w:val="24"/>
                <w:szCs w:val="24"/>
              </w:rPr>
            </w:pPr>
            <w:r>
              <w:rPr>
                <w:rFonts w:hint="eastAsia" w:ascii="Times New Roman" w:hAnsi="Times New Roman" w:eastAsiaTheme="minorEastAsia"/>
                <w:sz w:val="24"/>
                <w:szCs w:val="24"/>
              </w:rPr>
              <w:t>在规定试验环境条件下</w:t>
            </w:r>
            <w:r>
              <w:rPr>
                <w:rFonts w:ascii="Times New Roman" w:hAnsi="Times New Roman" w:eastAsiaTheme="minorEastAsia"/>
                <w:sz w:val="24"/>
                <w:szCs w:val="24"/>
              </w:rPr>
              <w:t>，标准表电流接线端子安装在台体表位的电流接线柱上分别施加电流100A和120A，各运行</w:t>
            </w:r>
            <w:r>
              <w:rPr>
                <w:rFonts w:hint="eastAsia" w:ascii="Times New Roman" w:hAnsi="Times New Roman" w:eastAsiaTheme="minorEastAsia"/>
                <w:sz w:val="24"/>
                <w:szCs w:val="24"/>
              </w:rPr>
              <w:t xml:space="preserve">1 </w:t>
            </w:r>
            <w:r>
              <w:rPr>
                <w:rFonts w:ascii="Times New Roman" w:hAnsi="Times New Roman" w:eastAsiaTheme="minorEastAsia"/>
                <w:sz w:val="24"/>
                <w:szCs w:val="24"/>
              </w:rPr>
              <w:t>h后，开始测量标准表电流接线端子塑料端和金属尾端的温度，在随后的</w:t>
            </w:r>
            <w:r>
              <w:rPr>
                <w:rFonts w:hint="eastAsia" w:ascii="Times New Roman" w:hAnsi="Times New Roman" w:eastAsiaTheme="minorEastAsia"/>
                <w:sz w:val="24"/>
                <w:szCs w:val="24"/>
              </w:rPr>
              <w:t xml:space="preserve">1 </w:t>
            </w:r>
            <w:r>
              <w:rPr>
                <w:rFonts w:ascii="Times New Roman" w:hAnsi="Times New Roman" w:eastAsiaTheme="minorEastAsia"/>
                <w:sz w:val="24"/>
                <w:szCs w:val="24"/>
              </w:rPr>
              <w:t>h试验期间内，每隔10 min用可视测温仪测试相应部位的温度，取其最大值作为表面温度值。</w:t>
            </w:r>
          </w:p>
        </w:tc>
        <w:tc>
          <w:tcPr>
            <w:tcW w:w="884" w:type="pct"/>
          </w:tcPr>
          <w:p w14:paraId="7F8BB8F9">
            <w:pPr>
              <w:rPr>
                <w:rFonts w:ascii="Times New Roman" w:hAnsi="Times New Roman" w:eastAsiaTheme="minorEastAsia"/>
                <w:sz w:val="24"/>
                <w:szCs w:val="24"/>
              </w:rPr>
            </w:pPr>
          </w:p>
          <w:p w14:paraId="08B32351">
            <w:pPr>
              <w:rPr>
                <w:rFonts w:ascii="Times New Roman" w:hAnsi="Times New Roman" w:eastAsiaTheme="minorEastAsia"/>
                <w:sz w:val="24"/>
                <w:szCs w:val="24"/>
              </w:rPr>
            </w:pPr>
          </w:p>
          <w:p w14:paraId="557F4833">
            <w:pPr>
              <w:rPr>
                <w:rFonts w:ascii="Times New Roman" w:hAnsi="Times New Roman" w:eastAsiaTheme="minorEastAsia"/>
                <w:sz w:val="24"/>
                <w:szCs w:val="24"/>
              </w:rPr>
            </w:pPr>
          </w:p>
          <w:p w14:paraId="503F1C1B">
            <w:pPr>
              <w:rPr>
                <w:rFonts w:ascii="Times New Roman" w:hAnsi="Times New Roman" w:eastAsiaTheme="minorEastAsia"/>
                <w:sz w:val="24"/>
                <w:szCs w:val="24"/>
              </w:rPr>
            </w:pPr>
            <w:r>
              <w:rPr>
                <w:rFonts w:ascii="Times New Roman" w:hAnsi="Times New Roman" w:eastAsiaTheme="minorEastAsia"/>
                <w:sz w:val="24"/>
                <w:szCs w:val="24"/>
              </w:rPr>
              <w:t>正常使用中不太可能触及到的小区域： 85 °C</w:t>
            </w:r>
          </w:p>
        </w:tc>
        <w:tc>
          <w:tcPr>
            <w:tcW w:w="621" w:type="pct"/>
          </w:tcPr>
          <w:p w14:paraId="4DEF4B2C">
            <w:pPr>
              <w:jc w:val="center"/>
              <w:rPr>
                <w:rFonts w:ascii="Times New Roman" w:hAnsi="Times New Roman" w:eastAsiaTheme="minorEastAsia"/>
                <w:sz w:val="24"/>
                <w:szCs w:val="24"/>
              </w:rPr>
            </w:pPr>
          </w:p>
          <w:p w14:paraId="22E78FFA">
            <w:pPr>
              <w:jc w:val="center"/>
              <w:rPr>
                <w:rFonts w:ascii="Times New Roman" w:hAnsi="Times New Roman" w:eastAsiaTheme="minorEastAsia"/>
                <w:sz w:val="24"/>
                <w:szCs w:val="24"/>
              </w:rPr>
            </w:pPr>
          </w:p>
          <w:p w14:paraId="7BDE7F0E">
            <w:pPr>
              <w:jc w:val="center"/>
              <w:rPr>
                <w:rFonts w:ascii="Times New Roman" w:hAnsi="Times New Roman" w:eastAsiaTheme="minorEastAsia"/>
                <w:sz w:val="24"/>
                <w:szCs w:val="24"/>
              </w:rPr>
            </w:pPr>
          </w:p>
          <w:p w14:paraId="71A24CF1">
            <w:pPr>
              <w:jc w:val="center"/>
              <w:rPr>
                <w:rFonts w:ascii="Times New Roman" w:hAnsi="Times New Roman" w:eastAsiaTheme="minorEastAsia"/>
                <w:sz w:val="24"/>
                <w:szCs w:val="24"/>
              </w:rPr>
            </w:pPr>
          </w:p>
          <w:p w14:paraId="0132BCF8">
            <w:pPr>
              <w:jc w:val="center"/>
              <w:rPr>
                <w:rFonts w:ascii="Times New Roman" w:hAnsi="Times New Roman" w:eastAsiaTheme="minorEastAsia"/>
                <w:sz w:val="24"/>
                <w:szCs w:val="24"/>
              </w:rPr>
            </w:pPr>
          </w:p>
          <w:p w14:paraId="33DFFA59">
            <w:pPr>
              <w:jc w:val="center"/>
              <w:rPr>
                <w:rFonts w:ascii="Times New Roman" w:hAnsi="Times New Roman" w:eastAsiaTheme="minorEastAsia"/>
                <w:sz w:val="24"/>
                <w:szCs w:val="24"/>
              </w:rPr>
            </w:pPr>
            <w:r>
              <w:rPr>
                <w:rFonts w:ascii="Times New Roman" w:hAnsi="Times New Roman" w:eastAsiaTheme="minorEastAsia"/>
                <w:sz w:val="24"/>
                <w:szCs w:val="24"/>
              </w:rPr>
              <w:t>38. 7</w:t>
            </w:r>
          </w:p>
        </w:tc>
        <w:tc>
          <w:tcPr>
            <w:tcW w:w="621" w:type="pct"/>
          </w:tcPr>
          <w:p w14:paraId="0E368621">
            <w:pPr>
              <w:jc w:val="center"/>
              <w:rPr>
                <w:rFonts w:ascii="Times New Roman" w:hAnsi="Times New Roman" w:eastAsiaTheme="minorEastAsia"/>
                <w:sz w:val="24"/>
                <w:szCs w:val="24"/>
              </w:rPr>
            </w:pPr>
          </w:p>
          <w:p w14:paraId="70E9F32C">
            <w:pPr>
              <w:jc w:val="center"/>
              <w:rPr>
                <w:rFonts w:ascii="Times New Roman" w:hAnsi="Times New Roman" w:eastAsiaTheme="minorEastAsia"/>
                <w:sz w:val="24"/>
                <w:szCs w:val="24"/>
              </w:rPr>
            </w:pPr>
          </w:p>
          <w:p w14:paraId="07C1DBA3">
            <w:pPr>
              <w:jc w:val="center"/>
              <w:rPr>
                <w:rFonts w:ascii="Times New Roman" w:hAnsi="Times New Roman" w:eastAsiaTheme="minorEastAsia"/>
                <w:sz w:val="24"/>
                <w:szCs w:val="24"/>
              </w:rPr>
            </w:pPr>
          </w:p>
          <w:p w14:paraId="16EE77F7">
            <w:pPr>
              <w:jc w:val="center"/>
              <w:rPr>
                <w:rFonts w:ascii="Times New Roman" w:hAnsi="Times New Roman" w:eastAsiaTheme="minorEastAsia"/>
                <w:sz w:val="24"/>
                <w:szCs w:val="24"/>
              </w:rPr>
            </w:pPr>
          </w:p>
          <w:p w14:paraId="3686FFDD">
            <w:pPr>
              <w:jc w:val="center"/>
              <w:rPr>
                <w:rFonts w:ascii="Times New Roman" w:hAnsi="Times New Roman" w:eastAsiaTheme="minorEastAsia"/>
                <w:sz w:val="24"/>
                <w:szCs w:val="24"/>
              </w:rPr>
            </w:pPr>
          </w:p>
          <w:p w14:paraId="1B5B36F6">
            <w:pPr>
              <w:jc w:val="center"/>
              <w:rPr>
                <w:rFonts w:ascii="Times New Roman" w:hAnsi="Times New Roman" w:eastAsiaTheme="minorEastAsia"/>
                <w:sz w:val="24"/>
                <w:szCs w:val="24"/>
              </w:rPr>
            </w:pPr>
            <w:r>
              <w:rPr>
                <w:rFonts w:ascii="Times New Roman" w:hAnsi="Times New Roman" w:eastAsiaTheme="minorEastAsia"/>
                <w:sz w:val="24"/>
                <w:szCs w:val="24"/>
              </w:rPr>
              <w:t>43.5</w:t>
            </w:r>
          </w:p>
          <w:p w14:paraId="340ADAF7">
            <w:pPr>
              <w:jc w:val="center"/>
              <w:rPr>
                <w:rFonts w:ascii="Times New Roman" w:hAnsi="Times New Roman" w:eastAsiaTheme="minorEastAsia"/>
                <w:sz w:val="24"/>
                <w:szCs w:val="24"/>
              </w:rPr>
            </w:pPr>
          </w:p>
        </w:tc>
      </w:tr>
      <w:tr w14:paraId="2DC5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1223" w:type="pct"/>
          </w:tcPr>
          <w:p w14:paraId="5A2B2120">
            <w:pPr>
              <w:rPr>
                <w:rFonts w:ascii="Times New Roman" w:hAnsi="Times New Roman" w:eastAsiaTheme="minorEastAsia"/>
                <w:sz w:val="24"/>
                <w:szCs w:val="24"/>
              </w:rPr>
            </w:pPr>
          </w:p>
          <w:p w14:paraId="504B2BE5">
            <w:pPr>
              <w:rPr>
                <w:rFonts w:ascii="Times New Roman" w:hAnsi="Times New Roman" w:eastAsiaTheme="minorEastAsia"/>
                <w:sz w:val="24"/>
                <w:szCs w:val="24"/>
              </w:rPr>
            </w:pPr>
          </w:p>
          <w:p w14:paraId="20EA91CB">
            <w:pPr>
              <w:rPr>
                <w:rFonts w:ascii="Times New Roman" w:hAnsi="Times New Roman" w:eastAsiaTheme="minorEastAsia"/>
                <w:sz w:val="24"/>
                <w:szCs w:val="24"/>
              </w:rPr>
            </w:pPr>
            <w:r>
              <w:rPr>
                <w:rFonts w:ascii="Times New Roman" w:hAnsi="Times New Roman" w:eastAsiaTheme="minorEastAsia"/>
                <w:sz w:val="24"/>
                <w:szCs w:val="24"/>
              </w:rPr>
              <w:t>端子的温度限</w:t>
            </w:r>
            <w:r>
              <w:rPr>
                <w:rFonts w:hint="eastAsia" w:ascii="Times New Roman" w:hAnsi="Times New Roman" w:eastAsiaTheme="minorEastAsia"/>
                <w:sz w:val="24"/>
                <w:szCs w:val="24"/>
              </w:rPr>
              <w:t>值</w:t>
            </w:r>
          </w:p>
        </w:tc>
        <w:tc>
          <w:tcPr>
            <w:tcW w:w="1651" w:type="pct"/>
            <w:vMerge w:val="continue"/>
          </w:tcPr>
          <w:p w14:paraId="16AEE012">
            <w:pPr>
              <w:rPr>
                <w:rFonts w:ascii="Times New Roman" w:hAnsi="Times New Roman" w:eastAsiaTheme="minorEastAsia"/>
                <w:sz w:val="24"/>
                <w:szCs w:val="24"/>
              </w:rPr>
            </w:pPr>
          </w:p>
        </w:tc>
        <w:tc>
          <w:tcPr>
            <w:tcW w:w="884" w:type="pct"/>
          </w:tcPr>
          <w:p w14:paraId="512C69B8">
            <w:pPr>
              <w:rPr>
                <w:rFonts w:ascii="Times New Roman" w:hAnsi="Times New Roman" w:eastAsiaTheme="minorEastAsia"/>
                <w:sz w:val="24"/>
                <w:szCs w:val="24"/>
              </w:rPr>
            </w:pPr>
          </w:p>
          <w:p w14:paraId="15900D5A">
            <w:pPr>
              <w:rPr>
                <w:rFonts w:ascii="Times New Roman" w:hAnsi="Times New Roman" w:eastAsiaTheme="minorEastAsia"/>
                <w:sz w:val="24"/>
                <w:szCs w:val="24"/>
              </w:rPr>
            </w:pPr>
            <w:r>
              <w:rPr>
                <w:rFonts w:ascii="Times New Roman" w:hAnsi="Times New Roman" w:eastAsiaTheme="minorEastAsia"/>
                <w:sz w:val="24"/>
                <w:szCs w:val="24"/>
              </w:rPr>
              <w:t>黄铜镀镍： 95 ℃</w:t>
            </w:r>
          </w:p>
        </w:tc>
        <w:tc>
          <w:tcPr>
            <w:tcW w:w="621" w:type="pct"/>
          </w:tcPr>
          <w:p w14:paraId="09A2031E">
            <w:pPr>
              <w:jc w:val="center"/>
              <w:rPr>
                <w:rFonts w:ascii="Times New Roman" w:hAnsi="Times New Roman" w:eastAsiaTheme="minorEastAsia"/>
                <w:color w:val="060606"/>
                <w:kern w:val="0"/>
                <w:sz w:val="24"/>
                <w:szCs w:val="24"/>
              </w:rPr>
            </w:pPr>
          </w:p>
          <w:p w14:paraId="6948617D">
            <w:pPr>
              <w:jc w:val="center"/>
              <w:rPr>
                <w:rFonts w:ascii="Times New Roman" w:hAnsi="Times New Roman" w:eastAsiaTheme="minorEastAsia"/>
                <w:color w:val="060606"/>
                <w:kern w:val="0"/>
                <w:sz w:val="24"/>
                <w:szCs w:val="24"/>
              </w:rPr>
            </w:pPr>
          </w:p>
          <w:p w14:paraId="731D684A">
            <w:pPr>
              <w:jc w:val="center"/>
              <w:rPr>
                <w:rFonts w:ascii="Times New Roman" w:hAnsi="Times New Roman" w:eastAsiaTheme="minorEastAsia"/>
                <w:sz w:val="24"/>
                <w:szCs w:val="24"/>
              </w:rPr>
            </w:pPr>
            <w:r>
              <w:rPr>
                <w:rFonts w:ascii="Times New Roman" w:hAnsi="Times New Roman" w:eastAsiaTheme="minorEastAsia"/>
                <w:color w:val="060606"/>
                <w:kern w:val="0"/>
                <w:sz w:val="24"/>
                <w:szCs w:val="24"/>
              </w:rPr>
              <w:t>50.9</w:t>
            </w:r>
          </w:p>
        </w:tc>
        <w:tc>
          <w:tcPr>
            <w:tcW w:w="621" w:type="pct"/>
          </w:tcPr>
          <w:p w14:paraId="23E9F031">
            <w:pPr>
              <w:jc w:val="center"/>
              <w:rPr>
                <w:rFonts w:ascii="Times New Roman" w:hAnsi="Times New Roman" w:eastAsiaTheme="minorEastAsia"/>
                <w:color w:val="060606"/>
                <w:kern w:val="0"/>
                <w:sz w:val="24"/>
                <w:szCs w:val="24"/>
              </w:rPr>
            </w:pPr>
          </w:p>
          <w:p w14:paraId="6714FF7A">
            <w:pPr>
              <w:jc w:val="center"/>
              <w:rPr>
                <w:rFonts w:ascii="Times New Roman" w:hAnsi="Times New Roman" w:eastAsiaTheme="minorEastAsia"/>
                <w:color w:val="060606"/>
                <w:kern w:val="0"/>
                <w:sz w:val="24"/>
                <w:szCs w:val="24"/>
              </w:rPr>
            </w:pPr>
          </w:p>
          <w:p w14:paraId="2B7B219B">
            <w:pPr>
              <w:jc w:val="center"/>
              <w:rPr>
                <w:rFonts w:ascii="Times New Roman" w:hAnsi="Times New Roman" w:eastAsiaTheme="minorEastAsia"/>
                <w:sz w:val="24"/>
                <w:szCs w:val="24"/>
              </w:rPr>
            </w:pPr>
            <w:r>
              <w:rPr>
                <w:rFonts w:hint="eastAsia" w:ascii="Times New Roman" w:hAnsi="Times New Roman" w:eastAsiaTheme="minorEastAsia"/>
                <w:color w:val="060606"/>
                <w:kern w:val="0"/>
                <w:sz w:val="24"/>
                <w:szCs w:val="24"/>
              </w:rPr>
              <w:t>64.4</w:t>
            </w:r>
          </w:p>
        </w:tc>
      </w:tr>
    </w:tbl>
    <w:p w14:paraId="7A3E66D9">
      <w:pPr>
        <w:rPr>
          <w:b/>
          <w:bCs/>
          <w:sz w:val="28"/>
          <w:szCs w:val="28"/>
        </w:rPr>
      </w:pPr>
      <w:r>
        <w:rPr>
          <w:rFonts w:hint="eastAsia"/>
          <w:b/>
          <w:bCs/>
          <w:sz w:val="28"/>
          <w:szCs w:val="28"/>
        </w:rPr>
        <w:t>试验结论：符合</w:t>
      </w:r>
    </w:p>
    <w:p w14:paraId="46FC82A0">
      <w:pPr>
        <w:pStyle w:val="3"/>
        <w:rPr>
          <w:rFonts w:hint="eastAsia" w:ascii="宋体" w:hAnsi="宋体" w:cs="宋体"/>
          <w:sz w:val="28"/>
          <w:szCs w:val="28"/>
        </w:rPr>
      </w:pPr>
      <w:r>
        <w:rPr>
          <w:rFonts w:hint="eastAsia" w:ascii="Times New Roman" w:hAnsi="Times New Roman"/>
          <w:bCs w:val="0"/>
          <w:sz w:val="28"/>
          <w:szCs w:val="28"/>
        </w:rPr>
        <w:t>四</w:t>
      </w:r>
      <w:r>
        <w:rPr>
          <w:rFonts w:ascii="Times New Roman" w:hAnsi="Times New Roman"/>
          <w:bCs w:val="0"/>
          <w:sz w:val="28"/>
          <w:szCs w:val="28"/>
        </w:rPr>
        <w:t>、</w:t>
      </w:r>
      <w:r>
        <w:rPr>
          <w:rFonts w:ascii="Times New Roman" w:hAnsi="Times New Roman"/>
          <w:sz w:val="28"/>
          <w:szCs w:val="28"/>
        </w:rPr>
        <w:t>标准涉及国内外专利及处置情况</w:t>
      </w:r>
    </w:p>
    <w:p w14:paraId="602C0E43">
      <w:pPr>
        <w:spacing w:line="360" w:lineRule="auto"/>
        <w:ind w:firstLine="480" w:firstLineChars="200"/>
        <w:rPr>
          <w:sz w:val="24"/>
          <w:szCs w:val="24"/>
        </w:rPr>
      </w:pPr>
      <w:r>
        <w:rPr>
          <w:rFonts w:hint="eastAsia"/>
          <w:sz w:val="24"/>
          <w:szCs w:val="24"/>
        </w:rPr>
        <w:t>无</w:t>
      </w:r>
      <w:r>
        <w:rPr>
          <w:sz w:val="24"/>
          <w:szCs w:val="24"/>
        </w:rPr>
        <w:t>。</w:t>
      </w:r>
    </w:p>
    <w:p w14:paraId="152C0DE3">
      <w:pPr>
        <w:pStyle w:val="3"/>
        <w:rPr>
          <w:rFonts w:hint="eastAsia" w:ascii="宋体" w:hAnsi="宋体" w:cs="宋体"/>
          <w:sz w:val="28"/>
          <w:szCs w:val="28"/>
        </w:rPr>
      </w:pPr>
      <w:r>
        <w:rPr>
          <w:rFonts w:hint="eastAsia" w:ascii="宋体" w:hAnsi="宋体" w:cs="宋体"/>
          <w:sz w:val="28"/>
          <w:szCs w:val="28"/>
        </w:rPr>
        <w:t>五、 预期达到的社会效益、对产业发展的作用等情况</w:t>
      </w:r>
    </w:p>
    <w:p w14:paraId="561D865E">
      <w:pPr>
        <w:spacing w:line="360" w:lineRule="auto"/>
        <w:ind w:firstLine="480"/>
        <w:rPr>
          <w:sz w:val="24"/>
          <w:szCs w:val="24"/>
        </w:rPr>
      </w:pPr>
      <w:r>
        <w:rPr>
          <w:rFonts w:hint="eastAsia"/>
          <w:sz w:val="24"/>
          <w:szCs w:val="24"/>
        </w:rPr>
        <w:t>单相交流标准电能表（以下简称“单相标准表”）是各级计量技术机构进行电能量值传递的关键设备，现有单相标准表的电气接口以及通讯协议不统一，各个厂家电气接口布局五花八门，接线比较繁琐，检测效率比较低，对检测工作带来了很多不变。制定本标准技术关键在于综合考虑国内单相标准表制造技术现状，同时兼顾技术先进性，通过单相标准表技术指标与型式的结合，实现规范单相标准表电气相关接口的目的。目前在单相标准表制造及检定（校准）行业内，多年来仍沿袭原有技术路线，亟需进行改进提高，以适应计量行业自动化、智能化发展的方向。</w:t>
      </w:r>
    </w:p>
    <w:p w14:paraId="45B8BA3C">
      <w:pPr>
        <w:spacing w:line="360" w:lineRule="auto"/>
        <w:ind w:firstLine="480"/>
        <w:rPr>
          <w:sz w:val="24"/>
          <w:szCs w:val="24"/>
        </w:rPr>
      </w:pPr>
      <w:r>
        <w:rPr>
          <w:rFonts w:hint="eastAsia"/>
          <w:sz w:val="24"/>
          <w:szCs w:val="24"/>
        </w:rPr>
        <w:t>瞬联电气接口技术规范的制定有助于不同品牌、不同型号的标准表在电气接口上实现兼容，提高设备间的互操作性，可降低用户在更换或扩容标准表时面临的技术风险和经济压力，同时也有助于提升整个电力系统的运行效率。通过不断完善和更新技术规范，可以引导电能计量设备制造商按照统一的标准进行生产，推动整个行业的技术进步和产业升级。</w:t>
      </w:r>
    </w:p>
    <w:p w14:paraId="5ACD73D3">
      <w:pPr>
        <w:spacing w:line="360" w:lineRule="auto"/>
        <w:ind w:firstLine="480"/>
        <w:rPr>
          <w:sz w:val="24"/>
          <w:szCs w:val="24"/>
        </w:rPr>
      </w:pPr>
      <w:r>
        <w:rPr>
          <w:rFonts w:hint="eastAsia"/>
          <w:sz w:val="24"/>
          <w:szCs w:val="24"/>
        </w:rPr>
        <w:t>通过前期大量调研，行业内主流生产厂商及计量检定（校准）人员已经做了相关的技术尝试和突破，亟需统一规范，以引导、规范交流标准电能表的制造及检定（校准）。</w:t>
      </w:r>
    </w:p>
    <w:p w14:paraId="16E1524D">
      <w:pPr>
        <w:spacing w:line="360" w:lineRule="auto"/>
        <w:ind w:firstLine="480"/>
        <w:rPr>
          <w:sz w:val="24"/>
          <w:szCs w:val="24"/>
        </w:rPr>
      </w:pPr>
      <w:r>
        <w:rPr>
          <w:rFonts w:hint="eastAsia"/>
          <w:sz w:val="24"/>
          <w:szCs w:val="24"/>
        </w:rPr>
        <w:t>本文件规定了单相交流标准电能表瞬联电气接口的的规格和尺寸、技术要求及试验方法，适用于最大电流不超过120 A、准确度等级0.02级及以下、在受控环境中使用的标准表瞬联电气接口的设计、制造、使用和验收。</w:t>
      </w:r>
    </w:p>
    <w:p w14:paraId="5D1F15FC">
      <w:pPr>
        <w:spacing w:line="360" w:lineRule="auto"/>
        <w:ind w:firstLine="480" w:firstLineChars="200"/>
        <w:rPr>
          <w:sz w:val="24"/>
          <w:szCs w:val="24"/>
        </w:rPr>
      </w:pPr>
      <w:r>
        <w:rPr>
          <w:rFonts w:hint="eastAsia"/>
          <w:sz w:val="24"/>
          <w:szCs w:val="24"/>
        </w:rPr>
        <w:t>通过制定和规范单相交流标准电能表的辅助电源接口、电压电流输入端子接口、通讯协议和脉冲输入输出接口等技术规范，实现安全快速接线以及上位机对被试标准表的数据读取及命令下发，解决长期以来标准电能表的电气接口以及通讯协议不统一的问题。</w:t>
      </w:r>
    </w:p>
    <w:p w14:paraId="0C9B3F5D">
      <w:pPr>
        <w:spacing w:line="360" w:lineRule="auto"/>
        <w:ind w:firstLine="480" w:firstLineChars="200"/>
        <w:rPr>
          <w:sz w:val="24"/>
          <w:szCs w:val="24"/>
        </w:rPr>
      </w:pPr>
      <w:r>
        <w:rPr>
          <w:rFonts w:hint="eastAsia"/>
          <w:sz w:val="24"/>
          <w:szCs w:val="24"/>
        </w:rPr>
        <w:t>单相标准电能表瞬联电气接口规范统一后，可实现标准电能表的自动化检定，一方面可大大提高检定工作的人身及设备安全性，降低工作人员的劳动强度，同时也大大提高检定效率，另一方面可以降低在检定过程中人为因素对检定（校准）数据的影响，有利于保证检定（校准）结果的准确性。</w:t>
      </w:r>
    </w:p>
    <w:p w14:paraId="3ADA8BF5">
      <w:pPr>
        <w:spacing w:line="360" w:lineRule="auto"/>
        <w:ind w:firstLine="480" w:firstLineChars="200"/>
        <w:rPr>
          <w:sz w:val="24"/>
          <w:szCs w:val="24"/>
        </w:rPr>
      </w:pPr>
      <w:r>
        <w:rPr>
          <w:rFonts w:hint="eastAsia"/>
          <w:sz w:val="24"/>
          <w:szCs w:val="24"/>
        </w:rPr>
        <w:t>本标准可推广应用于各级电力公司和标准电能表生产厂家，作为交流标准电能表设计、制造、试验、使用和检验的依据，促进标准电能表设计工作的提升，提升自动化、信息化、智能化检测水平</w:t>
      </w:r>
    </w:p>
    <w:p w14:paraId="6D38002E">
      <w:pPr>
        <w:pStyle w:val="3"/>
        <w:rPr>
          <w:rFonts w:hint="eastAsia" w:ascii="宋体" w:hAnsi="宋体" w:cs="宋体"/>
          <w:sz w:val="28"/>
          <w:szCs w:val="28"/>
        </w:rPr>
      </w:pPr>
      <w:r>
        <w:rPr>
          <w:rFonts w:hint="eastAsia" w:ascii="宋体" w:hAnsi="宋体" w:cs="宋体"/>
          <w:sz w:val="28"/>
          <w:szCs w:val="28"/>
        </w:rPr>
        <w:t>六、</w:t>
      </w:r>
      <w:r>
        <w:rPr>
          <w:rFonts w:ascii="Times New Roman" w:hAnsi="Times New Roman"/>
          <w:sz w:val="28"/>
          <w:szCs w:val="28"/>
        </w:rPr>
        <w:t>标准与现有标准、制定中标准的协调配套情况</w:t>
      </w:r>
    </w:p>
    <w:p w14:paraId="186BDE2C">
      <w:pPr>
        <w:spacing w:line="360" w:lineRule="auto"/>
        <w:ind w:firstLine="480" w:firstLineChars="200"/>
        <w:rPr>
          <w:rFonts w:ascii="Times New Roman" w:hAnsi="Times New Roman"/>
          <w:szCs w:val="21"/>
        </w:rPr>
      </w:pPr>
      <w:r>
        <w:rPr>
          <w:rFonts w:ascii="Times New Roman" w:hAnsi="Times New Roman"/>
          <w:sz w:val="24"/>
          <w:szCs w:val="24"/>
        </w:rPr>
        <w:t>与现有标准、制定中的标准没有矛盾。</w:t>
      </w:r>
    </w:p>
    <w:p w14:paraId="7D370264">
      <w:pPr>
        <w:pStyle w:val="3"/>
        <w:rPr>
          <w:rFonts w:hint="eastAsia" w:ascii="宋体" w:hAnsi="宋体" w:cs="宋体"/>
          <w:sz w:val="28"/>
          <w:szCs w:val="28"/>
        </w:rPr>
      </w:pPr>
      <w:r>
        <w:rPr>
          <w:rFonts w:hint="eastAsia" w:ascii="宋体" w:hAnsi="宋体" w:cs="宋体"/>
          <w:sz w:val="28"/>
          <w:szCs w:val="28"/>
        </w:rPr>
        <w:t>七、采用国际标准和国外先进标准情况</w:t>
      </w:r>
    </w:p>
    <w:p w14:paraId="4263B050">
      <w:pPr>
        <w:spacing w:line="360" w:lineRule="auto"/>
        <w:ind w:firstLine="480" w:firstLineChars="200"/>
        <w:rPr>
          <w:rFonts w:ascii="Times New Roman" w:hAnsi="Times New Roman"/>
          <w:sz w:val="24"/>
          <w:szCs w:val="24"/>
        </w:rPr>
      </w:pPr>
      <w:r>
        <w:rPr>
          <w:rFonts w:hint="eastAsia" w:ascii="Times New Roman" w:hAnsi="Times New Roman"/>
          <w:sz w:val="24"/>
          <w:szCs w:val="24"/>
        </w:rPr>
        <w:t>目前国内外关于</w:t>
      </w:r>
      <w:r>
        <w:rPr>
          <w:rFonts w:hint="eastAsia"/>
          <w:sz w:val="24"/>
          <w:szCs w:val="24"/>
        </w:rPr>
        <w:t>交流标准电能表的</w:t>
      </w:r>
      <w:r>
        <w:rPr>
          <w:rFonts w:hint="eastAsia" w:ascii="Times New Roman" w:hAnsi="Times New Roman"/>
          <w:sz w:val="24"/>
          <w:szCs w:val="24"/>
        </w:rPr>
        <w:t>标准主要以国内GB T 43918-2024交流标准电能表和DL∕T1369-2014标准谐波有功电能表为主，且现有的国家标准主要侧重于交流标准电能表计量性能、电气性能、抗影响量试验等技术要求及检定方法的规定，尚未对</w:t>
      </w:r>
      <w:r>
        <w:rPr>
          <w:rFonts w:hint="eastAsia"/>
          <w:sz w:val="24"/>
          <w:szCs w:val="24"/>
        </w:rPr>
        <w:t>标准电能表电气接口端子的规格、尺寸和布局等方面做全方位的技术要求及试验方法的规定，同时未对标准电能表通信协议做统一的资料性规定</w:t>
      </w:r>
      <w:r>
        <w:rPr>
          <w:rFonts w:hint="eastAsia" w:hAnsi="宋体"/>
          <w:sz w:val="24"/>
          <w:szCs w:val="24"/>
        </w:rPr>
        <w:t>。</w:t>
      </w:r>
    </w:p>
    <w:p w14:paraId="056FBBD1">
      <w:pPr>
        <w:pStyle w:val="3"/>
        <w:rPr>
          <w:rFonts w:hint="eastAsia" w:ascii="宋体" w:hAnsi="宋体" w:cs="宋体"/>
          <w:sz w:val="28"/>
          <w:szCs w:val="28"/>
        </w:rPr>
      </w:pPr>
      <w:r>
        <w:rPr>
          <w:rFonts w:hint="eastAsia" w:ascii="宋体" w:hAnsi="宋体" w:cs="宋体"/>
          <w:sz w:val="28"/>
          <w:szCs w:val="28"/>
        </w:rPr>
        <w:t>八、标准性质的重大分歧意见的处理经过和依据</w:t>
      </w:r>
    </w:p>
    <w:p w14:paraId="2A84F0BB">
      <w:pPr>
        <w:spacing w:line="360" w:lineRule="auto"/>
        <w:ind w:firstLine="480" w:firstLineChars="200"/>
        <w:rPr>
          <w:rFonts w:ascii="Times New Roman" w:hAnsi="Times New Roman"/>
          <w:sz w:val="24"/>
          <w:szCs w:val="24"/>
          <w:lang w:val="zh-CN"/>
        </w:rPr>
      </w:pPr>
      <w:r>
        <w:rPr>
          <w:rFonts w:ascii="Times New Roman" w:hAnsi="Times New Roman"/>
          <w:sz w:val="24"/>
          <w:szCs w:val="24"/>
          <w:lang w:val="zh-CN"/>
        </w:rPr>
        <w:t>无。</w:t>
      </w:r>
    </w:p>
    <w:p w14:paraId="49140B6D">
      <w:pPr>
        <w:pStyle w:val="3"/>
        <w:rPr>
          <w:rFonts w:hint="eastAsia" w:ascii="宋体" w:hAnsi="宋体" w:cs="宋体"/>
          <w:sz w:val="28"/>
          <w:szCs w:val="28"/>
        </w:rPr>
      </w:pPr>
      <w:r>
        <w:rPr>
          <w:rFonts w:hint="eastAsia" w:ascii="宋体" w:hAnsi="宋体" w:cs="宋体"/>
          <w:sz w:val="28"/>
          <w:szCs w:val="28"/>
        </w:rPr>
        <w:t>九、</w:t>
      </w:r>
      <w:r>
        <w:rPr>
          <w:rFonts w:ascii="Times New Roman" w:hAnsi="Times New Roman"/>
          <w:sz w:val="28"/>
          <w:szCs w:val="28"/>
        </w:rPr>
        <w:t>标准作为强制性或推荐性标准发布的意见</w:t>
      </w:r>
    </w:p>
    <w:p w14:paraId="2107381B">
      <w:pPr>
        <w:spacing w:line="360" w:lineRule="auto"/>
        <w:ind w:firstLine="480" w:firstLineChars="200"/>
        <w:rPr>
          <w:sz w:val="24"/>
          <w:szCs w:val="24"/>
        </w:rPr>
      </w:pPr>
      <w:r>
        <w:rPr>
          <w:sz w:val="24"/>
          <w:szCs w:val="24"/>
        </w:rPr>
        <w:t>本标准</w:t>
      </w:r>
      <w:r>
        <w:rPr>
          <w:rFonts w:hint="eastAsia"/>
          <w:sz w:val="24"/>
          <w:szCs w:val="24"/>
        </w:rPr>
        <w:t>为首次制定，</w:t>
      </w:r>
      <w:r>
        <w:rPr>
          <w:sz w:val="24"/>
          <w:szCs w:val="24"/>
        </w:rPr>
        <w:t>为推荐性</w:t>
      </w:r>
      <w:r>
        <w:rPr>
          <w:rFonts w:hint="eastAsia"/>
          <w:sz w:val="24"/>
          <w:szCs w:val="24"/>
        </w:rPr>
        <w:t>团体</w:t>
      </w:r>
      <w:r>
        <w:rPr>
          <w:sz w:val="24"/>
          <w:szCs w:val="24"/>
        </w:rPr>
        <w:t>标准。</w:t>
      </w:r>
      <w:r>
        <w:rPr>
          <w:rFonts w:hint="eastAsia"/>
          <w:sz w:val="24"/>
          <w:szCs w:val="24"/>
        </w:rPr>
        <w:t xml:space="preserve"> </w:t>
      </w:r>
    </w:p>
    <w:p w14:paraId="2D001FAE">
      <w:pPr>
        <w:pStyle w:val="3"/>
        <w:rPr>
          <w:rFonts w:hint="eastAsia" w:ascii="宋体" w:hAnsi="宋体" w:cs="宋体"/>
          <w:sz w:val="28"/>
          <w:szCs w:val="28"/>
        </w:rPr>
      </w:pPr>
      <w:r>
        <w:rPr>
          <w:rFonts w:hint="eastAsia" w:ascii="宋体" w:hAnsi="宋体" w:cs="宋体"/>
          <w:sz w:val="28"/>
          <w:szCs w:val="28"/>
        </w:rPr>
        <w:t>十、贯彻标准的要求和措施建议（包括组织措施、技术措施、过渡办法、实施日期等）</w:t>
      </w:r>
    </w:p>
    <w:p w14:paraId="78CC0EB4">
      <w:pPr>
        <w:numPr>
          <w:ilvl w:val="0"/>
          <w:numId w:val="5"/>
        </w:numPr>
        <w:spacing w:line="360" w:lineRule="auto"/>
        <w:rPr>
          <w:sz w:val="24"/>
          <w:szCs w:val="24"/>
        </w:rPr>
      </w:pPr>
      <w:r>
        <w:rPr>
          <w:rFonts w:hint="eastAsia"/>
          <w:sz w:val="24"/>
          <w:szCs w:val="24"/>
        </w:rPr>
        <w:t>组织措施</w:t>
      </w:r>
    </w:p>
    <w:p w14:paraId="475D0DF2">
      <w:pPr>
        <w:spacing w:line="360" w:lineRule="auto"/>
        <w:ind w:firstLine="420"/>
        <w:jc w:val="left"/>
        <w:rPr>
          <w:sz w:val="24"/>
          <w:szCs w:val="24"/>
        </w:rPr>
      </w:pPr>
      <w:r>
        <w:rPr>
          <w:rFonts w:hint="eastAsia"/>
          <w:sz w:val="24"/>
          <w:szCs w:val="24"/>
        </w:rPr>
        <w:t>利用信息平台对标准进行推广和宣贯，同时展示试点效果案例；联合有实力的</w:t>
      </w:r>
      <w:r>
        <w:rPr>
          <w:rFonts w:hint="eastAsia" w:ascii="宋体" w:hAnsi="宋体"/>
          <w:sz w:val="24"/>
        </w:rPr>
        <w:t>交流标准电能表</w:t>
      </w:r>
      <w:r>
        <w:rPr>
          <w:rFonts w:hint="eastAsia"/>
          <w:sz w:val="24"/>
          <w:szCs w:val="24"/>
        </w:rPr>
        <w:t>生产厂家，建设试验试点，便于客户实地调研。</w:t>
      </w:r>
    </w:p>
    <w:p w14:paraId="57ECCECF">
      <w:pPr>
        <w:numPr>
          <w:ilvl w:val="0"/>
          <w:numId w:val="5"/>
        </w:numPr>
        <w:spacing w:line="360" w:lineRule="auto"/>
        <w:rPr>
          <w:sz w:val="24"/>
          <w:szCs w:val="24"/>
        </w:rPr>
      </w:pPr>
      <w:r>
        <w:rPr>
          <w:rFonts w:hint="eastAsia"/>
          <w:sz w:val="24"/>
          <w:szCs w:val="24"/>
        </w:rPr>
        <w:t>技术措施</w:t>
      </w:r>
    </w:p>
    <w:p w14:paraId="32C6C97F">
      <w:pPr>
        <w:spacing w:line="360" w:lineRule="auto"/>
        <w:ind w:firstLine="420"/>
        <w:jc w:val="left"/>
        <w:rPr>
          <w:sz w:val="24"/>
          <w:szCs w:val="24"/>
        </w:rPr>
      </w:pPr>
      <w:r>
        <w:rPr>
          <w:rFonts w:hint="eastAsia"/>
          <w:sz w:val="24"/>
          <w:szCs w:val="24"/>
        </w:rPr>
        <w:t>通过对单相交流标准电能表瞬联电气接口的尺寸、规格和布局要求以及通信协议的统一规定，提升行业整体水平，搭建交互平台，引导各厂商加强技术交流，共同提高三相交流标准电能表技术水平。</w:t>
      </w:r>
    </w:p>
    <w:p w14:paraId="0F2CCF01">
      <w:pPr>
        <w:numPr>
          <w:ilvl w:val="0"/>
          <w:numId w:val="5"/>
        </w:numPr>
        <w:spacing w:line="360" w:lineRule="auto"/>
        <w:rPr>
          <w:sz w:val="24"/>
          <w:szCs w:val="24"/>
        </w:rPr>
      </w:pPr>
      <w:r>
        <w:rPr>
          <w:rFonts w:hint="eastAsia"/>
          <w:sz w:val="24"/>
          <w:szCs w:val="24"/>
        </w:rPr>
        <w:t>过渡办法</w:t>
      </w:r>
    </w:p>
    <w:p w14:paraId="450DFFE0">
      <w:pPr>
        <w:spacing w:line="360" w:lineRule="auto"/>
        <w:ind w:firstLine="420"/>
        <w:jc w:val="left"/>
        <w:rPr>
          <w:sz w:val="24"/>
          <w:szCs w:val="24"/>
        </w:rPr>
      </w:pPr>
      <w:r>
        <w:rPr>
          <w:rFonts w:hint="eastAsia"/>
          <w:sz w:val="24"/>
          <w:szCs w:val="24"/>
        </w:rPr>
        <w:t>过渡期中可根据用户要求使用常规接线端子的单相交流标准电能表，根据试点效果逐步替换为具有快速接线电气接口的交流标准电能表，过渡期之后交流标准电能表需具备标准要求的所有电气接口及统一的通信协议。</w:t>
      </w:r>
    </w:p>
    <w:p w14:paraId="451E1C27">
      <w:pPr>
        <w:numPr>
          <w:ilvl w:val="0"/>
          <w:numId w:val="5"/>
        </w:numPr>
        <w:spacing w:line="360" w:lineRule="auto"/>
        <w:rPr>
          <w:sz w:val="24"/>
          <w:szCs w:val="24"/>
        </w:rPr>
      </w:pPr>
      <w:r>
        <w:rPr>
          <w:rFonts w:hint="eastAsia"/>
          <w:sz w:val="24"/>
          <w:szCs w:val="24"/>
        </w:rPr>
        <w:t>实施日期</w:t>
      </w:r>
    </w:p>
    <w:p w14:paraId="2F2ACD99">
      <w:pPr>
        <w:spacing w:line="360" w:lineRule="auto"/>
        <w:ind w:firstLine="420"/>
        <w:jc w:val="left"/>
        <w:rPr>
          <w:rFonts w:hint="eastAsia" w:ascii="宋体" w:hAnsi="宋体" w:cs="宋体"/>
          <w:sz w:val="24"/>
          <w:szCs w:val="24"/>
          <w:lang w:val="zh-CN"/>
        </w:rPr>
      </w:pPr>
      <w:r>
        <w:rPr>
          <w:rFonts w:hint="eastAsia"/>
          <w:sz w:val="24"/>
          <w:szCs w:val="24"/>
        </w:rPr>
        <w:t>自标准发布后，及时推广实施。</w:t>
      </w:r>
    </w:p>
    <w:p w14:paraId="181E40B9">
      <w:pPr>
        <w:pStyle w:val="3"/>
        <w:rPr>
          <w:rFonts w:hint="eastAsia" w:ascii="宋体" w:hAnsi="宋体" w:cs="宋体"/>
          <w:sz w:val="28"/>
          <w:szCs w:val="28"/>
        </w:rPr>
      </w:pPr>
      <w:r>
        <w:rPr>
          <w:rFonts w:hint="eastAsia" w:ascii="宋体" w:hAnsi="宋体" w:cs="宋体"/>
          <w:sz w:val="28"/>
          <w:szCs w:val="28"/>
        </w:rPr>
        <w:t>十一、废止现行相关标准的建议</w:t>
      </w:r>
    </w:p>
    <w:p w14:paraId="5BA5C063">
      <w:pPr>
        <w:spacing w:line="600" w:lineRule="exact"/>
        <w:ind w:firstLine="480" w:firstLineChars="200"/>
        <w:rPr>
          <w:rFonts w:hint="eastAsia" w:ascii="黑体" w:hAnsi="黑体" w:eastAsia="黑体" w:cs="黑体"/>
          <w:b/>
          <w:bCs/>
          <w:sz w:val="24"/>
          <w:szCs w:val="24"/>
        </w:rPr>
      </w:pPr>
      <w:r>
        <w:rPr>
          <w:rFonts w:hint="eastAsia" w:ascii="宋体" w:hAnsi="宋体" w:cs="宋体"/>
          <w:sz w:val="24"/>
          <w:szCs w:val="24"/>
        </w:rPr>
        <w:t>无。</w:t>
      </w:r>
    </w:p>
    <w:p w14:paraId="00D2853D">
      <w:pPr>
        <w:pStyle w:val="3"/>
        <w:rPr>
          <w:rFonts w:hint="eastAsia" w:ascii="宋体" w:hAnsi="宋体" w:cs="宋体"/>
          <w:sz w:val="28"/>
          <w:szCs w:val="28"/>
          <w:lang w:val="zh-CN"/>
        </w:rPr>
      </w:pPr>
      <w:r>
        <w:rPr>
          <w:rFonts w:hint="eastAsia" w:ascii="宋体" w:hAnsi="宋体" w:cs="宋体"/>
          <w:sz w:val="28"/>
          <w:szCs w:val="28"/>
        </w:rPr>
        <w:t>十二、</w:t>
      </w:r>
      <w:r>
        <w:rPr>
          <w:rFonts w:hint="eastAsia" w:ascii="宋体" w:hAnsi="宋体" w:cs="宋体"/>
          <w:sz w:val="28"/>
          <w:szCs w:val="28"/>
          <w:lang w:val="zh-CN"/>
        </w:rPr>
        <w:t>其他予以说明的事项</w:t>
      </w:r>
    </w:p>
    <w:p w14:paraId="03EDCA70">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sz w:val="24"/>
          <w:szCs w:val="24"/>
        </w:rPr>
        <w:t>由于单相电能表常规电气接口与瞬联电气接口在物理结构存在明显的区别，在项目工作组会议上，专家建议标准化对象要更加清晰，因此定位为单相交流标准电能表瞬联电气接口的产品</w:t>
      </w:r>
      <w:r>
        <w:rPr>
          <w:rFonts w:hint="eastAsia" w:ascii="宋体" w:hAnsi="宋体" w:cs="宋体"/>
          <w:color w:val="auto"/>
          <w:sz w:val="24"/>
          <w:szCs w:val="24"/>
          <w:lang w:val="en-US" w:eastAsia="zh-CN"/>
        </w:rPr>
        <w:t>技术规范</w:t>
      </w:r>
      <w:r>
        <w:rPr>
          <w:rFonts w:hint="eastAsia" w:ascii="宋体" w:hAnsi="宋体" w:cs="宋体"/>
          <w:sz w:val="24"/>
          <w:szCs w:val="24"/>
        </w:rPr>
        <w:t>标准。因此，将标准名称由立项时的《单相交流标准电能表电气接口技术规范》修改为《单相交流标准电能</w:t>
      </w:r>
      <w:r>
        <w:rPr>
          <w:rFonts w:hint="eastAsia" w:ascii="宋体" w:hAnsi="宋体" w:cs="宋体"/>
          <w:color w:val="000000" w:themeColor="text1"/>
          <w:sz w:val="24"/>
          <w:szCs w:val="24"/>
          <w14:textFill>
            <w14:solidFill>
              <w14:schemeClr w14:val="tx1"/>
            </w14:solidFill>
          </w14:textFill>
        </w:rPr>
        <w:t>表瞬联电气接口技术规范》</w:t>
      </w:r>
      <w:r>
        <w:rPr>
          <w:rFonts w:hint="eastAsia" w:ascii="宋体" w:hAnsi="宋体" w:cs="宋体"/>
          <w:color w:val="000000" w:themeColor="text1"/>
          <w:sz w:val="24"/>
          <w:szCs w:val="24"/>
          <w:lang w:eastAsia="zh-CN"/>
          <w14:textFill>
            <w14:solidFill>
              <w14:schemeClr w14:val="tx1"/>
            </w14:solidFill>
          </w14:textFill>
        </w:rPr>
        <w:t>。</w:t>
      </w:r>
      <w:bookmarkStart w:id="0" w:name="_GoBack"/>
      <w:bookmarkEnd w:id="0"/>
    </w:p>
    <w:p w14:paraId="5067E1CE">
      <w:pPr>
        <w:spacing w:line="360" w:lineRule="auto"/>
        <w:ind w:firstLine="480" w:firstLineChars="200"/>
        <w:rPr>
          <w:rFonts w:hint="eastAsia" w:ascii="宋体" w:hAnsi="宋体" w:cs="宋体"/>
          <w:sz w:val="24"/>
          <w:szCs w:val="24"/>
        </w:rPr>
      </w:pPr>
    </w:p>
    <w:sectPr>
      <w:headerReference r:id="rId3" w:type="default"/>
      <w:footerReference r:id="rId4" w:type="default"/>
      <w:pgSz w:w="11906" w:h="16838"/>
      <w:pgMar w:top="1440" w:right="1800" w:bottom="1440" w:left="1800" w:header="851" w:footer="992" w:gutter="0"/>
      <w:pgNumType w:start="1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9AA24">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E67B32">
                          <w:pPr>
                            <w:pStyle w:val="11"/>
                            <w:jc w:val="center"/>
                          </w:pPr>
                          <w:r>
                            <w:fldChar w:fldCharType="begin"/>
                          </w:r>
                          <w:r>
                            <w:instrText xml:space="preserve">PAGE   \* MERGEFORMAT</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5BE67B32">
                    <w:pPr>
                      <w:pStyle w:val="11"/>
                      <w:jc w:val="center"/>
                    </w:pPr>
                    <w:r>
                      <w:fldChar w:fldCharType="begin"/>
                    </w:r>
                    <w:r>
                      <w:instrText xml:space="preserve">PAGE   \* MERGEFORMAT</w:instrText>
                    </w:r>
                    <w:r>
                      <w:fldChar w:fldCharType="separate"/>
                    </w:r>
                    <w:r>
                      <w:t>17</w:t>
                    </w:r>
                    <w:r>
                      <w:fldChar w:fldCharType="end"/>
                    </w:r>
                  </w:p>
                </w:txbxContent>
              </v:textbox>
            </v:shape>
          </w:pict>
        </mc:Fallback>
      </mc:AlternateContent>
    </w:r>
  </w:p>
  <w:p w14:paraId="7DC1013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ED41D">
    <w:pPr>
      <w:pStyle w:val="12"/>
      <w:pBdr>
        <w:bottom w:val="none" w:color="auto" w:sz="0" w:space="1"/>
      </w:pBd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917C3"/>
    <w:multiLevelType w:val="multilevel"/>
    <w:tmpl w:val="2C5917C3"/>
    <w:lvl w:ilvl="0" w:tentative="0">
      <w:start w:val="1"/>
      <w:numFmt w:val="none"/>
      <w:pStyle w:val="5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56"/>
      <w:lvlText w:val=""/>
      <w:lvlJc w:val="left"/>
      <w:pPr>
        <w:ind w:left="851" w:hanging="431"/>
      </w:pPr>
      <w:rPr>
        <w:rFonts w:hint="default" w:ascii="Symbol" w:hAnsi="Symbol"/>
        <w:sz w:val="21"/>
      </w:rPr>
    </w:lvl>
    <w:lvl w:ilvl="2" w:tentative="0">
      <w:start w:val="1"/>
      <w:numFmt w:val="bullet"/>
      <w:pStyle w:val="5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
    <w:nsid w:val="44C50F90"/>
    <w:multiLevelType w:val="multilevel"/>
    <w:tmpl w:val="44C50F90"/>
    <w:lvl w:ilvl="0" w:tentative="0">
      <w:start w:val="1"/>
      <w:numFmt w:val="lowerLetter"/>
      <w:pStyle w:val="29"/>
      <w:lvlText w:val="%1)"/>
      <w:lvlJc w:val="left"/>
      <w:pPr>
        <w:tabs>
          <w:tab w:val="left" w:pos="851"/>
        </w:tabs>
        <w:ind w:left="851" w:hanging="426"/>
      </w:pPr>
      <w:rPr>
        <w:rFonts w:hint="eastAsia" w:ascii="宋体" w:hAnsi="Times New Roman" w:eastAsia="宋体"/>
        <w:sz w:val="21"/>
      </w:rPr>
    </w:lvl>
    <w:lvl w:ilvl="1" w:tentative="0">
      <w:start w:val="1"/>
      <w:numFmt w:val="decimal"/>
      <w:pStyle w:val="30"/>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4EFB4222"/>
    <w:multiLevelType w:val="multilevel"/>
    <w:tmpl w:val="4EFB4222"/>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2617711"/>
    <w:multiLevelType w:val="multilevel"/>
    <w:tmpl w:val="62617711"/>
    <w:lvl w:ilvl="0" w:tentative="0">
      <w:start w:val="1"/>
      <w:numFmt w:val="decimal"/>
      <w:lvlText w:val="（%1）"/>
      <w:lvlJc w:val="left"/>
      <w:pPr>
        <w:ind w:left="720" w:hanging="720"/>
      </w:pPr>
      <w:rPr>
        <w:rFonts w:hint="default" w:ascii="宋体" w:hAnsi="宋体" w:eastAsia="宋体" w:cs="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31"/>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NjhlNjYwMjZjY2Q4ZGMxNzM5MTNmOTE2ZDE0OWMifQ=="/>
    <w:docVar w:name="KSO_WPS_MARK_KEY" w:val="f83aae6b-3ffe-4100-8e6d-5fd969f7b8de"/>
  </w:docVars>
  <w:rsids>
    <w:rsidRoot w:val="00172A27"/>
    <w:rsid w:val="000125B6"/>
    <w:rsid w:val="00021860"/>
    <w:rsid w:val="00021AD1"/>
    <w:rsid w:val="00023888"/>
    <w:rsid w:val="00026950"/>
    <w:rsid w:val="00026A6A"/>
    <w:rsid w:val="000327DB"/>
    <w:rsid w:val="00032CEB"/>
    <w:rsid w:val="000342AE"/>
    <w:rsid w:val="00035ABD"/>
    <w:rsid w:val="00035D6A"/>
    <w:rsid w:val="00041DA0"/>
    <w:rsid w:val="00043280"/>
    <w:rsid w:val="000445C2"/>
    <w:rsid w:val="00044EBD"/>
    <w:rsid w:val="00053DD0"/>
    <w:rsid w:val="00056E08"/>
    <w:rsid w:val="00060C0C"/>
    <w:rsid w:val="00062060"/>
    <w:rsid w:val="00066F63"/>
    <w:rsid w:val="0007004A"/>
    <w:rsid w:val="00072A01"/>
    <w:rsid w:val="000746BA"/>
    <w:rsid w:val="00076F33"/>
    <w:rsid w:val="0008153B"/>
    <w:rsid w:val="00091438"/>
    <w:rsid w:val="000929A1"/>
    <w:rsid w:val="00096551"/>
    <w:rsid w:val="00097BE9"/>
    <w:rsid w:val="000A0560"/>
    <w:rsid w:val="000A324F"/>
    <w:rsid w:val="000A5521"/>
    <w:rsid w:val="000A7B60"/>
    <w:rsid w:val="000B0CCB"/>
    <w:rsid w:val="000B237C"/>
    <w:rsid w:val="000C3349"/>
    <w:rsid w:val="000C6A2D"/>
    <w:rsid w:val="000D17D0"/>
    <w:rsid w:val="000D4836"/>
    <w:rsid w:val="000D4CE1"/>
    <w:rsid w:val="000D7AD7"/>
    <w:rsid w:val="000E047B"/>
    <w:rsid w:val="000E2158"/>
    <w:rsid w:val="000E3D6A"/>
    <w:rsid w:val="000F45BA"/>
    <w:rsid w:val="000F6655"/>
    <w:rsid w:val="000F7267"/>
    <w:rsid w:val="001037D6"/>
    <w:rsid w:val="0010704E"/>
    <w:rsid w:val="0012193A"/>
    <w:rsid w:val="00122513"/>
    <w:rsid w:val="00125B6E"/>
    <w:rsid w:val="0012743C"/>
    <w:rsid w:val="00131C05"/>
    <w:rsid w:val="00131DC1"/>
    <w:rsid w:val="001327F4"/>
    <w:rsid w:val="001344EB"/>
    <w:rsid w:val="0013476B"/>
    <w:rsid w:val="00140FB8"/>
    <w:rsid w:val="00141B98"/>
    <w:rsid w:val="00144135"/>
    <w:rsid w:val="001446ED"/>
    <w:rsid w:val="00146633"/>
    <w:rsid w:val="00146EDD"/>
    <w:rsid w:val="00161356"/>
    <w:rsid w:val="00163CEC"/>
    <w:rsid w:val="00165275"/>
    <w:rsid w:val="00165C0F"/>
    <w:rsid w:val="00172A27"/>
    <w:rsid w:val="00183189"/>
    <w:rsid w:val="00184D4C"/>
    <w:rsid w:val="00185030"/>
    <w:rsid w:val="00187113"/>
    <w:rsid w:val="00192421"/>
    <w:rsid w:val="00192C8B"/>
    <w:rsid w:val="00194207"/>
    <w:rsid w:val="001A507A"/>
    <w:rsid w:val="001B48DD"/>
    <w:rsid w:val="001B4E14"/>
    <w:rsid w:val="001C3ED8"/>
    <w:rsid w:val="001C5231"/>
    <w:rsid w:val="001C529B"/>
    <w:rsid w:val="001C55ED"/>
    <w:rsid w:val="001D038D"/>
    <w:rsid w:val="001D429B"/>
    <w:rsid w:val="001F5B4B"/>
    <w:rsid w:val="001F7207"/>
    <w:rsid w:val="001F7AB4"/>
    <w:rsid w:val="002004B4"/>
    <w:rsid w:val="002004D0"/>
    <w:rsid w:val="00201353"/>
    <w:rsid w:val="00206A66"/>
    <w:rsid w:val="00210C5F"/>
    <w:rsid w:val="0021351B"/>
    <w:rsid w:val="002145BD"/>
    <w:rsid w:val="00221BDC"/>
    <w:rsid w:val="00222D26"/>
    <w:rsid w:val="0022331D"/>
    <w:rsid w:val="002240ED"/>
    <w:rsid w:val="00224108"/>
    <w:rsid w:val="00243479"/>
    <w:rsid w:val="00247BF2"/>
    <w:rsid w:val="00253164"/>
    <w:rsid w:val="002542CE"/>
    <w:rsid w:val="002566F9"/>
    <w:rsid w:val="002640AF"/>
    <w:rsid w:val="0026529F"/>
    <w:rsid w:val="00284D65"/>
    <w:rsid w:val="00284FBA"/>
    <w:rsid w:val="00285508"/>
    <w:rsid w:val="002864C4"/>
    <w:rsid w:val="00292180"/>
    <w:rsid w:val="00292CDB"/>
    <w:rsid w:val="00293FB6"/>
    <w:rsid w:val="00294CF4"/>
    <w:rsid w:val="002A3B58"/>
    <w:rsid w:val="002A484B"/>
    <w:rsid w:val="002A54BF"/>
    <w:rsid w:val="002A6CD7"/>
    <w:rsid w:val="002B4C66"/>
    <w:rsid w:val="002C464D"/>
    <w:rsid w:val="002C4E91"/>
    <w:rsid w:val="002C769C"/>
    <w:rsid w:val="002D6F90"/>
    <w:rsid w:val="002E1527"/>
    <w:rsid w:val="002E1DAF"/>
    <w:rsid w:val="002E2F23"/>
    <w:rsid w:val="002E4328"/>
    <w:rsid w:val="002E7852"/>
    <w:rsid w:val="002E7D2D"/>
    <w:rsid w:val="002F02C5"/>
    <w:rsid w:val="002F3DF7"/>
    <w:rsid w:val="002F7CA0"/>
    <w:rsid w:val="0030109E"/>
    <w:rsid w:val="00307E6D"/>
    <w:rsid w:val="00310AD6"/>
    <w:rsid w:val="00311B24"/>
    <w:rsid w:val="00312657"/>
    <w:rsid w:val="00316AEB"/>
    <w:rsid w:val="00317C9F"/>
    <w:rsid w:val="003337BB"/>
    <w:rsid w:val="0034542C"/>
    <w:rsid w:val="00345489"/>
    <w:rsid w:val="00351087"/>
    <w:rsid w:val="003604FE"/>
    <w:rsid w:val="00360D66"/>
    <w:rsid w:val="00370511"/>
    <w:rsid w:val="00371A8E"/>
    <w:rsid w:val="0037225A"/>
    <w:rsid w:val="003736A6"/>
    <w:rsid w:val="0037507B"/>
    <w:rsid w:val="00380C6C"/>
    <w:rsid w:val="003817FA"/>
    <w:rsid w:val="00381AA0"/>
    <w:rsid w:val="003823C7"/>
    <w:rsid w:val="003857F8"/>
    <w:rsid w:val="003A084F"/>
    <w:rsid w:val="003A1A73"/>
    <w:rsid w:val="003A2E44"/>
    <w:rsid w:val="003A6136"/>
    <w:rsid w:val="003B0E59"/>
    <w:rsid w:val="003B1AE2"/>
    <w:rsid w:val="003B2A77"/>
    <w:rsid w:val="003B5A86"/>
    <w:rsid w:val="003C273A"/>
    <w:rsid w:val="003D2704"/>
    <w:rsid w:val="003D40C4"/>
    <w:rsid w:val="003D52D5"/>
    <w:rsid w:val="003D587D"/>
    <w:rsid w:val="003D759D"/>
    <w:rsid w:val="003E1031"/>
    <w:rsid w:val="003E1F03"/>
    <w:rsid w:val="003E7257"/>
    <w:rsid w:val="003F2FED"/>
    <w:rsid w:val="003F5A3A"/>
    <w:rsid w:val="004001EF"/>
    <w:rsid w:val="00411CCA"/>
    <w:rsid w:val="0042301F"/>
    <w:rsid w:val="00426380"/>
    <w:rsid w:val="00426D41"/>
    <w:rsid w:val="00433F0D"/>
    <w:rsid w:val="00453CFD"/>
    <w:rsid w:val="00454DED"/>
    <w:rsid w:val="0046366A"/>
    <w:rsid w:val="004713C4"/>
    <w:rsid w:val="00472477"/>
    <w:rsid w:val="00473EC6"/>
    <w:rsid w:val="004749C7"/>
    <w:rsid w:val="004767FA"/>
    <w:rsid w:val="00477234"/>
    <w:rsid w:val="00491AAF"/>
    <w:rsid w:val="00494341"/>
    <w:rsid w:val="00495729"/>
    <w:rsid w:val="004958A9"/>
    <w:rsid w:val="004A6DC6"/>
    <w:rsid w:val="004A6EA7"/>
    <w:rsid w:val="004B0C8E"/>
    <w:rsid w:val="004B42FD"/>
    <w:rsid w:val="004C0182"/>
    <w:rsid w:val="004D035F"/>
    <w:rsid w:val="004D0B86"/>
    <w:rsid w:val="004D25D8"/>
    <w:rsid w:val="004D6719"/>
    <w:rsid w:val="004D720A"/>
    <w:rsid w:val="004D739A"/>
    <w:rsid w:val="004E142A"/>
    <w:rsid w:val="004E296E"/>
    <w:rsid w:val="004E5B62"/>
    <w:rsid w:val="004F3038"/>
    <w:rsid w:val="004F38AA"/>
    <w:rsid w:val="004F4828"/>
    <w:rsid w:val="004F77A2"/>
    <w:rsid w:val="004F7B35"/>
    <w:rsid w:val="005023D2"/>
    <w:rsid w:val="00504D78"/>
    <w:rsid w:val="005138EF"/>
    <w:rsid w:val="00514919"/>
    <w:rsid w:val="00521771"/>
    <w:rsid w:val="00523E2C"/>
    <w:rsid w:val="0052574F"/>
    <w:rsid w:val="0053279D"/>
    <w:rsid w:val="00532BD6"/>
    <w:rsid w:val="0053420F"/>
    <w:rsid w:val="0053441F"/>
    <w:rsid w:val="00537DFF"/>
    <w:rsid w:val="0054263F"/>
    <w:rsid w:val="005453CA"/>
    <w:rsid w:val="00547862"/>
    <w:rsid w:val="0055021C"/>
    <w:rsid w:val="005517EF"/>
    <w:rsid w:val="00551D13"/>
    <w:rsid w:val="0055341B"/>
    <w:rsid w:val="00554865"/>
    <w:rsid w:val="00560931"/>
    <w:rsid w:val="00576B8F"/>
    <w:rsid w:val="00580A71"/>
    <w:rsid w:val="00581791"/>
    <w:rsid w:val="00582A51"/>
    <w:rsid w:val="00596C29"/>
    <w:rsid w:val="005A0A0F"/>
    <w:rsid w:val="005A7101"/>
    <w:rsid w:val="005B04B9"/>
    <w:rsid w:val="005D3277"/>
    <w:rsid w:val="005D6FD2"/>
    <w:rsid w:val="005E1501"/>
    <w:rsid w:val="005E3C02"/>
    <w:rsid w:val="005F1579"/>
    <w:rsid w:val="005F2E08"/>
    <w:rsid w:val="005F3D32"/>
    <w:rsid w:val="005F79C2"/>
    <w:rsid w:val="00601078"/>
    <w:rsid w:val="006079EC"/>
    <w:rsid w:val="00607AF6"/>
    <w:rsid w:val="00612AE7"/>
    <w:rsid w:val="00626C4F"/>
    <w:rsid w:val="00634184"/>
    <w:rsid w:val="006360CF"/>
    <w:rsid w:val="00642FCC"/>
    <w:rsid w:val="00647254"/>
    <w:rsid w:val="00651C1B"/>
    <w:rsid w:val="00656F8B"/>
    <w:rsid w:val="00657FF9"/>
    <w:rsid w:val="00670EC7"/>
    <w:rsid w:val="0067132A"/>
    <w:rsid w:val="006771EB"/>
    <w:rsid w:val="0068048B"/>
    <w:rsid w:val="00682E1C"/>
    <w:rsid w:val="00685DCF"/>
    <w:rsid w:val="00686FDF"/>
    <w:rsid w:val="00695CAA"/>
    <w:rsid w:val="006A04BC"/>
    <w:rsid w:val="006B265E"/>
    <w:rsid w:val="006B381F"/>
    <w:rsid w:val="006B3A9B"/>
    <w:rsid w:val="006B52BF"/>
    <w:rsid w:val="006C06FD"/>
    <w:rsid w:val="006D27CF"/>
    <w:rsid w:val="006E04C4"/>
    <w:rsid w:val="006E6D06"/>
    <w:rsid w:val="006E70A6"/>
    <w:rsid w:val="006F28A2"/>
    <w:rsid w:val="0070016D"/>
    <w:rsid w:val="007030BB"/>
    <w:rsid w:val="0070440D"/>
    <w:rsid w:val="007062C6"/>
    <w:rsid w:val="007109C3"/>
    <w:rsid w:val="00713107"/>
    <w:rsid w:val="00717E52"/>
    <w:rsid w:val="007201B7"/>
    <w:rsid w:val="00721E6D"/>
    <w:rsid w:val="00723AA4"/>
    <w:rsid w:val="00731B96"/>
    <w:rsid w:val="007320F6"/>
    <w:rsid w:val="00733DA6"/>
    <w:rsid w:val="00735D69"/>
    <w:rsid w:val="0074014F"/>
    <w:rsid w:val="00740307"/>
    <w:rsid w:val="00741613"/>
    <w:rsid w:val="00745C76"/>
    <w:rsid w:val="0074675C"/>
    <w:rsid w:val="00750481"/>
    <w:rsid w:val="00752B3F"/>
    <w:rsid w:val="007638AD"/>
    <w:rsid w:val="00763D37"/>
    <w:rsid w:val="00775364"/>
    <w:rsid w:val="00781EEC"/>
    <w:rsid w:val="007828F5"/>
    <w:rsid w:val="00782CFC"/>
    <w:rsid w:val="00783699"/>
    <w:rsid w:val="0078594F"/>
    <w:rsid w:val="00792363"/>
    <w:rsid w:val="007932EA"/>
    <w:rsid w:val="007A0FB8"/>
    <w:rsid w:val="007A282E"/>
    <w:rsid w:val="007A2B66"/>
    <w:rsid w:val="007A39E9"/>
    <w:rsid w:val="007B1CD0"/>
    <w:rsid w:val="007B25F6"/>
    <w:rsid w:val="007B6B4B"/>
    <w:rsid w:val="007B75E0"/>
    <w:rsid w:val="007C4269"/>
    <w:rsid w:val="007C53A8"/>
    <w:rsid w:val="007D1C38"/>
    <w:rsid w:val="007D3FB3"/>
    <w:rsid w:val="007D4263"/>
    <w:rsid w:val="007D5CA9"/>
    <w:rsid w:val="007D773A"/>
    <w:rsid w:val="007E6051"/>
    <w:rsid w:val="007F37E2"/>
    <w:rsid w:val="007F438C"/>
    <w:rsid w:val="007F5B2B"/>
    <w:rsid w:val="007F5D9E"/>
    <w:rsid w:val="007F5EAD"/>
    <w:rsid w:val="00800EB7"/>
    <w:rsid w:val="00802B9D"/>
    <w:rsid w:val="00805DEA"/>
    <w:rsid w:val="00807BC7"/>
    <w:rsid w:val="00813009"/>
    <w:rsid w:val="0081723B"/>
    <w:rsid w:val="00820685"/>
    <w:rsid w:val="008233DC"/>
    <w:rsid w:val="008261D3"/>
    <w:rsid w:val="008265AF"/>
    <w:rsid w:val="0083569C"/>
    <w:rsid w:val="00840377"/>
    <w:rsid w:val="0084637E"/>
    <w:rsid w:val="0085109D"/>
    <w:rsid w:val="00854927"/>
    <w:rsid w:val="008652F1"/>
    <w:rsid w:val="0086684A"/>
    <w:rsid w:val="00873BC0"/>
    <w:rsid w:val="008A1B7C"/>
    <w:rsid w:val="008A3610"/>
    <w:rsid w:val="008A456D"/>
    <w:rsid w:val="008A63ED"/>
    <w:rsid w:val="008B5D3C"/>
    <w:rsid w:val="008B6F36"/>
    <w:rsid w:val="008C029E"/>
    <w:rsid w:val="008C2741"/>
    <w:rsid w:val="008D437C"/>
    <w:rsid w:val="008D51C7"/>
    <w:rsid w:val="008E070A"/>
    <w:rsid w:val="008E267F"/>
    <w:rsid w:val="008F1A3F"/>
    <w:rsid w:val="008F619D"/>
    <w:rsid w:val="008F7405"/>
    <w:rsid w:val="0090391A"/>
    <w:rsid w:val="00904D19"/>
    <w:rsid w:val="0091049B"/>
    <w:rsid w:val="009116EB"/>
    <w:rsid w:val="00911E72"/>
    <w:rsid w:val="009123EA"/>
    <w:rsid w:val="00915B37"/>
    <w:rsid w:val="00916365"/>
    <w:rsid w:val="009303E4"/>
    <w:rsid w:val="0094073D"/>
    <w:rsid w:val="009424A4"/>
    <w:rsid w:val="00950997"/>
    <w:rsid w:val="00951150"/>
    <w:rsid w:val="00952E56"/>
    <w:rsid w:val="00953C26"/>
    <w:rsid w:val="00960251"/>
    <w:rsid w:val="0096265C"/>
    <w:rsid w:val="009649D1"/>
    <w:rsid w:val="00971FFA"/>
    <w:rsid w:val="009729E2"/>
    <w:rsid w:val="00980CC7"/>
    <w:rsid w:val="00983CE9"/>
    <w:rsid w:val="009909D4"/>
    <w:rsid w:val="00990DAB"/>
    <w:rsid w:val="009910D3"/>
    <w:rsid w:val="00997646"/>
    <w:rsid w:val="009A0D8B"/>
    <w:rsid w:val="009C722F"/>
    <w:rsid w:val="009D2006"/>
    <w:rsid w:val="009D2B32"/>
    <w:rsid w:val="009D5316"/>
    <w:rsid w:val="009D539D"/>
    <w:rsid w:val="009D5E09"/>
    <w:rsid w:val="009D659E"/>
    <w:rsid w:val="009E3906"/>
    <w:rsid w:val="009E3D3C"/>
    <w:rsid w:val="009E541C"/>
    <w:rsid w:val="009F2FFA"/>
    <w:rsid w:val="009F4E4B"/>
    <w:rsid w:val="009F525D"/>
    <w:rsid w:val="009F538F"/>
    <w:rsid w:val="009F6FB3"/>
    <w:rsid w:val="00A00A02"/>
    <w:rsid w:val="00A10C43"/>
    <w:rsid w:val="00A12A04"/>
    <w:rsid w:val="00A141D8"/>
    <w:rsid w:val="00A218BA"/>
    <w:rsid w:val="00A37F32"/>
    <w:rsid w:val="00A43FDA"/>
    <w:rsid w:val="00A45735"/>
    <w:rsid w:val="00A50671"/>
    <w:rsid w:val="00A5255D"/>
    <w:rsid w:val="00A55416"/>
    <w:rsid w:val="00A56DA5"/>
    <w:rsid w:val="00A577E2"/>
    <w:rsid w:val="00A62621"/>
    <w:rsid w:val="00A65029"/>
    <w:rsid w:val="00A73B4E"/>
    <w:rsid w:val="00A76F83"/>
    <w:rsid w:val="00A854F6"/>
    <w:rsid w:val="00A855B9"/>
    <w:rsid w:val="00A857A0"/>
    <w:rsid w:val="00A85811"/>
    <w:rsid w:val="00A86F9C"/>
    <w:rsid w:val="00A9200B"/>
    <w:rsid w:val="00A9442A"/>
    <w:rsid w:val="00AA02D0"/>
    <w:rsid w:val="00AA1F60"/>
    <w:rsid w:val="00AA53C6"/>
    <w:rsid w:val="00AA624C"/>
    <w:rsid w:val="00AB29A6"/>
    <w:rsid w:val="00AC1523"/>
    <w:rsid w:val="00AC2090"/>
    <w:rsid w:val="00AC2761"/>
    <w:rsid w:val="00AD128C"/>
    <w:rsid w:val="00AD27B1"/>
    <w:rsid w:val="00AD3B06"/>
    <w:rsid w:val="00AF29E8"/>
    <w:rsid w:val="00AF2FC0"/>
    <w:rsid w:val="00B036F4"/>
    <w:rsid w:val="00B03E6A"/>
    <w:rsid w:val="00B03F35"/>
    <w:rsid w:val="00B0432B"/>
    <w:rsid w:val="00B04431"/>
    <w:rsid w:val="00B05335"/>
    <w:rsid w:val="00B0590E"/>
    <w:rsid w:val="00B07968"/>
    <w:rsid w:val="00B128AE"/>
    <w:rsid w:val="00B223D8"/>
    <w:rsid w:val="00B227F6"/>
    <w:rsid w:val="00B242D1"/>
    <w:rsid w:val="00B363A1"/>
    <w:rsid w:val="00B41816"/>
    <w:rsid w:val="00B44071"/>
    <w:rsid w:val="00B5376B"/>
    <w:rsid w:val="00B70AD5"/>
    <w:rsid w:val="00B710A0"/>
    <w:rsid w:val="00B747DA"/>
    <w:rsid w:val="00B94948"/>
    <w:rsid w:val="00B957CC"/>
    <w:rsid w:val="00B9776E"/>
    <w:rsid w:val="00BA1248"/>
    <w:rsid w:val="00BB06B4"/>
    <w:rsid w:val="00BB392C"/>
    <w:rsid w:val="00BB5750"/>
    <w:rsid w:val="00BC2A58"/>
    <w:rsid w:val="00BC463B"/>
    <w:rsid w:val="00BC4820"/>
    <w:rsid w:val="00BD18FB"/>
    <w:rsid w:val="00BD2A6B"/>
    <w:rsid w:val="00BE01BA"/>
    <w:rsid w:val="00BF3D86"/>
    <w:rsid w:val="00C02B99"/>
    <w:rsid w:val="00C0632E"/>
    <w:rsid w:val="00C0676C"/>
    <w:rsid w:val="00C06773"/>
    <w:rsid w:val="00C07FD7"/>
    <w:rsid w:val="00C177DD"/>
    <w:rsid w:val="00C24F5C"/>
    <w:rsid w:val="00C26DC1"/>
    <w:rsid w:val="00C27F6A"/>
    <w:rsid w:val="00C301FE"/>
    <w:rsid w:val="00C303B6"/>
    <w:rsid w:val="00C35947"/>
    <w:rsid w:val="00C35B2E"/>
    <w:rsid w:val="00C35DF7"/>
    <w:rsid w:val="00C43FDE"/>
    <w:rsid w:val="00C63018"/>
    <w:rsid w:val="00C63B25"/>
    <w:rsid w:val="00C6755F"/>
    <w:rsid w:val="00C70BED"/>
    <w:rsid w:val="00C73B1D"/>
    <w:rsid w:val="00C76244"/>
    <w:rsid w:val="00C82E2D"/>
    <w:rsid w:val="00C85261"/>
    <w:rsid w:val="00C85867"/>
    <w:rsid w:val="00C868DF"/>
    <w:rsid w:val="00C86EDF"/>
    <w:rsid w:val="00C9187F"/>
    <w:rsid w:val="00C92C9B"/>
    <w:rsid w:val="00C92EB5"/>
    <w:rsid w:val="00CA1B03"/>
    <w:rsid w:val="00CA3714"/>
    <w:rsid w:val="00CA6EBE"/>
    <w:rsid w:val="00CB4776"/>
    <w:rsid w:val="00CB51B9"/>
    <w:rsid w:val="00CC7860"/>
    <w:rsid w:val="00CD43CB"/>
    <w:rsid w:val="00CD6C9A"/>
    <w:rsid w:val="00CF074D"/>
    <w:rsid w:val="00CF5406"/>
    <w:rsid w:val="00D108F4"/>
    <w:rsid w:val="00D112EF"/>
    <w:rsid w:val="00D12606"/>
    <w:rsid w:val="00D17521"/>
    <w:rsid w:val="00D200D6"/>
    <w:rsid w:val="00D20E90"/>
    <w:rsid w:val="00D23634"/>
    <w:rsid w:val="00D24E58"/>
    <w:rsid w:val="00D45ECB"/>
    <w:rsid w:val="00D506CE"/>
    <w:rsid w:val="00D572E1"/>
    <w:rsid w:val="00D60FC9"/>
    <w:rsid w:val="00D6278C"/>
    <w:rsid w:val="00D7033C"/>
    <w:rsid w:val="00D84706"/>
    <w:rsid w:val="00D85F2C"/>
    <w:rsid w:val="00D90933"/>
    <w:rsid w:val="00D92C2F"/>
    <w:rsid w:val="00DA5CB6"/>
    <w:rsid w:val="00DB0013"/>
    <w:rsid w:val="00DB3454"/>
    <w:rsid w:val="00DC1075"/>
    <w:rsid w:val="00DC194F"/>
    <w:rsid w:val="00DC3630"/>
    <w:rsid w:val="00DD718B"/>
    <w:rsid w:val="00DD7EBE"/>
    <w:rsid w:val="00DE0F15"/>
    <w:rsid w:val="00DE2825"/>
    <w:rsid w:val="00DF5125"/>
    <w:rsid w:val="00DF6A53"/>
    <w:rsid w:val="00DF6A54"/>
    <w:rsid w:val="00E00C17"/>
    <w:rsid w:val="00E025A9"/>
    <w:rsid w:val="00E07DFE"/>
    <w:rsid w:val="00E11A6F"/>
    <w:rsid w:val="00E166E6"/>
    <w:rsid w:val="00E1672C"/>
    <w:rsid w:val="00E2545F"/>
    <w:rsid w:val="00E4272F"/>
    <w:rsid w:val="00E42B81"/>
    <w:rsid w:val="00E47E34"/>
    <w:rsid w:val="00E50118"/>
    <w:rsid w:val="00E50F9B"/>
    <w:rsid w:val="00E51DED"/>
    <w:rsid w:val="00E56F40"/>
    <w:rsid w:val="00E60880"/>
    <w:rsid w:val="00E62770"/>
    <w:rsid w:val="00E72BD3"/>
    <w:rsid w:val="00E74BFC"/>
    <w:rsid w:val="00E75D8B"/>
    <w:rsid w:val="00E769BD"/>
    <w:rsid w:val="00E77999"/>
    <w:rsid w:val="00E77B8E"/>
    <w:rsid w:val="00E85B34"/>
    <w:rsid w:val="00E95999"/>
    <w:rsid w:val="00EA4114"/>
    <w:rsid w:val="00EA6F87"/>
    <w:rsid w:val="00EA7644"/>
    <w:rsid w:val="00EB1602"/>
    <w:rsid w:val="00EB46D7"/>
    <w:rsid w:val="00EB5D52"/>
    <w:rsid w:val="00EC5B9D"/>
    <w:rsid w:val="00ED1700"/>
    <w:rsid w:val="00ED545D"/>
    <w:rsid w:val="00EE0B00"/>
    <w:rsid w:val="00F04D7C"/>
    <w:rsid w:val="00F1078D"/>
    <w:rsid w:val="00F3640C"/>
    <w:rsid w:val="00F3754A"/>
    <w:rsid w:val="00F46547"/>
    <w:rsid w:val="00F5148D"/>
    <w:rsid w:val="00F51C56"/>
    <w:rsid w:val="00F52715"/>
    <w:rsid w:val="00F61FAD"/>
    <w:rsid w:val="00F63D13"/>
    <w:rsid w:val="00F64A7B"/>
    <w:rsid w:val="00F77A82"/>
    <w:rsid w:val="00F842D4"/>
    <w:rsid w:val="00F9244E"/>
    <w:rsid w:val="00F937EE"/>
    <w:rsid w:val="00F96C35"/>
    <w:rsid w:val="00F97948"/>
    <w:rsid w:val="00FA30B0"/>
    <w:rsid w:val="00FA47A4"/>
    <w:rsid w:val="00FB4480"/>
    <w:rsid w:val="00FB7F66"/>
    <w:rsid w:val="00FC7938"/>
    <w:rsid w:val="00FD0271"/>
    <w:rsid w:val="00FD4FE4"/>
    <w:rsid w:val="00FE3DBE"/>
    <w:rsid w:val="00FE67DF"/>
    <w:rsid w:val="00FF1806"/>
    <w:rsid w:val="00FF4757"/>
    <w:rsid w:val="00FF5E2B"/>
    <w:rsid w:val="00FF60E8"/>
    <w:rsid w:val="00FF62BF"/>
    <w:rsid w:val="015D78C2"/>
    <w:rsid w:val="01C45500"/>
    <w:rsid w:val="01F8525A"/>
    <w:rsid w:val="025A548B"/>
    <w:rsid w:val="0267744B"/>
    <w:rsid w:val="032B7CCC"/>
    <w:rsid w:val="03E9077F"/>
    <w:rsid w:val="03EA2651"/>
    <w:rsid w:val="03F3608F"/>
    <w:rsid w:val="03F73430"/>
    <w:rsid w:val="0475016D"/>
    <w:rsid w:val="04B406C8"/>
    <w:rsid w:val="051A11D0"/>
    <w:rsid w:val="05B71053"/>
    <w:rsid w:val="07282BD2"/>
    <w:rsid w:val="073525D0"/>
    <w:rsid w:val="07933427"/>
    <w:rsid w:val="07DC285E"/>
    <w:rsid w:val="083E2A4B"/>
    <w:rsid w:val="08591C04"/>
    <w:rsid w:val="08CC269C"/>
    <w:rsid w:val="090215F0"/>
    <w:rsid w:val="091229C5"/>
    <w:rsid w:val="093B6561"/>
    <w:rsid w:val="094B1189"/>
    <w:rsid w:val="09FF031A"/>
    <w:rsid w:val="0A02743E"/>
    <w:rsid w:val="0A3F5E5E"/>
    <w:rsid w:val="0A9E3E3B"/>
    <w:rsid w:val="0AA00011"/>
    <w:rsid w:val="0B090D2C"/>
    <w:rsid w:val="0B4921CB"/>
    <w:rsid w:val="0B6F074F"/>
    <w:rsid w:val="0B957346"/>
    <w:rsid w:val="0C7A2535"/>
    <w:rsid w:val="0C7A6ED4"/>
    <w:rsid w:val="0CA465CD"/>
    <w:rsid w:val="0D5F0B5D"/>
    <w:rsid w:val="0EE43F5B"/>
    <w:rsid w:val="0EE86A55"/>
    <w:rsid w:val="0F6A005A"/>
    <w:rsid w:val="101A6B79"/>
    <w:rsid w:val="10934141"/>
    <w:rsid w:val="10B36B79"/>
    <w:rsid w:val="10DF406E"/>
    <w:rsid w:val="11306208"/>
    <w:rsid w:val="11E90053"/>
    <w:rsid w:val="121D4CDC"/>
    <w:rsid w:val="12537254"/>
    <w:rsid w:val="128017F6"/>
    <w:rsid w:val="12B95B58"/>
    <w:rsid w:val="12BF58FF"/>
    <w:rsid w:val="12F24C1A"/>
    <w:rsid w:val="13176148"/>
    <w:rsid w:val="137568FB"/>
    <w:rsid w:val="13760D4E"/>
    <w:rsid w:val="13767950"/>
    <w:rsid w:val="13BF64E4"/>
    <w:rsid w:val="13F007FE"/>
    <w:rsid w:val="14147A3B"/>
    <w:rsid w:val="14A360C7"/>
    <w:rsid w:val="15020CA3"/>
    <w:rsid w:val="15583D2F"/>
    <w:rsid w:val="16035571"/>
    <w:rsid w:val="162639CD"/>
    <w:rsid w:val="16436BBB"/>
    <w:rsid w:val="16571DC8"/>
    <w:rsid w:val="16A3722E"/>
    <w:rsid w:val="16BB474E"/>
    <w:rsid w:val="172D2B29"/>
    <w:rsid w:val="174F27ED"/>
    <w:rsid w:val="175D29F7"/>
    <w:rsid w:val="180E1119"/>
    <w:rsid w:val="18393541"/>
    <w:rsid w:val="18A176F2"/>
    <w:rsid w:val="18A500EF"/>
    <w:rsid w:val="18C35161"/>
    <w:rsid w:val="195D7E33"/>
    <w:rsid w:val="198552B3"/>
    <w:rsid w:val="19970503"/>
    <w:rsid w:val="19C27D7F"/>
    <w:rsid w:val="19D759A1"/>
    <w:rsid w:val="19FB7AAE"/>
    <w:rsid w:val="1A3575A3"/>
    <w:rsid w:val="1B002FFA"/>
    <w:rsid w:val="1B1F58D7"/>
    <w:rsid w:val="1B9907D4"/>
    <w:rsid w:val="1BAC5276"/>
    <w:rsid w:val="1C0C749B"/>
    <w:rsid w:val="1C2A1FFA"/>
    <w:rsid w:val="1CFB1DB5"/>
    <w:rsid w:val="1D290988"/>
    <w:rsid w:val="1D67554C"/>
    <w:rsid w:val="1D7D286E"/>
    <w:rsid w:val="1DD31238"/>
    <w:rsid w:val="1DEE4723"/>
    <w:rsid w:val="1E9C42C4"/>
    <w:rsid w:val="1EA33C4F"/>
    <w:rsid w:val="1F6736C2"/>
    <w:rsid w:val="1F783185"/>
    <w:rsid w:val="1FBE56A1"/>
    <w:rsid w:val="2071095A"/>
    <w:rsid w:val="20802E1C"/>
    <w:rsid w:val="20840C8E"/>
    <w:rsid w:val="208D6BBB"/>
    <w:rsid w:val="2136562D"/>
    <w:rsid w:val="21501756"/>
    <w:rsid w:val="215B62C9"/>
    <w:rsid w:val="21D7460A"/>
    <w:rsid w:val="2216145C"/>
    <w:rsid w:val="223649D8"/>
    <w:rsid w:val="22A45836"/>
    <w:rsid w:val="22B34C76"/>
    <w:rsid w:val="232A6187"/>
    <w:rsid w:val="23A75EEF"/>
    <w:rsid w:val="23E15977"/>
    <w:rsid w:val="24481FE0"/>
    <w:rsid w:val="248764B8"/>
    <w:rsid w:val="24BC14A0"/>
    <w:rsid w:val="259768C4"/>
    <w:rsid w:val="25F36AC0"/>
    <w:rsid w:val="268F69D3"/>
    <w:rsid w:val="26A45E4D"/>
    <w:rsid w:val="26D20B6F"/>
    <w:rsid w:val="272711D4"/>
    <w:rsid w:val="27960276"/>
    <w:rsid w:val="29417347"/>
    <w:rsid w:val="29A852E1"/>
    <w:rsid w:val="29EB4EC7"/>
    <w:rsid w:val="2A2F41FE"/>
    <w:rsid w:val="2A4D3368"/>
    <w:rsid w:val="2A721FF8"/>
    <w:rsid w:val="2B187193"/>
    <w:rsid w:val="2B2C3011"/>
    <w:rsid w:val="2B59385C"/>
    <w:rsid w:val="2B6356A4"/>
    <w:rsid w:val="2B812582"/>
    <w:rsid w:val="2B882FE3"/>
    <w:rsid w:val="2BFE0E57"/>
    <w:rsid w:val="2C3A22F9"/>
    <w:rsid w:val="2CF74318"/>
    <w:rsid w:val="2CFB12C0"/>
    <w:rsid w:val="2D591BF5"/>
    <w:rsid w:val="2E060545"/>
    <w:rsid w:val="2E1F36AF"/>
    <w:rsid w:val="2F46011B"/>
    <w:rsid w:val="2F4F4390"/>
    <w:rsid w:val="2F6F2D87"/>
    <w:rsid w:val="2FEE50B1"/>
    <w:rsid w:val="2FFC7C4A"/>
    <w:rsid w:val="30305AEA"/>
    <w:rsid w:val="30353B90"/>
    <w:rsid w:val="304B257B"/>
    <w:rsid w:val="305A21E2"/>
    <w:rsid w:val="30B0524B"/>
    <w:rsid w:val="30B11B46"/>
    <w:rsid w:val="324C2EAE"/>
    <w:rsid w:val="32BD31BF"/>
    <w:rsid w:val="32D166F5"/>
    <w:rsid w:val="339F6C4E"/>
    <w:rsid w:val="33DA06F7"/>
    <w:rsid w:val="340F48FC"/>
    <w:rsid w:val="34265515"/>
    <w:rsid w:val="343C1419"/>
    <w:rsid w:val="34AF2C20"/>
    <w:rsid w:val="34C11256"/>
    <w:rsid w:val="34F47CFA"/>
    <w:rsid w:val="34F77B28"/>
    <w:rsid w:val="351202FF"/>
    <w:rsid w:val="35BC388F"/>
    <w:rsid w:val="3609360F"/>
    <w:rsid w:val="361B04A0"/>
    <w:rsid w:val="365C6355"/>
    <w:rsid w:val="36646E1F"/>
    <w:rsid w:val="36825C5E"/>
    <w:rsid w:val="36C55F68"/>
    <w:rsid w:val="37265173"/>
    <w:rsid w:val="37D35893"/>
    <w:rsid w:val="383E4EC8"/>
    <w:rsid w:val="385A6D44"/>
    <w:rsid w:val="386A7099"/>
    <w:rsid w:val="386C740E"/>
    <w:rsid w:val="393A6F31"/>
    <w:rsid w:val="393E24A6"/>
    <w:rsid w:val="39A560B6"/>
    <w:rsid w:val="3AA14BDA"/>
    <w:rsid w:val="3ACA4BAB"/>
    <w:rsid w:val="3B267C8A"/>
    <w:rsid w:val="3B946804"/>
    <w:rsid w:val="3BC86EC9"/>
    <w:rsid w:val="3BE6368D"/>
    <w:rsid w:val="3C4F553C"/>
    <w:rsid w:val="3C523343"/>
    <w:rsid w:val="3C57218D"/>
    <w:rsid w:val="3C755A92"/>
    <w:rsid w:val="3C7F7A11"/>
    <w:rsid w:val="3C890106"/>
    <w:rsid w:val="3D06066D"/>
    <w:rsid w:val="3D1651F0"/>
    <w:rsid w:val="3DC82823"/>
    <w:rsid w:val="3DED4844"/>
    <w:rsid w:val="3DF70654"/>
    <w:rsid w:val="3EBE5E7C"/>
    <w:rsid w:val="3F5F3197"/>
    <w:rsid w:val="3FAD462D"/>
    <w:rsid w:val="3FEC7CB4"/>
    <w:rsid w:val="400043D5"/>
    <w:rsid w:val="40537911"/>
    <w:rsid w:val="40687AEB"/>
    <w:rsid w:val="40DC4C45"/>
    <w:rsid w:val="413F7118"/>
    <w:rsid w:val="41922BF1"/>
    <w:rsid w:val="419B78AF"/>
    <w:rsid w:val="41A20AF6"/>
    <w:rsid w:val="4218487C"/>
    <w:rsid w:val="42486ADC"/>
    <w:rsid w:val="426E4241"/>
    <w:rsid w:val="42F1542D"/>
    <w:rsid w:val="43085A8E"/>
    <w:rsid w:val="43251536"/>
    <w:rsid w:val="432A2E25"/>
    <w:rsid w:val="43CF576B"/>
    <w:rsid w:val="43D766A6"/>
    <w:rsid w:val="440D2A03"/>
    <w:rsid w:val="445E5402"/>
    <w:rsid w:val="446C1C00"/>
    <w:rsid w:val="44774F25"/>
    <w:rsid w:val="44BA73CE"/>
    <w:rsid w:val="44DF6588"/>
    <w:rsid w:val="45487245"/>
    <w:rsid w:val="45841D41"/>
    <w:rsid w:val="458D7872"/>
    <w:rsid w:val="45920884"/>
    <w:rsid w:val="45A80E29"/>
    <w:rsid w:val="46387E1F"/>
    <w:rsid w:val="465E0411"/>
    <w:rsid w:val="46633C2B"/>
    <w:rsid w:val="46CB1754"/>
    <w:rsid w:val="46E771D4"/>
    <w:rsid w:val="47B411D0"/>
    <w:rsid w:val="47C066CC"/>
    <w:rsid w:val="47D55B81"/>
    <w:rsid w:val="48B6365C"/>
    <w:rsid w:val="48C64ECB"/>
    <w:rsid w:val="48FB6A8F"/>
    <w:rsid w:val="493A6E76"/>
    <w:rsid w:val="497F6E31"/>
    <w:rsid w:val="499D3D96"/>
    <w:rsid w:val="49C778F0"/>
    <w:rsid w:val="49DF1C3F"/>
    <w:rsid w:val="4A230D13"/>
    <w:rsid w:val="4A72487D"/>
    <w:rsid w:val="4AA27F9B"/>
    <w:rsid w:val="4B32363B"/>
    <w:rsid w:val="4B667B2B"/>
    <w:rsid w:val="4B735DE7"/>
    <w:rsid w:val="4B8E3C11"/>
    <w:rsid w:val="4BC3729A"/>
    <w:rsid w:val="4BCB4884"/>
    <w:rsid w:val="4BF23E4F"/>
    <w:rsid w:val="4C4607DA"/>
    <w:rsid w:val="4C595551"/>
    <w:rsid w:val="4CA72631"/>
    <w:rsid w:val="4CC319AB"/>
    <w:rsid w:val="4CFF6B43"/>
    <w:rsid w:val="4D1A110D"/>
    <w:rsid w:val="4D6466CB"/>
    <w:rsid w:val="4DBD0916"/>
    <w:rsid w:val="4E092FFA"/>
    <w:rsid w:val="4E733D84"/>
    <w:rsid w:val="4EA577DD"/>
    <w:rsid w:val="4EB04F44"/>
    <w:rsid w:val="4EF1621C"/>
    <w:rsid w:val="4F523FD7"/>
    <w:rsid w:val="4F7D08F7"/>
    <w:rsid w:val="4F9A19C9"/>
    <w:rsid w:val="50016AC2"/>
    <w:rsid w:val="50123898"/>
    <w:rsid w:val="5030772D"/>
    <w:rsid w:val="50427E43"/>
    <w:rsid w:val="50471644"/>
    <w:rsid w:val="51AB68BB"/>
    <w:rsid w:val="51BE3532"/>
    <w:rsid w:val="52A73009"/>
    <w:rsid w:val="52D46729"/>
    <w:rsid w:val="52EA405B"/>
    <w:rsid w:val="530024DC"/>
    <w:rsid w:val="53194738"/>
    <w:rsid w:val="532A3D6B"/>
    <w:rsid w:val="53836818"/>
    <w:rsid w:val="538A0F52"/>
    <w:rsid w:val="5397240C"/>
    <w:rsid w:val="53DA11A0"/>
    <w:rsid w:val="53E32E8A"/>
    <w:rsid w:val="53FA354B"/>
    <w:rsid w:val="54734B94"/>
    <w:rsid w:val="54915BA9"/>
    <w:rsid w:val="54C2402E"/>
    <w:rsid w:val="54FC1DBF"/>
    <w:rsid w:val="554B6AF4"/>
    <w:rsid w:val="557C4472"/>
    <w:rsid w:val="564B6B63"/>
    <w:rsid w:val="56514C21"/>
    <w:rsid w:val="567345E6"/>
    <w:rsid w:val="568E367B"/>
    <w:rsid w:val="56A70A5C"/>
    <w:rsid w:val="570B3917"/>
    <w:rsid w:val="5749021F"/>
    <w:rsid w:val="5779299C"/>
    <w:rsid w:val="57D85739"/>
    <w:rsid w:val="57F6355F"/>
    <w:rsid w:val="580E186D"/>
    <w:rsid w:val="580F3D30"/>
    <w:rsid w:val="58221A49"/>
    <w:rsid w:val="58B42698"/>
    <w:rsid w:val="592D575A"/>
    <w:rsid w:val="596407D3"/>
    <w:rsid w:val="597A4752"/>
    <w:rsid w:val="5A573610"/>
    <w:rsid w:val="5A8E4D76"/>
    <w:rsid w:val="5B6F6F42"/>
    <w:rsid w:val="5B825CAE"/>
    <w:rsid w:val="5BEF6CB4"/>
    <w:rsid w:val="5C12559D"/>
    <w:rsid w:val="5C476F4F"/>
    <w:rsid w:val="5C9748E3"/>
    <w:rsid w:val="5CBC6CD8"/>
    <w:rsid w:val="5CD740E4"/>
    <w:rsid w:val="5DB7078B"/>
    <w:rsid w:val="5E0B66F4"/>
    <w:rsid w:val="5E0E21E2"/>
    <w:rsid w:val="5E7D3DE6"/>
    <w:rsid w:val="5EE83FD6"/>
    <w:rsid w:val="5F093E9D"/>
    <w:rsid w:val="5F217E4A"/>
    <w:rsid w:val="5FF83421"/>
    <w:rsid w:val="6045177F"/>
    <w:rsid w:val="60D57D69"/>
    <w:rsid w:val="60F308EF"/>
    <w:rsid w:val="611A4780"/>
    <w:rsid w:val="6176717E"/>
    <w:rsid w:val="61A76DC0"/>
    <w:rsid w:val="62186AF3"/>
    <w:rsid w:val="623F0EEA"/>
    <w:rsid w:val="62492AD7"/>
    <w:rsid w:val="62966D01"/>
    <w:rsid w:val="62A10B56"/>
    <w:rsid w:val="62BB5C43"/>
    <w:rsid w:val="63653051"/>
    <w:rsid w:val="63737A74"/>
    <w:rsid w:val="637A6826"/>
    <w:rsid w:val="63ED479F"/>
    <w:rsid w:val="64B07C76"/>
    <w:rsid w:val="64BF0710"/>
    <w:rsid w:val="658028C9"/>
    <w:rsid w:val="65A73D5C"/>
    <w:rsid w:val="66116ABA"/>
    <w:rsid w:val="665373D5"/>
    <w:rsid w:val="665F0314"/>
    <w:rsid w:val="66924654"/>
    <w:rsid w:val="66C1218C"/>
    <w:rsid w:val="66DF3DF0"/>
    <w:rsid w:val="67FB3499"/>
    <w:rsid w:val="68467EA7"/>
    <w:rsid w:val="69D9186B"/>
    <w:rsid w:val="6A613793"/>
    <w:rsid w:val="6AAB298E"/>
    <w:rsid w:val="6B8D4C87"/>
    <w:rsid w:val="6C0C7052"/>
    <w:rsid w:val="6D0240E7"/>
    <w:rsid w:val="6D762C20"/>
    <w:rsid w:val="6D827EB8"/>
    <w:rsid w:val="6D943EDD"/>
    <w:rsid w:val="6E1950F6"/>
    <w:rsid w:val="6E310AD8"/>
    <w:rsid w:val="6E940B7A"/>
    <w:rsid w:val="6F9164AF"/>
    <w:rsid w:val="701A44B3"/>
    <w:rsid w:val="703A272E"/>
    <w:rsid w:val="70B30FF5"/>
    <w:rsid w:val="70BB3E83"/>
    <w:rsid w:val="70FC6010"/>
    <w:rsid w:val="717C721C"/>
    <w:rsid w:val="72294B2F"/>
    <w:rsid w:val="723E1C1A"/>
    <w:rsid w:val="727B0E3A"/>
    <w:rsid w:val="73EB2BFF"/>
    <w:rsid w:val="74D06A77"/>
    <w:rsid w:val="75065DB7"/>
    <w:rsid w:val="75F65014"/>
    <w:rsid w:val="76221787"/>
    <w:rsid w:val="76510885"/>
    <w:rsid w:val="76C3560E"/>
    <w:rsid w:val="770F35FE"/>
    <w:rsid w:val="77185A8F"/>
    <w:rsid w:val="772417AF"/>
    <w:rsid w:val="777B5002"/>
    <w:rsid w:val="779473C7"/>
    <w:rsid w:val="781977C0"/>
    <w:rsid w:val="782F13D2"/>
    <w:rsid w:val="78477BB6"/>
    <w:rsid w:val="785A5B03"/>
    <w:rsid w:val="796E4E17"/>
    <w:rsid w:val="79C4024E"/>
    <w:rsid w:val="79FC265D"/>
    <w:rsid w:val="7ABE4CD1"/>
    <w:rsid w:val="7AFE606B"/>
    <w:rsid w:val="7B271119"/>
    <w:rsid w:val="7B5254FB"/>
    <w:rsid w:val="7B5935FD"/>
    <w:rsid w:val="7BB27F43"/>
    <w:rsid w:val="7BB72EDA"/>
    <w:rsid w:val="7BDB6CDC"/>
    <w:rsid w:val="7C340505"/>
    <w:rsid w:val="7C471EE4"/>
    <w:rsid w:val="7D4635B2"/>
    <w:rsid w:val="7D64173C"/>
    <w:rsid w:val="7DFC1F91"/>
    <w:rsid w:val="7E0916DD"/>
    <w:rsid w:val="7E405882"/>
    <w:rsid w:val="7EA254FE"/>
    <w:rsid w:val="7EA875E5"/>
    <w:rsid w:val="7EB804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qFormat="1"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5"/>
    <w:qFormat/>
    <w:uiPriority w:val="99"/>
    <w:pPr>
      <w:keepNext/>
      <w:keepLines/>
      <w:spacing w:before="260" w:after="260" w:line="416" w:lineRule="auto"/>
      <w:outlineLvl w:val="2"/>
    </w:pPr>
    <w:rPr>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6"/>
    <w:semiHidden/>
    <w:qFormat/>
    <w:uiPriority w:val="99"/>
    <w:pPr>
      <w:jc w:val="left"/>
    </w:pPr>
    <w:rPr>
      <w:kern w:val="0"/>
      <w:sz w:val="20"/>
      <w:szCs w:val="21"/>
    </w:rPr>
  </w:style>
  <w:style w:type="paragraph" w:styleId="6">
    <w:name w:val="Body Text"/>
    <w:basedOn w:val="1"/>
    <w:next w:val="7"/>
    <w:qFormat/>
    <w:locked/>
    <w:uiPriority w:val="0"/>
    <w:pPr>
      <w:jc w:val="center"/>
    </w:pPr>
    <w:rPr>
      <w:kern w:val="0"/>
      <w:sz w:val="44"/>
    </w:rPr>
  </w:style>
  <w:style w:type="paragraph" w:styleId="7">
    <w:name w:val="Title"/>
    <w:basedOn w:val="1"/>
    <w:qFormat/>
    <w:locked/>
    <w:uiPriority w:val="10"/>
    <w:pPr>
      <w:spacing w:before="240" w:after="60"/>
      <w:jc w:val="center"/>
      <w:outlineLvl w:val="0"/>
    </w:pPr>
    <w:rPr>
      <w:rFonts w:ascii="Arial" w:hAnsi="Arial"/>
      <w:b/>
      <w:bCs/>
      <w:sz w:val="32"/>
      <w:szCs w:val="32"/>
    </w:rPr>
  </w:style>
  <w:style w:type="paragraph" w:styleId="8">
    <w:name w:val="Body Text Indent"/>
    <w:basedOn w:val="1"/>
    <w:qFormat/>
    <w:locked/>
    <w:uiPriority w:val="0"/>
    <w:pPr>
      <w:wordWrap w:val="0"/>
      <w:overflowPunct w:val="0"/>
      <w:autoSpaceDE w:val="0"/>
      <w:autoSpaceDN w:val="0"/>
      <w:adjustRightInd w:val="0"/>
      <w:spacing w:after="120" w:line="360" w:lineRule="auto"/>
      <w:ind w:left="420" w:leftChars="200"/>
      <w:jc w:val="left"/>
      <w:textAlignment w:val="baseline"/>
    </w:pPr>
    <w:rPr>
      <w:rFonts w:ascii="Arial" w:hAnsi="Arial"/>
      <w:kern w:val="0"/>
      <w:sz w:val="24"/>
      <w:szCs w:val="20"/>
    </w:rPr>
  </w:style>
  <w:style w:type="paragraph" w:styleId="9">
    <w:name w:val="Date"/>
    <w:basedOn w:val="1"/>
    <w:next w:val="1"/>
    <w:link w:val="37"/>
    <w:semiHidden/>
    <w:qFormat/>
    <w:uiPriority w:val="99"/>
    <w:pPr>
      <w:ind w:left="100" w:leftChars="2500"/>
    </w:pPr>
  </w:style>
  <w:style w:type="paragraph" w:styleId="10">
    <w:name w:val="Balloon Text"/>
    <w:basedOn w:val="1"/>
    <w:link w:val="38"/>
    <w:semiHidden/>
    <w:qFormat/>
    <w:uiPriority w:val="99"/>
    <w:rPr>
      <w:kern w:val="0"/>
      <w:sz w:val="18"/>
      <w:szCs w:val="18"/>
    </w:rPr>
  </w:style>
  <w:style w:type="paragraph" w:styleId="11">
    <w:name w:val="footer"/>
    <w:basedOn w:val="1"/>
    <w:link w:val="39"/>
    <w:qFormat/>
    <w:uiPriority w:val="99"/>
    <w:pPr>
      <w:tabs>
        <w:tab w:val="center" w:pos="4153"/>
        <w:tab w:val="right" w:pos="8306"/>
      </w:tabs>
      <w:snapToGrid w:val="0"/>
      <w:jc w:val="left"/>
    </w:pPr>
    <w:rPr>
      <w:kern w:val="0"/>
      <w:sz w:val="18"/>
      <w:szCs w:val="18"/>
    </w:rPr>
  </w:style>
  <w:style w:type="paragraph" w:styleId="12">
    <w:name w:val="header"/>
    <w:basedOn w:val="1"/>
    <w:link w:val="40"/>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99"/>
    <w:pPr>
      <w:tabs>
        <w:tab w:val="right" w:leader="dot" w:pos="9241"/>
      </w:tabs>
      <w:spacing w:beforeLines="25" w:afterLines="25"/>
      <w:jc w:val="left"/>
    </w:pPr>
    <w:rPr>
      <w:rFonts w:ascii="宋体"/>
      <w:szCs w:val="21"/>
    </w:rPr>
  </w:style>
  <w:style w:type="paragraph" w:styleId="14">
    <w:name w:val="toc 2"/>
    <w:basedOn w:val="1"/>
    <w:next w:val="1"/>
    <w:qFormat/>
    <w:uiPriority w:val="99"/>
    <w:pPr>
      <w:tabs>
        <w:tab w:val="right" w:leader="dot" w:pos="9241"/>
      </w:tabs>
    </w:pPr>
    <w:rPr>
      <w:rFonts w:ascii="宋体"/>
      <w:szCs w:val="21"/>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2"/>
    <w:basedOn w:val="8"/>
    <w:unhideWhenUsed/>
    <w:qFormat/>
    <w:locked/>
    <w:uiPriority w:val="0"/>
    <w:pPr>
      <w:ind w:firstLine="420" w:firstLineChars="200"/>
    </w:pPr>
  </w:style>
  <w:style w:type="table" w:styleId="18">
    <w:name w:val="Table Grid"/>
    <w:basedOn w:val="1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semiHidden/>
    <w:qFormat/>
    <w:uiPriority w:val="99"/>
    <w:rPr>
      <w:rFonts w:cs="Times New Roman"/>
      <w:color w:val="0000CC"/>
      <w:u w:val="single"/>
    </w:rPr>
  </w:style>
  <w:style w:type="character" w:styleId="21">
    <w:name w:val="annotation reference"/>
    <w:semiHidden/>
    <w:qFormat/>
    <w:uiPriority w:val="99"/>
    <w:rPr>
      <w:rFonts w:cs="Times New Roman"/>
      <w:sz w:val="21"/>
    </w:rPr>
  </w:style>
  <w:style w:type="paragraph" w:customStyle="1" w:styleId="22">
    <w:name w:val="段"/>
    <w:link w:val="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3">
    <w:name w:val="列出段落1"/>
    <w:basedOn w:val="1"/>
    <w:qFormat/>
    <w:uiPriority w:val="99"/>
    <w:pPr>
      <w:ind w:firstLine="420" w:firstLineChars="200"/>
    </w:pPr>
  </w:style>
  <w:style w:type="paragraph" w:customStyle="1" w:styleId="24">
    <w:name w:val="目次、标准名称标题"/>
    <w:basedOn w:val="1"/>
    <w:next w:val="22"/>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5">
    <w:name w:val="标准书脚_奇数页"/>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26">
    <w:name w:val="标准文件_段"/>
    <w:link w:val="4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9">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30">
    <w:name w:val="标准文件_数字编号列项（二级）"/>
    <w:qFormat/>
    <w:uiPriority w:val="0"/>
    <w:pPr>
      <w:numPr>
        <w:ilvl w:val="1"/>
        <w:numId w:val="1"/>
      </w:numPr>
      <w:tabs>
        <w:tab w:val="left" w:pos="851"/>
      </w:tabs>
      <w:jc w:val="both"/>
    </w:pPr>
    <w:rPr>
      <w:rFonts w:ascii="宋体" w:hAnsi="Times New Roman" w:eastAsia="宋体" w:cs="Times New Roman"/>
      <w:sz w:val="21"/>
      <w:lang w:val="en-US" w:eastAsia="zh-CN" w:bidi="ar-SA"/>
    </w:rPr>
  </w:style>
  <w:style w:type="paragraph" w:customStyle="1" w:styleId="31">
    <w:name w:val="标准文件_二级条标题"/>
    <w:next w:val="2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32">
    <w:name w:val="标准文件_三级条标题"/>
    <w:next w:val="26"/>
    <w:qFormat/>
    <w:uiPriority w:val="0"/>
    <w:pPr>
      <w:outlineLvl w:val="3"/>
    </w:pPr>
    <w:rPr>
      <w:rFonts w:ascii="Times New Roman" w:hAnsi="Times New Roman" w:eastAsia="宋体" w:cs="Times New Roman"/>
      <w:lang w:val="en-US" w:eastAsia="zh-CN" w:bidi="ar-SA"/>
    </w:rPr>
  </w:style>
  <w:style w:type="character" w:customStyle="1" w:styleId="33">
    <w:name w:val="标题 1 字符"/>
    <w:link w:val="2"/>
    <w:qFormat/>
    <w:locked/>
    <w:uiPriority w:val="99"/>
    <w:rPr>
      <w:rFonts w:cs="Times New Roman"/>
      <w:b/>
      <w:kern w:val="44"/>
      <w:sz w:val="44"/>
    </w:rPr>
  </w:style>
  <w:style w:type="character" w:customStyle="1" w:styleId="34">
    <w:name w:val="标题 2 字符"/>
    <w:link w:val="3"/>
    <w:qFormat/>
    <w:locked/>
    <w:uiPriority w:val="9"/>
    <w:rPr>
      <w:rFonts w:ascii="Cambria" w:hAnsi="Cambria" w:eastAsia="宋体" w:cs="Times New Roman"/>
      <w:b/>
      <w:sz w:val="32"/>
    </w:rPr>
  </w:style>
  <w:style w:type="character" w:customStyle="1" w:styleId="35">
    <w:name w:val="标题 3 字符"/>
    <w:link w:val="4"/>
    <w:qFormat/>
    <w:locked/>
    <w:uiPriority w:val="99"/>
    <w:rPr>
      <w:rFonts w:cs="Times New Roman"/>
      <w:b/>
      <w:sz w:val="32"/>
    </w:rPr>
  </w:style>
  <w:style w:type="character" w:customStyle="1" w:styleId="36">
    <w:name w:val="批注文字 字符"/>
    <w:link w:val="5"/>
    <w:semiHidden/>
    <w:qFormat/>
    <w:locked/>
    <w:uiPriority w:val="99"/>
    <w:rPr>
      <w:rFonts w:ascii="Calibri" w:hAnsi="Calibri" w:eastAsia="宋体" w:cs="Times New Roman"/>
      <w:sz w:val="21"/>
    </w:rPr>
  </w:style>
  <w:style w:type="character" w:customStyle="1" w:styleId="37">
    <w:name w:val="日期 字符"/>
    <w:link w:val="9"/>
    <w:semiHidden/>
    <w:qFormat/>
    <w:locked/>
    <w:uiPriority w:val="99"/>
    <w:rPr>
      <w:rFonts w:cs="Times New Roman"/>
      <w:kern w:val="2"/>
      <w:sz w:val="22"/>
      <w:szCs w:val="22"/>
    </w:rPr>
  </w:style>
  <w:style w:type="character" w:customStyle="1" w:styleId="38">
    <w:name w:val="批注框文本 字符"/>
    <w:link w:val="10"/>
    <w:semiHidden/>
    <w:qFormat/>
    <w:locked/>
    <w:uiPriority w:val="99"/>
    <w:rPr>
      <w:rFonts w:cs="Times New Roman"/>
      <w:sz w:val="18"/>
    </w:rPr>
  </w:style>
  <w:style w:type="character" w:customStyle="1" w:styleId="39">
    <w:name w:val="页脚 字符"/>
    <w:link w:val="11"/>
    <w:qFormat/>
    <w:locked/>
    <w:uiPriority w:val="99"/>
    <w:rPr>
      <w:rFonts w:cs="Times New Roman"/>
      <w:sz w:val="18"/>
    </w:rPr>
  </w:style>
  <w:style w:type="character" w:customStyle="1" w:styleId="40">
    <w:name w:val="页眉 字符"/>
    <w:link w:val="12"/>
    <w:qFormat/>
    <w:locked/>
    <w:uiPriority w:val="99"/>
    <w:rPr>
      <w:rFonts w:cs="Times New Roman"/>
      <w:sz w:val="18"/>
    </w:rPr>
  </w:style>
  <w:style w:type="character" w:customStyle="1" w:styleId="41">
    <w:name w:val="段 Char"/>
    <w:link w:val="22"/>
    <w:qFormat/>
    <w:locked/>
    <w:uiPriority w:val="0"/>
    <w:rPr>
      <w:rFonts w:ascii="宋体" w:hAnsi="Times New Roman"/>
      <w:sz w:val="22"/>
    </w:rPr>
  </w:style>
  <w:style w:type="character" w:customStyle="1" w:styleId="42">
    <w:name w:val="占位符文本1"/>
    <w:semiHidden/>
    <w:qFormat/>
    <w:uiPriority w:val="99"/>
    <w:rPr>
      <w:rFonts w:cs="Times New Roman"/>
      <w:color w:val="808080"/>
    </w:rPr>
  </w:style>
  <w:style w:type="character" w:customStyle="1" w:styleId="43">
    <w:name w:val="fontstyle01"/>
    <w:qFormat/>
    <w:uiPriority w:val="0"/>
    <w:rPr>
      <w:rFonts w:ascii="宋体" w:hAnsi="宋体" w:eastAsia="宋体" w:cs="宋体"/>
      <w:color w:val="000000"/>
      <w:sz w:val="22"/>
      <w:szCs w:val="22"/>
    </w:rPr>
  </w:style>
  <w:style w:type="paragraph" w:styleId="44">
    <w:name w:val="List Paragraph"/>
    <w:basedOn w:val="1"/>
    <w:qFormat/>
    <w:uiPriority w:val="99"/>
    <w:pPr>
      <w:ind w:firstLine="420" w:firstLineChars="200"/>
    </w:pPr>
  </w:style>
  <w:style w:type="paragraph" w:customStyle="1" w:styleId="45">
    <w:name w:val="一级条标题"/>
    <w:next w:val="22"/>
    <w:unhideWhenUsed/>
    <w:qFormat/>
    <w:uiPriority w:val="0"/>
    <w:pPr>
      <w:spacing w:beforeLines="50" w:afterLines="50"/>
      <w:outlineLvl w:val="2"/>
    </w:pPr>
    <w:rPr>
      <w:rFonts w:hint="eastAsia" w:ascii="黑体" w:hAnsi="Times New Roman" w:eastAsia="黑体" w:cs="Times New Roman"/>
      <w:sz w:val="21"/>
      <w:szCs w:val="21"/>
      <w:lang w:val="en-US" w:eastAsia="zh-CN" w:bidi="ar-SA"/>
    </w:rPr>
  </w:style>
  <w:style w:type="paragraph" w:customStyle="1" w:styleId="46">
    <w:name w:val="标准书眉_奇数页"/>
    <w:next w:val="1"/>
    <w:unhideWhenUsed/>
    <w:qFormat/>
    <w:uiPriority w:val="0"/>
    <w:pPr>
      <w:tabs>
        <w:tab w:val="center" w:pos="4154"/>
        <w:tab w:val="right" w:pos="8306"/>
      </w:tabs>
      <w:jc w:val="right"/>
    </w:pPr>
    <w:rPr>
      <w:rFonts w:hint="eastAsia" w:ascii="黑体" w:hAnsi="Times New Roman" w:eastAsia="黑体" w:cs="Times New Roman"/>
      <w:sz w:val="21"/>
      <w:szCs w:val="21"/>
      <w:lang w:val="en-US" w:eastAsia="zh-CN" w:bidi="ar-SA"/>
    </w:rPr>
  </w:style>
  <w:style w:type="paragraph" w:customStyle="1" w:styleId="47">
    <w:name w:val="修订1"/>
    <w:hidden/>
    <w:unhideWhenUsed/>
    <w:qFormat/>
    <w:uiPriority w:val="99"/>
    <w:rPr>
      <w:rFonts w:ascii="Calibri" w:hAnsi="Calibri" w:eastAsia="宋体" w:cs="Times New Roman"/>
      <w:kern w:val="2"/>
      <w:sz w:val="21"/>
      <w:szCs w:val="22"/>
      <w:lang w:val="en-US" w:eastAsia="zh-CN" w:bidi="ar-SA"/>
    </w:rPr>
  </w:style>
  <w:style w:type="character" w:customStyle="1" w:styleId="48">
    <w:name w:val="标准文件_段 Char"/>
    <w:link w:val="26"/>
    <w:qFormat/>
    <w:uiPriority w:val="0"/>
    <w:rPr>
      <w:rFonts w:ascii="宋体"/>
      <w:sz w:val="21"/>
    </w:rPr>
  </w:style>
  <w:style w:type="paragraph" w:customStyle="1" w:styleId="49">
    <w:name w:val="标准文件_四级条标题"/>
    <w:next w:val="26"/>
    <w:qFormat/>
    <w:uiPriority w:val="0"/>
    <w:pPr>
      <w:widowControl w:val="0"/>
      <w:spacing w:beforeLines="50" w:afterLines="50"/>
      <w:jc w:val="both"/>
      <w:outlineLvl w:val="4"/>
    </w:pPr>
    <w:rPr>
      <w:rFonts w:ascii="黑体" w:hAnsi="Times New Roman" w:eastAsia="黑体" w:cs="Times New Roman"/>
      <w:sz w:val="21"/>
      <w:lang w:val="en-US" w:eastAsia="zh-CN" w:bidi="ar-SA"/>
    </w:rPr>
  </w:style>
  <w:style w:type="paragraph" w:customStyle="1" w:styleId="50">
    <w:name w:val="标准文件_五级条标题"/>
    <w:next w:val="26"/>
    <w:qFormat/>
    <w:uiPriority w:val="0"/>
    <w:pPr>
      <w:widowControl w:val="0"/>
      <w:spacing w:beforeLines="50" w:afterLines="50"/>
      <w:jc w:val="both"/>
      <w:outlineLvl w:val="5"/>
    </w:pPr>
    <w:rPr>
      <w:rFonts w:ascii="黑体" w:hAnsi="Times New Roman" w:eastAsia="黑体" w:cs="Times New Roman"/>
      <w:sz w:val="21"/>
      <w:lang w:val="en-US" w:eastAsia="zh-CN" w:bidi="ar-SA"/>
    </w:rPr>
  </w:style>
  <w:style w:type="paragraph" w:customStyle="1" w:styleId="51">
    <w:name w:val="标准文件_章标题"/>
    <w:next w:val="26"/>
    <w:qFormat/>
    <w:uiPriority w:val="0"/>
    <w:pPr>
      <w:spacing w:beforeLines="100" w:afterLines="100"/>
      <w:jc w:val="both"/>
      <w:outlineLvl w:val="0"/>
    </w:pPr>
    <w:rPr>
      <w:rFonts w:ascii="黑体" w:hAnsi="Times New Roman" w:eastAsia="黑体" w:cs="Times New Roman"/>
      <w:sz w:val="21"/>
      <w:lang w:val="en-US" w:eastAsia="zh-CN" w:bidi="ar-SA"/>
    </w:rPr>
  </w:style>
  <w:style w:type="paragraph" w:customStyle="1" w:styleId="52">
    <w:name w:val="标准文件_一级条标题"/>
    <w:basedOn w:val="51"/>
    <w:next w:val="26"/>
    <w:qFormat/>
    <w:uiPriority w:val="0"/>
    <w:pPr>
      <w:spacing w:beforeLines="50" w:afterLines="50"/>
      <w:outlineLvl w:val="1"/>
    </w:pPr>
  </w:style>
  <w:style w:type="paragraph" w:customStyle="1" w:styleId="53">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4">
    <w:name w:val="标准文件_一级项"/>
    <w:qFormat/>
    <w:uiPriority w:val="0"/>
    <w:pPr>
      <w:numPr>
        <w:ilvl w:val="0"/>
        <w:numId w:val="3"/>
      </w:numPr>
    </w:pPr>
    <w:rPr>
      <w:rFonts w:ascii="宋体" w:hAnsi="Times New Roman" w:eastAsia="宋体" w:cs="Times New Roman"/>
      <w:sz w:val="21"/>
      <w:lang w:val="en-US" w:eastAsia="zh-CN" w:bidi="ar-SA"/>
    </w:rPr>
  </w:style>
  <w:style w:type="paragraph" w:customStyle="1" w:styleId="55">
    <w:name w:val="标准文件_三级项"/>
    <w:basedOn w:val="1"/>
    <w:qFormat/>
    <w:uiPriority w:val="0"/>
    <w:pPr>
      <w:numPr>
        <w:ilvl w:val="2"/>
        <w:numId w:val="3"/>
      </w:numPr>
      <w:adjustRightInd w:val="0"/>
      <w:spacing w:line="536870612" w:lineRule="auto"/>
    </w:pPr>
    <w:rPr>
      <w:rFonts w:ascii="Times New Roman" w:hAnsi="Times New Roman"/>
      <w:szCs w:val="21"/>
    </w:rPr>
  </w:style>
  <w:style w:type="paragraph" w:customStyle="1" w:styleId="56">
    <w:name w:val="标准文件_二级项2"/>
    <w:basedOn w:val="26"/>
    <w:qFormat/>
    <w:uiPriority w:val="0"/>
    <w:pPr>
      <w:numPr>
        <w:ilvl w:val="1"/>
        <w:numId w:val="3"/>
      </w:numPr>
      <w:ind w:left="1271" w:hanging="420" w:firstLineChars="0"/>
    </w:pPr>
  </w:style>
  <w:style w:type="paragraph" w:customStyle="1" w:styleId="57">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3774</Words>
  <Characters>3899</Characters>
  <Lines>137</Lines>
  <Paragraphs>103</Paragraphs>
  <TotalTime>3</TotalTime>
  <ScaleCrop>false</ScaleCrop>
  <LinksUpToDate>false</LinksUpToDate>
  <CharactersWithSpaces>3958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2024-09-27T07:09:00Z</dcterms:created>
  <dc:creator>liu</dc:creator>
  <cp:lastModifiedBy>老兔子</cp:lastModifiedBy>
  <cp:lastPrinted>2020-06-01T08:06:00Z</cp:lastPrinted>
  <dcterms:modified xsi:type="dcterms:W3CDTF">2025-11-24T06:49:25Z</dcterms:modified>
  <dc:title>中国仪器仪表行业协会团体标准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76B4EDF20D9C42939537282D70595414_13</vt:lpwstr>
  </property>
  <property fmtid="{D5CDD505-2E9C-101B-9397-08002B2CF9AE}" pid="4" name="KSOTemplateDocerSaveRecord">
    <vt:lpwstr>eyJoZGlkIjoiODE2ZmIwNmJmZTI5ZWNhNTI3M2U2MzliNWE3ZmM3MWEiLCJ1c2VySWQiOiIxMDI2NjMzMDU4In0=</vt:lpwstr>
  </property>
</Properties>
</file>