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330AD">
      <w:pPr>
        <w:pStyle w:val="2"/>
        <w:jc w:val="center"/>
        <w:rPr>
          <w:rFonts w:ascii="Times New Roman" w:hAnsi="Times New Roman" w:eastAsia="黑体" w:cs="Times New Roman"/>
          <w:sz w:val="52"/>
          <w:szCs w:val="52"/>
        </w:rPr>
      </w:pPr>
    </w:p>
    <w:p w14:paraId="797FD894">
      <w:pPr>
        <w:pStyle w:val="2"/>
        <w:jc w:val="center"/>
        <w:rPr>
          <w:rFonts w:ascii="Times New Roman" w:hAnsi="Times New Roman" w:eastAsia="黑体" w:cs="Times New Roman"/>
          <w:sz w:val="52"/>
          <w:szCs w:val="52"/>
        </w:rPr>
      </w:pPr>
    </w:p>
    <w:p w14:paraId="57FC225F">
      <w:pPr>
        <w:pStyle w:val="2"/>
        <w:jc w:val="center"/>
        <w:rPr>
          <w:rFonts w:ascii="Times New Roman" w:hAnsi="Times New Roman" w:eastAsia="黑体" w:cs="Times New Roman"/>
          <w:sz w:val="52"/>
          <w:szCs w:val="52"/>
        </w:rPr>
      </w:pPr>
      <w:r>
        <w:rPr>
          <w:rFonts w:ascii="Times New Roman" w:hAnsi="Times New Roman" w:eastAsia="黑体" w:cs="Times New Roman"/>
          <w:sz w:val="52"/>
          <w:szCs w:val="52"/>
        </w:rPr>
        <w:t>中国仪器仪表行业协会团体标准</w:t>
      </w:r>
    </w:p>
    <w:p w14:paraId="428191AE">
      <w:pPr>
        <w:pStyle w:val="10"/>
        <w:ind w:firstLine="0" w:firstLineChars="0"/>
        <w:jc w:val="center"/>
        <w:rPr>
          <w:rFonts w:ascii="Times New Roman" w:hAnsi="Times New Roman" w:cs="Times New Roman"/>
          <w:sz w:val="44"/>
          <w:szCs w:val="44"/>
        </w:rPr>
      </w:pPr>
    </w:p>
    <w:p w14:paraId="45432E3B">
      <w:pPr>
        <w:pStyle w:val="10"/>
        <w:ind w:firstLine="0" w:firstLineChars="0"/>
        <w:jc w:val="center"/>
        <w:rPr>
          <w:rFonts w:ascii="Times New Roman" w:hAnsi="Times New Roman" w:cs="Times New Roman"/>
          <w:sz w:val="44"/>
          <w:szCs w:val="44"/>
        </w:rPr>
      </w:pPr>
    </w:p>
    <w:p w14:paraId="0A84B081">
      <w:pPr>
        <w:pStyle w:val="10"/>
        <w:ind w:firstLine="0" w:firstLineChars="0"/>
        <w:jc w:val="center"/>
        <w:rPr>
          <w:rFonts w:ascii="Times New Roman" w:hAnsi="Times New Roman" w:eastAsia="宋体" w:cs="Times New Roman"/>
          <w:b/>
          <w:bCs/>
          <w:kern w:val="44"/>
          <w:sz w:val="44"/>
          <w:szCs w:val="44"/>
        </w:rPr>
      </w:pPr>
      <w:r>
        <w:rPr>
          <w:rFonts w:ascii="Times New Roman" w:hAnsi="Times New Roman" w:eastAsia="宋体" w:cs="Times New Roman"/>
          <w:b/>
          <w:bCs/>
          <w:kern w:val="44"/>
          <w:sz w:val="44"/>
          <w:szCs w:val="44"/>
        </w:rPr>
        <w:t>《电力负荷柔性调控系统技术要求》</w:t>
      </w:r>
    </w:p>
    <w:p w14:paraId="11EDADD2">
      <w:pPr>
        <w:jc w:val="center"/>
        <w:rPr>
          <w:rFonts w:ascii="Times New Roman" w:hAnsi="Times New Roman" w:eastAsia="黑体" w:cs="Times New Roman"/>
          <w:b/>
          <w:sz w:val="36"/>
          <w:szCs w:val="36"/>
        </w:rPr>
      </w:pPr>
    </w:p>
    <w:p w14:paraId="097918BB">
      <w:pPr>
        <w:jc w:val="center"/>
        <w:rPr>
          <w:rFonts w:ascii="Times New Roman" w:hAnsi="Times New Roman" w:eastAsia="黑体" w:cs="Times New Roman"/>
          <w:b/>
          <w:sz w:val="36"/>
          <w:szCs w:val="36"/>
        </w:rPr>
      </w:pPr>
    </w:p>
    <w:p w14:paraId="3DA52555">
      <w:pPr>
        <w:pStyle w:val="2"/>
        <w:jc w:val="center"/>
        <w:rPr>
          <w:rFonts w:ascii="Times New Roman" w:hAnsi="Times New Roman" w:eastAsia="黑体" w:cs="Times New Roman"/>
          <w:b w:val="0"/>
        </w:rPr>
      </w:pPr>
      <w:r>
        <w:rPr>
          <w:rFonts w:ascii="Times New Roman" w:hAnsi="Times New Roman" w:eastAsia="黑体" w:cs="Times New Roman"/>
          <w:b w:val="0"/>
        </w:rPr>
        <w:t>编制说明</w:t>
      </w:r>
    </w:p>
    <w:p w14:paraId="0070F74D">
      <w:pPr>
        <w:jc w:val="center"/>
        <w:rPr>
          <w:rFonts w:ascii="Times New Roman" w:hAnsi="Times New Roman" w:cs="Times New Roman"/>
          <w:b/>
          <w:sz w:val="32"/>
          <w:szCs w:val="32"/>
          <w:lang w:val="zh-CN"/>
        </w:rPr>
      </w:pPr>
    </w:p>
    <w:p w14:paraId="1553C725">
      <w:pPr>
        <w:jc w:val="center"/>
        <w:rPr>
          <w:rFonts w:ascii="Times New Roman" w:hAnsi="Times New Roman" w:cs="Times New Roman"/>
          <w:b/>
          <w:sz w:val="32"/>
          <w:szCs w:val="32"/>
          <w:lang w:val="zh-CN"/>
        </w:rPr>
      </w:pPr>
    </w:p>
    <w:p w14:paraId="16008C0A">
      <w:pPr>
        <w:jc w:val="center"/>
        <w:rPr>
          <w:rFonts w:ascii="Times New Roman" w:hAnsi="Times New Roman" w:cs="Times New Roman"/>
          <w:b/>
          <w:sz w:val="32"/>
          <w:szCs w:val="32"/>
          <w:lang w:val="zh-CN"/>
        </w:rPr>
      </w:pPr>
    </w:p>
    <w:p w14:paraId="4299049D">
      <w:pPr>
        <w:jc w:val="center"/>
        <w:rPr>
          <w:rFonts w:ascii="Times New Roman" w:hAnsi="Times New Roman" w:cs="Times New Roman"/>
          <w:b/>
          <w:sz w:val="32"/>
          <w:szCs w:val="32"/>
          <w:lang w:val="zh-CN"/>
        </w:rPr>
      </w:pPr>
      <w:r>
        <w:rPr>
          <w:rFonts w:ascii="Times New Roman" w:hAnsi="Times New Roman" w:cs="Times New Roman"/>
          <w:b/>
          <w:sz w:val="32"/>
          <w:szCs w:val="32"/>
          <w:lang w:val="zh-CN"/>
        </w:rPr>
        <w:t>（征求意见稿）</w:t>
      </w:r>
    </w:p>
    <w:p w14:paraId="2F1DDDAE">
      <w:pPr>
        <w:pStyle w:val="10"/>
        <w:ind w:firstLine="0" w:firstLineChars="0"/>
        <w:jc w:val="center"/>
        <w:rPr>
          <w:rFonts w:hint="default" w:ascii="Times New Roman" w:hAnsi="Times New Roman" w:cs="Times New Roman" w:eastAsiaTheme="minorEastAsia"/>
          <w:sz w:val="36"/>
          <w:szCs w:val="36"/>
          <w:lang w:val="en-US" w:eastAsia="zh-CN"/>
        </w:rPr>
      </w:pPr>
      <w:r>
        <w:rPr>
          <w:rFonts w:ascii="Times New Roman" w:hAnsi="Times New Roman" w:cs="Times New Roman"/>
          <w:b/>
          <w:sz w:val="32"/>
          <w:szCs w:val="32"/>
        </w:rPr>
        <w:t>202</w:t>
      </w:r>
      <w:r>
        <w:rPr>
          <w:rFonts w:hint="eastAsia" w:ascii="Times New Roman" w:hAnsi="Times New Roman" w:cs="Times New Roman"/>
          <w:b/>
          <w:sz w:val="32"/>
          <w:szCs w:val="32"/>
        </w:rPr>
        <w:t>601</w:t>
      </w:r>
      <w:r>
        <w:rPr>
          <w:rFonts w:hint="eastAsia" w:ascii="Times New Roman" w:hAnsi="Times New Roman" w:cs="Times New Roman"/>
          <w:b/>
          <w:sz w:val="32"/>
          <w:szCs w:val="32"/>
          <w:lang w:val="en-US" w:eastAsia="zh-CN"/>
        </w:rPr>
        <w:t>28</w:t>
      </w:r>
    </w:p>
    <w:p w14:paraId="716B3389">
      <w:pPr>
        <w:pStyle w:val="10"/>
        <w:ind w:firstLine="0" w:firstLineChars="0"/>
        <w:jc w:val="center"/>
        <w:rPr>
          <w:rFonts w:ascii="Times New Roman" w:hAnsi="Times New Roman" w:cs="Times New Roman"/>
          <w:sz w:val="36"/>
          <w:szCs w:val="36"/>
        </w:rPr>
      </w:pPr>
    </w:p>
    <w:p w14:paraId="4839A365">
      <w:pPr>
        <w:pStyle w:val="10"/>
        <w:ind w:firstLine="0" w:firstLineChars="0"/>
        <w:jc w:val="center"/>
        <w:rPr>
          <w:rFonts w:ascii="Times New Roman" w:hAnsi="Times New Roman" w:cs="Times New Roman"/>
          <w:sz w:val="36"/>
          <w:szCs w:val="36"/>
        </w:rPr>
      </w:pPr>
    </w:p>
    <w:p w14:paraId="3556C8D8">
      <w:pPr>
        <w:pStyle w:val="2"/>
        <w:jc w:val="left"/>
        <w:rPr>
          <w:rFonts w:ascii="Times New Roman" w:hAnsi="Times New Roman" w:cs="Times New Roman"/>
          <w:sz w:val="28"/>
          <w:szCs w:val="28"/>
        </w:rPr>
      </w:pPr>
      <w:r>
        <w:rPr>
          <w:rFonts w:ascii="Times New Roman" w:hAnsi="Times New Roman" w:cs="Times New Roman"/>
          <w:sz w:val="28"/>
          <w:szCs w:val="28"/>
        </w:rPr>
        <w:t>一、工作简况</w:t>
      </w:r>
    </w:p>
    <w:p w14:paraId="2C1120EE">
      <w:pPr>
        <w:pStyle w:val="3"/>
        <w:rPr>
          <w:rFonts w:ascii="Times New Roman" w:hAnsi="Times New Roman"/>
          <w:sz w:val="30"/>
          <w:szCs w:val="30"/>
        </w:rPr>
      </w:pPr>
      <w:r>
        <w:rPr>
          <w:rFonts w:ascii="Times New Roman" w:hAnsi="Times New Roman"/>
          <w:sz w:val="28"/>
          <w:szCs w:val="28"/>
        </w:rPr>
        <w:t>1、任务来源</w:t>
      </w:r>
    </w:p>
    <w:p w14:paraId="3724CAFD">
      <w:pPr>
        <w:pStyle w:val="10"/>
        <w:spacing w:line="360" w:lineRule="auto"/>
        <w:ind w:firstLine="480"/>
        <w:rPr>
          <w:rFonts w:ascii="Times New Roman" w:hAnsi="Times New Roman" w:cs="Times New Roman"/>
          <w:sz w:val="24"/>
          <w:szCs w:val="24"/>
        </w:rPr>
      </w:pPr>
      <w:r>
        <w:rPr>
          <w:rFonts w:ascii="Times New Roman" w:hAnsi="Times New Roman" w:cs="Times New Roman"/>
          <w:sz w:val="24"/>
          <w:szCs w:val="24"/>
        </w:rPr>
        <w:t>本团体标准</w:t>
      </w:r>
      <w:r>
        <w:rPr>
          <w:rFonts w:ascii="Times New Roman" w:hAnsi="Times New Roman" w:cs="Times New Roman"/>
          <w:sz w:val="24"/>
          <w:szCs w:val="24"/>
          <w:highlight w:val="none"/>
        </w:rPr>
        <w:t>根据中国仪器仪表行业协会《关于</w:t>
      </w:r>
      <w:r>
        <w:rPr>
          <w:rFonts w:hint="eastAsia" w:ascii="Times New Roman" w:hAnsi="Times New Roman" w:cs="Times New Roman"/>
          <w:sz w:val="24"/>
          <w:szCs w:val="24"/>
          <w:highlight w:val="none"/>
        </w:rPr>
        <w:t>&lt;检定及分拣拍照设备通用技术规范&gt;等5项团体标准立项的批复</w:t>
      </w:r>
      <w:r>
        <w:rPr>
          <w:rFonts w:ascii="Times New Roman" w:hAnsi="Times New Roman" w:cs="Times New Roman"/>
          <w:sz w:val="24"/>
          <w:szCs w:val="24"/>
          <w:highlight w:val="none"/>
        </w:rPr>
        <w:t>》（中仪协 【202</w:t>
      </w:r>
      <w:r>
        <w:rPr>
          <w:rFonts w:hint="eastAsia" w:ascii="Times New Roman" w:hAnsi="Times New Roman" w:cs="Times New Roman"/>
          <w:sz w:val="24"/>
          <w:szCs w:val="24"/>
          <w:highlight w:val="none"/>
          <w:lang w:val="en-US" w:eastAsia="zh-CN"/>
        </w:rPr>
        <w:t>5</w:t>
      </w:r>
      <w:r>
        <w:rPr>
          <w:rFonts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29</w:t>
      </w:r>
      <w:r>
        <w:rPr>
          <w:rFonts w:ascii="Times New Roman" w:hAnsi="Times New Roman" w:cs="Times New Roman"/>
          <w:sz w:val="24"/>
          <w:szCs w:val="24"/>
          <w:highlight w:val="none"/>
        </w:rPr>
        <w:t xml:space="preserve">号）文件立项，标准名称为《新型电力负荷管理系统柔性负荷调控技术指南》，标准编号为T/CIMA </w:t>
      </w:r>
      <w:r>
        <w:rPr>
          <w:rFonts w:ascii="Times New Roman" w:hAnsi="Times New Roman" w:cs="Times New Roman"/>
          <w:sz w:val="24"/>
          <w:szCs w:val="24"/>
        </w:rPr>
        <w:t>0</w:t>
      </w:r>
      <w:r>
        <w:rPr>
          <w:rFonts w:hint="eastAsia" w:ascii="Times New Roman" w:hAnsi="Times New Roman" w:cs="Times New Roman"/>
          <w:sz w:val="24"/>
          <w:szCs w:val="24"/>
        </w:rPr>
        <w:t>201</w:t>
      </w:r>
      <w:r>
        <w:rPr>
          <w:rFonts w:ascii="Times New Roman" w:hAnsi="Times New Roman" w:cs="Times New Roman"/>
          <w:sz w:val="24"/>
          <w:szCs w:val="24"/>
        </w:rPr>
        <w:t>。本文件由中国仪器仪表行业协会电工仪器仪表分会提出，由中国仪器仪表行业协会归口。计划编制完成年限为202</w:t>
      </w:r>
      <w:r>
        <w:rPr>
          <w:rFonts w:hint="eastAsia" w:ascii="Times New Roman" w:hAnsi="Times New Roman" w:cs="Times New Roman"/>
          <w:sz w:val="24"/>
          <w:szCs w:val="24"/>
        </w:rPr>
        <w:t>6</w:t>
      </w:r>
      <w:r>
        <w:rPr>
          <w:rFonts w:ascii="Times New Roman" w:hAnsi="Times New Roman" w:cs="Times New Roman"/>
          <w:sz w:val="24"/>
          <w:szCs w:val="24"/>
        </w:rPr>
        <w:t>年。</w:t>
      </w:r>
    </w:p>
    <w:p w14:paraId="2224343F">
      <w:pPr>
        <w:pStyle w:val="3"/>
        <w:rPr>
          <w:rFonts w:ascii="Times New Roman" w:hAnsi="Times New Roman"/>
          <w:sz w:val="30"/>
          <w:szCs w:val="30"/>
        </w:rPr>
      </w:pPr>
      <w:r>
        <w:rPr>
          <w:rFonts w:ascii="Times New Roman" w:hAnsi="Times New Roman"/>
          <w:sz w:val="28"/>
          <w:szCs w:val="28"/>
        </w:rPr>
        <w:t>2、主要工作过程</w:t>
      </w:r>
    </w:p>
    <w:p w14:paraId="2457EA66">
      <w:pPr>
        <w:pStyle w:val="10"/>
        <w:spacing w:line="360" w:lineRule="auto"/>
        <w:ind w:firstLine="482"/>
        <w:rPr>
          <w:rFonts w:ascii="Times New Roman" w:hAnsi="Times New Roman" w:eastAsia="宋体" w:cs="Times New Roman"/>
          <w:sz w:val="24"/>
          <w:szCs w:val="24"/>
        </w:rPr>
      </w:pPr>
      <w:r>
        <w:rPr>
          <w:rFonts w:ascii="Times New Roman" w:hAnsi="Times New Roman" w:eastAsia="宋体" w:cs="Times New Roman"/>
          <w:b/>
          <w:bCs/>
          <w:sz w:val="24"/>
          <w:szCs w:val="24"/>
        </w:rPr>
        <w:t>202</w:t>
      </w: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年</w:t>
      </w:r>
      <w:r>
        <w:rPr>
          <w:rFonts w:hint="eastAsia" w:ascii="Times New Roman" w:hAnsi="Times New Roman" w:eastAsia="宋体" w:cs="Times New Roman"/>
          <w:b/>
          <w:bCs/>
          <w:sz w:val="24"/>
          <w:szCs w:val="24"/>
        </w:rPr>
        <w:t>6</w:t>
      </w:r>
      <w:r>
        <w:rPr>
          <w:rFonts w:ascii="Times New Roman" w:hAnsi="Times New Roman" w:eastAsia="宋体" w:cs="Times New Roman"/>
          <w:b/>
          <w:bCs/>
          <w:sz w:val="24"/>
          <w:szCs w:val="24"/>
        </w:rPr>
        <w:t>月：</w:t>
      </w:r>
      <w:r>
        <w:rPr>
          <w:rFonts w:ascii="Times New Roman" w:hAnsi="Times New Roman" w:eastAsia="宋体" w:cs="Times New Roman"/>
          <w:sz w:val="24"/>
          <w:szCs w:val="24"/>
        </w:rPr>
        <w:t>申请立项并上报标准的</w:t>
      </w:r>
      <w:r>
        <w:rPr>
          <w:rFonts w:ascii="Times New Roman" w:hAnsi="Times New Roman" w:eastAsia="宋体" w:cs="Times New Roman"/>
          <w:b/>
          <w:sz w:val="24"/>
          <w:szCs w:val="24"/>
        </w:rPr>
        <w:t>草案稿和项目建议书</w:t>
      </w:r>
      <w:r>
        <w:rPr>
          <w:rFonts w:ascii="Times New Roman" w:hAnsi="Times New Roman" w:eastAsia="宋体" w:cs="Times New Roman"/>
          <w:sz w:val="24"/>
          <w:szCs w:val="24"/>
        </w:rPr>
        <w:t>。</w:t>
      </w:r>
    </w:p>
    <w:p w14:paraId="1566C428">
      <w:pPr>
        <w:pStyle w:val="10"/>
        <w:spacing w:line="360" w:lineRule="auto"/>
        <w:ind w:firstLine="482"/>
        <w:rPr>
          <w:rFonts w:ascii="Times New Roman" w:hAnsi="Times New Roman" w:eastAsia="宋体" w:cs="Times New Roman"/>
          <w:sz w:val="24"/>
          <w:szCs w:val="24"/>
        </w:rPr>
      </w:pPr>
      <w:r>
        <w:rPr>
          <w:rFonts w:ascii="Times New Roman" w:hAnsi="Times New Roman" w:eastAsia="宋体" w:cs="Times New Roman"/>
          <w:b/>
          <w:bCs/>
          <w:sz w:val="24"/>
          <w:szCs w:val="24"/>
        </w:rPr>
        <w:t>202</w:t>
      </w: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年</w:t>
      </w: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月</w:t>
      </w:r>
      <w:r>
        <w:rPr>
          <w:rFonts w:ascii="Times New Roman" w:hAnsi="Times New Roman" w:eastAsia="宋体" w:cs="Times New Roman"/>
          <w:sz w:val="24"/>
          <w:szCs w:val="24"/>
        </w:rPr>
        <w:t>：中国仪器仪表行业协会组织立项评审会议，会后下达了立项批复文件。由南方电网数字电网集团有限公司牵头，组织</w:t>
      </w:r>
      <w:r>
        <w:rPr>
          <w:rFonts w:ascii="Times New Roman" w:hAnsi="Times New Roman" w:eastAsia="宋体" w:cs="Times New Roman"/>
          <w:b/>
          <w:sz w:val="24"/>
          <w:szCs w:val="24"/>
        </w:rPr>
        <w:t>成立标准起草工作组</w:t>
      </w:r>
      <w:r>
        <w:rPr>
          <w:rFonts w:ascii="Times New Roman" w:hAnsi="Times New Roman" w:eastAsia="宋体" w:cs="Times New Roman"/>
          <w:sz w:val="24"/>
          <w:szCs w:val="24"/>
        </w:rPr>
        <w:t>。</w:t>
      </w:r>
    </w:p>
    <w:p w14:paraId="24B4CAAF">
      <w:pPr>
        <w:pStyle w:val="10"/>
        <w:spacing w:line="360" w:lineRule="auto"/>
        <w:ind w:firstLine="482"/>
        <w:rPr>
          <w:rFonts w:ascii="Times New Roman" w:hAnsi="Times New Roman" w:eastAsia="宋体" w:cs="Times New Roman"/>
          <w:b/>
          <w:sz w:val="24"/>
          <w:szCs w:val="24"/>
        </w:rPr>
      </w:pPr>
      <w:r>
        <w:rPr>
          <w:rFonts w:ascii="Times New Roman" w:hAnsi="Times New Roman" w:eastAsia="宋体" w:cs="Times New Roman"/>
          <w:sz w:val="24"/>
          <w:szCs w:val="24"/>
        </w:rPr>
        <w:t>启动团体标准制定工作。起草组严格按照GB/T 1.1-2020《标准化工作导则 第1部分：标准化文件的结构和起草规则》等文件的要求进行标准制定并形成</w:t>
      </w:r>
      <w:r>
        <w:rPr>
          <w:rFonts w:ascii="Times New Roman" w:hAnsi="Times New Roman" w:eastAsia="宋体" w:cs="Times New Roman"/>
          <w:b/>
          <w:sz w:val="24"/>
          <w:szCs w:val="24"/>
        </w:rPr>
        <w:t>工作组讨论稿。</w:t>
      </w:r>
    </w:p>
    <w:p w14:paraId="799F045A">
      <w:pPr>
        <w:pStyle w:val="10"/>
        <w:spacing w:line="360" w:lineRule="auto"/>
        <w:ind w:firstLine="482"/>
        <w:rPr>
          <w:rFonts w:ascii="Times New Roman" w:hAnsi="Times New Roman" w:eastAsia="宋体" w:cs="Times New Roman"/>
          <w:sz w:val="24"/>
          <w:szCs w:val="24"/>
        </w:rPr>
      </w:pPr>
      <w:r>
        <w:rPr>
          <w:rFonts w:ascii="Times New Roman" w:hAnsi="Times New Roman" w:eastAsia="宋体" w:cs="Times New Roman"/>
          <w:b/>
          <w:bCs/>
          <w:sz w:val="24"/>
          <w:szCs w:val="24"/>
        </w:rPr>
        <w:t>202</w:t>
      </w:r>
      <w:r>
        <w:rPr>
          <w:rFonts w:hint="eastAsia" w:ascii="Times New Roman" w:hAnsi="Times New Roman" w:eastAsia="宋体" w:cs="Times New Roman"/>
          <w:b/>
          <w:bCs/>
          <w:sz w:val="24"/>
          <w:szCs w:val="24"/>
        </w:rPr>
        <w:t>5</w:t>
      </w:r>
      <w:r>
        <w:rPr>
          <w:rFonts w:ascii="Times New Roman" w:hAnsi="Times New Roman" w:eastAsia="宋体" w:cs="Times New Roman"/>
          <w:b/>
          <w:bCs/>
          <w:sz w:val="24"/>
          <w:szCs w:val="24"/>
        </w:rPr>
        <w:t>年</w:t>
      </w: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9</w:t>
      </w:r>
      <w:r>
        <w:rPr>
          <w:rFonts w:ascii="Times New Roman" w:hAnsi="Times New Roman" w:eastAsia="宋体" w:cs="Times New Roman"/>
          <w:b/>
          <w:bCs/>
          <w:sz w:val="24"/>
          <w:szCs w:val="24"/>
        </w:rPr>
        <w:t>月：</w:t>
      </w:r>
      <w:r>
        <w:rPr>
          <w:rFonts w:ascii="Times New Roman" w:hAnsi="Times New Roman" w:eastAsia="宋体" w:cs="Times New Roman"/>
          <w:sz w:val="24"/>
          <w:szCs w:val="24"/>
        </w:rPr>
        <w:t>工作组讨论稿在标准编制工作组内部征求意见，共回收意见3</w:t>
      </w:r>
      <w:r>
        <w:rPr>
          <w:rFonts w:hint="eastAsia" w:ascii="Times New Roman" w:hAnsi="Times New Roman" w:eastAsia="宋体" w:cs="Times New Roman"/>
          <w:sz w:val="24"/>
          <w:szCs w:val="24"/>
        </w:rPr>
        <w:t>2</w:t>
      </w:r>
      <w:r>
        <w:rPr>
          <w:rFonts w:ascii="Times New Roman" w:hAnsi="Times New Roman" w:eastAsia="宋体" w:cs="Times New Roman"/>
          <w:sz w:val="24"/>
          <w:szCs w:val="24"/>
        </w:rPr>
        <w:t>条，主笔单位按照回收意见对工作组讨论稿进行了修改和完善。</w:t>
      </w:r>
    </w:p>
    <w:p w14:paraId="47228C96">
      <w:pPr>
        <w:spacing w:line="360" w:lineRule="auto"/>
        <w:ind w:firstLine="472" w:firstLineChars="196"/>
        <w:rPr>
          <w:rFonts w:hint="eastAsia" w:ascii="宋体" w:hAnsi="宋体" w:cs="宋体"/>
          <w:sz w:val="24"/>
          <w:szCs w:val="24"/>
        </w:rPr>
      </w:pPr>
      <w:r>
        <w:rPr>
          <w:rFonts w:hint="eastAsia" w:ascii="宋体" w:hAnsi="宋体" w:cs="宋体"/>
          <w:b/>
          <w:bCs/>
          <w:sz w:val="24"/>
          <w:szCs w:val="24"/>
        </w:rPr>
        <w:t>2025年9月</w:t>
      </w:r>
      <w:r>
        <w:rPr>
          <w:rFonts w:hint="eastAsia" w:ascii="宋体" w:hAnsi="宋体" w:cs="宋体"/>
          <w:b/>
          <w:sz w:val="24"/>
          <w:szCs w:val="24"/>
        </w:rPr>
        <w:t>：</w:t>
      </w:r>
      <w:r>
        <w:rPr>
          <w:rFonts w:hint="eastAsia" w:ascii="宋体" w:hAnsi="宋体" w:cs="宋体"/>
          <w:sz w:val="24"/>
          <w:szCs w:val="24"/>
        </w:rPr>
        <w:t>起草工作组在山东省青岛市开起草</w:t>
      </w:r>
      <w:r>
        <w:rPr>
          <w:rFonts w:hint="eastAsia" w:ascii="宋体" w:hAnsi="宋体" w:cs="宋体"/>
          <w:b/>
          <w:bCs/>
          <w:sz w:val="24"/>
          <w:szCs w:val="24"/>
        </w:rPr>
        <w:t>第一次工作组会议</w:t>
      </w:r>
      <w:r>
        <w:rPr>
          <w:rFonts w:hint="eastAsia" w:ascii="宋体" w:hAnsi="宋体" w:cs="宋体"/>
          <w:sz w:val="24"/>
          <w:szCs w:val="24"/>
        </w:rPr>
        <w:t>，对</w:t>
      </w:r>
      <w:r>
        <w:rPr>
          <w:rFonts w:hint="eastAsia" w:ascii="宋体" w:hAnsi="宋体" w:cs="宋体"/>
          <w:bCs/>
          <w:sz w:val="24"/>
          <w:szCs w:val="24"/>
        </w:rPr>
        <w:t>工作组讨论</w:t>
      </w:r>
      <w:r>
        <w:rPr>
          <w:rFonts w:hint="eastAsia" w:ascii="宋体" w:hAnsi="宋体" w:cs="宋体"/>
          <w:sz w:val="24"/>
          <w:szCs w:val="24"/>
        </w:rPr>
        <w:t>稿的标准化对象、结构进行了认真、细致的逐条讨论，并对主要技术内容达成了一致意见，形成会议纪要。</w:t>
      </w:r>
    </w:p>
    <w:p w14:paraId="5E365386">
      <w:pPr>
        <w:pStyle w:val="10"/>
        <w:spacing w:line="360" w:lineRule="auto"/>
        <w:ind w:firstLine="482"/>
        <w:rPr>
          <w:rFonts w:hint="eastAsia" w:ascii="宋体" w:hAnsi="宋体" w:cs="宋体"/>
          <w:sz w:val="24"/>
          <w:szCs w:val="24"/>
        </w:rPr>
      </w:pPr>
      <w:r>
        <w:rPr>
          <w:rFonts w:hint="eastAsia" w:ascii="宋体" w:hAnsi="宋体" w:cs="宋体"/>
          <w:b/>
          <w:bCs/>
          <w:sz w:val="24"/>
          <w:szCs w:val="24"/>
        </w:rPr>
        <w:t>2025年11-12月：</w:t>
      </w:r>
      <w:r>
        <w:rPr>
          <w:rFonts w:hint="eastAsia" w:ascii="宋体" w:hAnsi="宋体" w:cs="宋体"/>
          <w:sz w:val="24"/>
          <w:szCs w:val="24"/>
        </w:rPr>
        <w:t>形成工作组讨论稿，开展第二次征求意见，共回收意见10条，主笔单位按照回收意见对工作组讨论稿进行了修改完善。</w:t>
      </w:r>
    </w:p>
    <w:p w14:paraId="7E02CF91">
      <w:pPr>
        <w:spacing w:line="360" w:lineRule="auto"/>
        <w:ind w:firstLine="472" w:firstLineChars="196"/>
        <w:rPr>
          <w:rFonts w:hint="eastAsia" w:ascii="宋体" w:hAnsi="宋体" w:cs="宋体"/>
          <w:sz w:val="24"/>
          <w:szCs w:val="24"/>
        </w:rPr>
      </w:pPr>
      <w:r>
        <w:rPr>
          <w:rFonts w:hint="eastAsia" w:ascii="宋体" w:hAnsi="宋体" w:cs="宋体"/>
          <w:b/>
          <w:bCs/>
          <w:sz w:val="24"/>
          <w:szCs w:val="24"/>
        </w:rPr>
        <w:t>2026年1月：</w:t>
      </w:r>
      <w:r>
        <w:rPr>
          <w:rFonts w:hint="eastAsia" w:ascii="宋体" w:hAnsi="宋体" w:cs="宋体"/>
          <w:sz w:val="24"/>
          <w:szCs w:val="24"/>
        </w:rPr>
        <w:t>起草工作组在海南省海口市召开起草</w:t>
      </w:r>
      <w:r>
        <w:rPr>
          <w:rFonts w:hint="eastAsia" w:ascii="宋体" w:hAnsi="宋体" w:cs="宋体"/>
          <w:b/>
          <w:bCs/>
          <w:sz w:val="24"/>
          <w:szCs w:val="24"/>
        </w:rPr>
        <w:t>第二次工作组会议</w:t>
      </w:r>
      <w:r>
        <w:rPr>
          <w:rFonts w:hint="eastAsia" w:ascii="宋体" w:hAnsi="宋体" w:cs="宋体"/>
          <w:sz w:val="24"/>
          <w:szCs w:val="24"/>
        </w:rPr>
        <w:t>，对标准工作组讨论稿以及所征求的意见内容进行了仔细讨论，形成会议纪要。</w:t>
      </w:r>
    </w:p>
    <w:p w14:paraId="718F03A7">
      <w:pPr>
        <w:spacing w:line="360" w:lineRule="auto"/>
        <w:ind w:firstLine="482" w:firstLineChars="200"/>
        <w:rPr>
          <w:rFonts w:hint="eastAsia" w:ascii="宋体" w:hAnsi="宋体" w:cs="宋体"/>
          <w:sz w:val="24"/>
          <w:szCs w:val="24"/>
        </w:rPr>
      </w:pPr>
      <w:r>
        <w:rPr>
          <w:rFonts w:hint="eastAsia" w:ascii="宋体" w:hAnsi="宋体" w:cs="宋体"/>
          <w:b/>
          <w:bCs/>
          <w:sz w:val="24"/>
          <w:szCs w:val="24"/>
        </w:rPr>
        <w:t>形成征求意见稿</w:t>
      </w:r>
      <w:r>
        <w:rPr>
          <w:rFonts w:hint="eastAsia" w:ascii="宋体" w:hAnsi="宋体" w:cs="宋体"/>
          <w:bCs/>
          <w:sz w:val="24"/>
          <w:szCs w:val="24"/>
        </w:rPr>
        <w:t>。</w:t>
      </w:r>
    </w:p>
    <w:p w14:paraId="5A898992">
      <w:pPr>
        <w:pStyle w:val="3"/>
        <w:rPr>
          <w:rFonts w:ascii="Times New Roman" w:hAnsi="Times New Roman"/>
        </w:rPr>
      </w:pPr>
      <w:r>
        <w:rPr>
          <w:rFonts w:ascii="Times New Roman" w:hAnsi="Times New Roman"/>
          <w:sz w:val="28"/>
          <w:szCs w:val="28"/>
        </w:rPr>
        <w:t>3、主要参加单位和工作组成员及其所做的工作</w:t>
      </w:r>
    </w:p>
    <w:p w14:paraId="35B827FE">
      <w:pPr>
        <w:spacing w:line="360" w:lineRule="auto"/>
        <w:ind w:firstLine="480"/>
        <w:rPr>
          <w:rFonts w:ascii="Times New Roman" w:hAnsi="Times New Roman" w:cs="Times New Roman"/>
          <w:sz w:val="24"/>
          <w:szCs w:val="24"/>
        </w:rPr>
      </w:pPr>
      <w:r>
        <w:rPr>
          <w:rFonts w:hint="eastAsia" w:ascii="Times New Roman" w:hAnsi="Times New Roman" w:cs="Times New Roman"/>
          <w:sz w:val="24"/>
          <w:szCs w:val="24"/>
          <w:lang w:val="en-US" w:eastAsia="zh-CN"/>
        </w:rPr>
        <w:t>本团体标准</w:t>
      </w:r>
      <w:r>
        <w:rPr>
          <w:rFonts w:ascii="Times New Roman" w:hAnsi="Times New Roman" w:cs="Times New Roman"/>
          <w:sz w:val="24"/>
          <w:szCs w:val="24"/>
        </w:rPr>
        <w:t>牵头单位是南方电网数字电网集团有限公司，</w:t>
      </w:r>
      <w:r>
        <w:rPr>
          <w:rFonts w:hint="eastAsia" w:ascii="Times New Roman" w:hAnsi="Times New Roman" w:cs="Times New Roman"/>
          <w:sz w:val="24"/>
          <w:szCs w:val="24"/>
        </w:rPr>
        <w:t>主要起草单位有哈尔滨电工仪表研究所有限公司、深圳供电局有限公司、贵州电网公司、国网四川电力营销服务中心、河南许继仪表有限公司、青岛乾程科技股份有限公司、山东德源电力科技股份有限公司、浙江正泰仪器仪表有限责任公司</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华立科技股份有限公司、深圳智微电子科技股份有限公司</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科大智能科技股份有限公司、深圳市江机实业有限公司、日照山川电子信息技术有限公司等。</w:t>
      </w:r>
    </w:p>
    <w:p w14:paraId="4A2E006A">
      <w:pPr>
        <w:spacing w:line="360" w:lineRule="auto"/>
        <w:ind w:firstLine="480" w:firstLineChars="200"/>
        <w:rPr>
          <w:rFonts w:hint="eastAsia"/>
          <w:sz w:val="24"/>
          <w:szCs w:val="24"/>
        </w:rPr>
      </w:pPr>
      <w:r>
        <w:rPr>
          <w:rFonts w:hint="eastAsia"/>
          <w:sz w:val="24"/>
          <w:szCs w:val="24"/>
        </w:rPr>
        <w:t>南方电网数字电网集团作为执笔单位负责了本标准的起草、修改工作；</w:t>
      </w:r>
    </w:p>
    <w:p w14:paraId="485DB0D1">
      <w:pPr>
        <w:spacing w:line="360" w:lineRule="auto"/>
        <w:ind w:firstLine="480" w:firstLineChars="200"/>
        <w:rPr>
          <w:rFonts w:hint="eastAsia" w:eastAsiaTheme="minorEastAsia"/>
          <w:sz w:val="24"/>
          <w:szCs w:val="24"/>
          <w:lang w:val="en-US" w:eastAsia="zh-CN"/>
        </w:rPr>
      </w:pPr>
      <w:r>
        <w:rPr>
          <w:sz w:val="24"/>
          <w:szCs w:val="24"/>
        </w:rPr>
        <w:t>主要起草人：</w:t>
      </w:r>
      <w:r>
        <w:rPr>
          <w:rFonts w:hint="eastAsia"/>
          <w:sz w:val="24"/>
          <w:szCs w:val="24"/>
        </w:rPr>
        <w:t>汤</w:t>
      </w:r>
      <w:r>
        <w:rPr>
          <w:rFonts w:hint="eastAsia" w:ascii="Times New Roman" w:hAnsi="Times New Roman" w:cs="Times New Roman"/>
          <w:sz w:val="24"/>
          <w:szCs w:val="24"/>
        </w:rPr>
        <w:t>渊、</w:t>
      </w:r>
      <w:r>
        <w:rPr>
          <w:rFonts w:hint="eastAsia" w:ascii="Times New Roman" w:hAnsi="Times New Roman" w:cs="Times New Roman"/>
          <w:sz w:val="24"/>
          <w:szCs w:val="24"/>
          <w:lang w:val="en-US" w:eastAsia="zh-CN"/>
        </w:rPr>
        <w:t>荣欣、</w:t>
      </w:r>
      <w:r>
        <w:rPr>
          <w:rFonts w:hint="eastAsia"/>
          <w:sz w:val="24"/>
          <w:szCs w:val="24"/>
        </w:rPr>
        <w:t>周月江</w:t>
      </w:r>
      <w:r>
        <w:rPr>
          <w:rFonts w:hint="eastAsia"/>
          <w:sz w:val="24"/>
          <w:szCs w:val="24"/>
          <w:lang w:eastAsia="zh-CN"/>
        </w:rPr>
        <w:t>、</w:t>
      </w:r>
      <w:r>
        <w:rPr>
          <w:rFonts w:hint="eastAsia"/>
          <w:sz w:val="24"/>
          <w:szCs w:val="24"/>
        </w:rPr>
        <w:t>李宜鹏</w:t>
      </w:r>
      <w:r>
        <w:rPr>
          <w:rFonts w:hint="eastAsia"/>
          <w:sz w:val="24"/>
          <w:szCs w:val="24"/>
          <w:lang w:eastAsia="zh-CN"/>
        </w:rPr>
        <w:t>、</w:t>
      </w:r>
      <w:r>
        <w:rPr>
          <w:rFonts w:hint="eastAsia"/>
          <w:sz w:val="24"/>
          <w:szCs w:val="24"/>
        </w:rPr>
        <w:t>李平</w:t>
      </w:r>
      <w:r>
        <w:rPr>
          <w:rFonts w:hint="eastAsia"/>
          <w:sz w:val="24"/>
          <w:szCs w:val="24"/>
          <w:lang w:eastAsia="zh-CN"/>
        </w:rPr>
        <w:t>、</w:t>
      </w:r>
      <w:r>
        <w:rPr>
          <w:rFonts w:hint="eastAsia"/>
          <w:sz w:val="24"/>
          <w:szCs w:val="24"/>
        </w:rPr>
        <w:t>柳林溪</w:t>
      </w:r>
      <w:r>
        <w:rPr>
          <w:rFonts w:hint="eastAsia"/>
          <w:sz w:val="24"/>
          <w:szCs w:val="24"/>
          <w:lang w:eastAsia="zh-CN"/>
        </w:rPr>
        <w:t>、</w:t>
      </w:r>
      <w:r>
        <w:rPr>
          <w:rFonts w:hint="eastAsia"/>
          <w:sz w:val="24"/>
          <w:szCs w:val="24"/>
        </w:rPr>
        <w:t>孙世杰</w:t>
      </w:r>
      <w:r>
        <w:rPr>
          <w:rFonts w:hint="eastAsia"/>
          <w:sz w:val="24"/>
          <w:szCs w:val="24"/>
          <w:lang w:eastAsia="zh-CN"/>
        </w:rPr>
        <w:t>、</w:t>
      </w:r>
      <w:r>
        <w:rPr>
          <w:rFonts w:hint="eastAsia"/>
          <w:sz w:val="24"/>
          <w:szCs w:val="24"/>
        </w:rPr>
        <w:t>曾仕途</w:t>
      </w:r>
      <w:r>
        <w:rPr>
          <w:rFonts w:hint="eastAsia"/>
          <w:sz w:val="24"/>
          <w:szCs w:val="24"/>
          <w:lang w:eastAsia="zh-CN"/>
        </w:rPr>
        <w:t>、</w:t>
      </w:r>
      <w:r>
        <w:rPr>
          <w:rFonts w:hint="eastAsia"/>
          <w:sz w:val="24"/>
          <w:szCs w:val="24"/>
        </w:rPr>
        <w:t>李海勇</w:t>
      </w:r>
      <w:r>
        <w:rPr>
          <w:rFonts w:hint="eastAsia"/>
          <w:sz w:val="24"/>
          <w:szCs w:val="24"/>
          <w:lang w:eastAsia="zh-CN"/>
        </w:rPr>
        <w:t>、</w:t>
      </w:r>
      <w:r>
        <w:rPr>
          <w:rFonts w:hint="eastAsia"/>
          <w:sz w:val="24"/>
          <w:szCs w:val="24"/>
        </w:rPr>
        <w:t>吴莉莉</w:t>
      </w:r>
      <w:r>
        <w:rPr>
          <w:rFonts w:hint="eastAsia"/>
          <w:sz w:val="24"/>
          <w:szCs w:val="24"/>
          <w:lang w:eastAsia="zh-CN"/>
        </w:rPr>
        <w:t>、</w:t>
      </w:r>
      <w:r>
        <w:rPr>
          <w:rFonts w:hint="eastAsia"/>
          <w:sz w:val="24"/>
          <w:szCs w:val="24"/>
        </w:rPr>
        <w:t>郭权</w:t>
      </w:r>
      <w:r>
        <w:rPr>
          <w:rFonts w:hint="eastAsia"/>
          <w:sz w:val="24"/>
          <w:szCs w:val="24"/>
          <w:lang w:eastAsia="zh-CN"/>
        </w:rPr>
        <w:t>、</w:t>
      </w:r>
      <w:r>
        <w:rPr>
          <w:rFonts w:hint="eastAsia"/>
          <w:sz w:val="24"/>
          <w:szCs w:val="24"/>
          <w:lang w:val="en-US" w:eastAsia="zh-CN"/>
        </w:rPr>
        <w:t>胡博、</w:t>
      </w:r>
      <w:r>
        <w:rPr>
          <w:rFonts w:hint="eastAsia"/>
          <w:sz w:val="24"/>
          <w:szCs w:val="24"/>
        </w:rPr>
        <w:t>詹隽</w:t>
      </w:r>
      <w:r>
        <w:rPr>
          <w:rFonts w:hint="eastAsia"/>
          <w:sz w:val="24"/>
          <w:szCs w:val="24"/>
          <w:lang w:eastAsia="zh-CN"/>
        </w:rPr>
        <w:t>、</w:t>
      </w:r>
      <w:r>
        <w:rPr>
          <w:rFonts w:hint="eastAsia"/>
          <w:sz w:val="24"/>
          <w:szCs w:val="24"/>
        </w:rPr>
        <w:t>杜颖甄</w:t>
      </w:r>
      <w:r>
        <w:rPr>
          <w:rFonts w:hint="eastAsia"/>
          <w:sz w:val="24"/>
          <w:szCs w:val="24"/>
          <w:lang w:eastAsia="zh-CN"/>
        </w:rPr>
        <w:t>、</w:t>
      </w:r>
      <w:r>
        <w:rPr>
          <w:rFonts w:hint="eastAsia"/>
          <w:sz w:val="24"/>
          <w:szCs w:val="24"/>
        </w:rPr>
        <w:t>诸瑺靖</w:t>
      </w:r>
      <w:r>
        <w:rPr>
          <w:rFonts w:hint="eastAsia"/>
          <w:sz w:val="24"/>
          <w:szCs w:val="24"/>
          <w:lang w:eastAsia="zh-CN"/>
        </w:rPr>
        <w:t>、</w:t>
      </w:r>
      <w:r>
        <w:rPr>
          <w:rFonts w:hint="eastAsia"/>
          <w:sz w:val="24"/>
          <w:szCs w:val="24"/>
        </w:rPr>
        <w:t>朱佳槟</w:t>
      </w:r>
      <w:r>
        <w:rPr>
          <w:rFonts w:hint="eastAsia"/>
          <w:sz w:val="24"/>
          <w:szCs w:val="24"/>
          <w:lang w:eastAsia="zh-CN"/>
        </w:rPr>
        <w:t>、</w:t>
      </w:r>
      <w:r>
        <w:rPr>
          <w:rFonts w:hint="eastAsia"/>
          <w:sz w:val="24"/>
          <w:szCs w:val="24"/>
        </w:rPr>
        <w:t>张鸿</w:t>
      </w:r>
      <w:r>
        <w:rPr>
          <w:rFonts w:hint="eastAsia"/>
          <w:sz w:val="24"/>
          <w:szCs w:val="24"/>
          <w:lang w:eastAsia="zh-CN"/>
        </w:rPr>
        <w:t>、</w:t>
      </w:r>
      <w:r>
        <w:rPr>
          <w:rFonts w:hint="eastAsia"/>
          <w:sz w:val="24"/>
          <w:szCs w:val="24"/>
        </w:rPr>
        <w:t>司良振</w:t>
      </w:r>
      <w:r>
        <w:rPr>
          <w:rFonts w:hint="eastAsia"/>
          <w:sz w:val="24"/>
          <w:szCs w:val="24"/>
          <w:lang w:eastAsia="zh-CN"/>
        </w:rPr>
        <w:t>、</w:t>
      </w:r>
      <w:r>
        <w:rPr>
          <w:rFonts w:hint="eastAsia"/>
          <w:sz w:val="24"/>
          <w:szCs w:val="24"/>
        </w:rPr>
        <w:t>张洋洋</w:t>
      </w:r>
      <w:r>
        <w:rPr>
          <w:rFonts w:hint="eastAsia"/>
          <w:sz w:val="24"/>
          <w:szCs w:val="24"/>
          <w:lang w:val="en-US" w:eastAsia="zh-CN"/>
        </w:rPr>
        <w:t>等。</w:t>
      </w:r>
    </w:p>
    <w:p w14:paraId="137C8006">
      <w:pPr>
        <w:spacing w:line="360" w:lineRule="auto"/>
        <w:ind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汤渊为本文件的主笔人，负责标准的编写；</w:t>
      </w:r>
      <w:r>
        <w:rPr>
          <w:rFonts w:hint="eastAsia" w:ascii="Times New Roman" w:hAnsi="Times New Roman" w:cs="Times New Roman"/>
          <w:sz w:val="24"/>
          <w:szCs w:val="24"/>
          <w:lang w:val="en-US" w:eastAsia="zh-CN"/>
        </w:rPr>
        <w:t>李海勇</w:t>
      </w:r>
      <w:r>
        <w:rPr>
          <w:rFonts w:hint="eastAsia" w:ascii="Times New Roman" w:hAnsi="Times New Roman" w:cs="Times New Roman"/>
          <w:sz w:val="24"/>
          <w:szCs w:val="24"/>
        </w:rPr>
        <w:t>为本文件的技术负责人，为标准的总体内容进行全面指导；</w:t>
      </w:r>
      <w:r>
        <w:rPr>
          <w:rFonts w:hint="eastAsia" w:ascii="Times New Roman" w:hAnsi="Times New Roman" w:cs="Times New Roman"/>
          <w:sz w:val="24"/>
          <w:szCs w:val="24"/>
          <w:lang w:val="en-US" w:eastAsia="zh-CN"/>
        </w:rPr>
        <w:t>荣欣</w:t>
      </w:r>
      <w:r>
        <w:rPr>
          <w:rFonts w:hint="eastAsia" w:ascii="Times New Roman" w:hAnsi="Times New Roman" w:cs="Times New Roman"/>
          <w:sz w:val="24"/>
          <w:szCs w:val="24"/>
        </w:rPr>
        <w:t>为本文件起草工作组的组长，</w:t>
      </w:r>
      <w:r>
        <w:rPr>
          <w:rFonts w:hint="eastAsia" w:ascii="Times New Roman" w:hAnsi="Times New Roman" w:cs="Times New Roman"/>
          <w:sz w:val="24"/>
          <w:szCs w:val="24"/>
          <w:lang w:val="en-US" w:eastAsia="zh-CN"/>
        </w:rPr>
        <w:t>吴莉莉</w:t>
      </w:r>
      <w:r>
        <w:rPr>
          <w:rFonts w:hint="eastAsia" w:ascii="Times New Roman" w:hAnsi="Times New Roman" w:cs="Times New Roman"/>
          <w:sz w:val="24"/>
          <w:szCs w:val="24"/>
        </w:rPr>
        <w:t>为本文件起草工作组的组员，负责标准的编写进程和组织协调工作</w:t>
      </w:r>
      <w:r>
        <w:rPr>
          <w:rFonts w:hint="eastAsia" w:ascii="Times New Roman" w:hAnsi="Times New Roman" w:cs="Times New Roman"/>
          <w:sz w:val="24"/>
          <w:szCs w:val="24"/>
          <w:lang w:eastAsia="zh-CN"/>
        </w:rPr>
        <w:t>；</w:t>
      </w:r>
      <w:r>
        <w:rPr>
          <w:rFonts w:hint="eastAsia" w:ascii="Times New Roman" w:hAnsi="Times New Roman" w:cs="Times New Roman"/>
          <w:sz w:val="24"/>
          <w:szCs w:val="24"/>
        </w:rPr>
        <w:t>周月江、李宜鹏</w:t>
      </w:r>
      <w:r>
        <w:rPr>
          <w:rFonts w:hint="eastAsia" w:ascii="Times New Roman" w:hAnsi="Times New Roman" w:cs="Times New Roman"/>
          <w:sz w:val="24"/>
          <w:szCs w:val="24"/>
          <w:lang w:val="en-US" w:eastAsia="zh-CN"/>
        </w:rPr>
        <w:t>负责第3章节的编写</w:t>
      </w:r>
      <w:r>
        <w:rPr>
          <w:rFonts w:hint="eastAsia" w:ascii="Times New Roman" w:hAnsi="Times New Roman" w:cs="Times New Roman"/>
          <w:sz w:val="24"/>
          <w:szCs w:val="24"/>
        </w:rPr>
        <w:t>、李平、柳林溪</w:t>
      </w:r>
      <w:r>
        <w:rPr>
          <w:rFonts w:hint="eastAsia" w:ascii="Times New Roman" w:hAnsi="Times New Roman" w:cs="Times New Roman"/>
          <w:sz w:val="24"/>
          <w:szCs w:val="24"/>
          <w:lang w:val="en-US" w:eastAsia="zh-CN"/>
        </w:rPr>
        <w:t>负责第4章节的编写</w:t>
      </w:r>
      <w:r>
        <w:rPr>
          <w:rFonts w:hint="eastAsia" w:ascii="Times New Roman" w:hAnsi="Times New Roman" w:cs="Times New Roman"/>
          <w:sz w:val="24"/>
          <w:szCs w:val="24"/>
        </w:rPr>
        <w:t>、孙世杰、曾仕途</w:t>
      </w:r>
      <w:r>
        <w:rPr>
          <w:rFonts w:hint="eastAsia" w:ascii="Times New Roman" w:hAnsi="Times New Roman" w:cs="Times New Roman"/>
          <w:sz w:val="24"/>
          <w:szCs w:val="24"/>
          <w:lang w:val="en-US" w:eastAsia="zh-CN"/>
        </w:rPr>
        <w:t>负责第5章节的编写</w:t>
      </w:r>
      <w:r>
        <w:rPr>
          <w:rFonts w:hint="eastAsia" w:ascii="Times New Roman" w:hAnsi="Times New Roman" w:cs="Times New Roman"/>
          <w:sz w:val="24"/>
          <w:szCs w:val="24"/>
        </w:rPr>
        <w:t>、郭权、胡博</w:t>
      </w:r>
      <w:r>
        <w:rPr>
          <w:rFonts w:hint="eastAsia" w:ascii="Times New Roman" w:hAnsi="Times New Roman" w:cs="Times New Roman"/>
          <w:sz w:val="24"/>
          <w:szCs w:val="24"/>
          <w:lang w:val="en-US" w:eastAsia="zh-CN"/>
        </w:rPr>
        <w:t>负责第6章节的编写</w:t>
      </w:r>
      <w:r>
        <w:rPr>
          <w:rFonts w:hint="eastAsia" w:ascii="Times New Roman" w:hAnsi="Times New Roman" w:cs="Times New Roman"/>
          <w:sz w:val="24"/>
          <w:szCs w:val="24"/>
        </w:rPr>
        <w:t>、詹隽、杜颖甄</w:t>
      </w:r>
      <w:r>
        <w:rPr>
          <w:rFonts w:hint="eastAsia" w:ascii="Times New Roman" w:hAnsi="Times New Roman" w:cs="Times New Roman"/>
          <w:sz w:val="24"/>
          <w:szCs w:val="24"/>
          <w:lang w:val="en-US" w:eastAsia="zh-CN"/>
        </w:rPr>
        <w:t>负责第7章节的编写</w:t>
      </w:r>
      <w:r>
        <w:rPr>
          <w:rFonts w:hint="eastAsia" w:ascii="Times New Roman" w:hAnsi="Times New Roman" w:cs="Times New Roman"/>
          <w:sz w:val="24"/>
          <w:szCs w:val="24"/>
        </w:rPr>
        <w:t>、诸瑺靖、朱佳槟、张鸿、司良振、张洋洋等工作组成员为本标准的编写和修改工作给与大量帮助。</w:t>
      </w:r>
    </w:p>
    <w:p w14:paraId="44C3A8BF">
      <w:pPr>
        <w:pStyle w:val="3"/>
        <w:rPr>
          <w:rFonts w:ascii="Times New Roman" w:hAnsi="Times New Roman"/>
          <w:sz w:val="28"/>
          <w:szCs w:val="28"/>
        </w:rPr>
      </w:pPr>
      <w:r>
        <w:rPr>
          <w:rFonts w:hint="eastAsia" w:ascii="Times New Roman" w:hAnsi="Times New Roman"/>
          <w:sz w:val="28"/>
          <w:szCs w:val="28"/>
        </w:rPr>
        <w:t>二</w:t>
      </w:r>
      <w:r>
        <w:rPr>
          <w:rFonts w:ascii="Times New Roman" w:hAnsi="Times New Roman"/>
          <w:sz w:val="28"/>
          <w:szCs w:val="28"/>
        </w:rPr>
        <w:t>、标准编制原则和主要技术内容确定的依据 </w:t>
      </w:r>
    </w:p>
    <w:p w14:paraId="0FD156C3">
      <w:pPr>
        <w:pStyle w:val="4"/>
        <w:rPr>
          <w:sz w:val="28"/>
          <w:szCs w:val="28"/>
        </w:rPr>
      </w:pPr>
      <w:r>
        <w:rPr>
          <w:rFonts w:hint="eastAsia"/>
          <w:sz w:val="28"/>
          <w:szCs w:val="28"/>
        </w:rPr>
        <w:t>2</w:t>
      </w:r>
      <w:r>
        <w:rPr>
          <w:sz w:val="28"/>
          <w:szCs w:val="28"/>
        </w:rPr>
        <w:t>.1主要阐述标准制定或修订过程遵循的基本</w:t>
      </w:r>
      <w:bookmarkStart w:id="2" w:name="_GoBack"/>
      <w:bookmarkEnd w:id="2"/>
      <w:r>
        <w:rPr>
          <w:sz w:val="28"/>
          <w:szCs w:val="28"/>
        </w:rPr>
        <w:t>原则</w:t>
      </w:r>
    </w:p>
    <w:p w14:paraId="3ED53CC6">
      <w:pPr>
        <w:spacing w:line="360" w:lineRule="auto"/>
        <w:ind w:firstLine="480" w:firstLineChars="200"/>
        <w:rPr>
          <w:rFonts w:ascii="Times New Roman" w:hAnsi="Times New Roman" w:cs="Times New Roman"/>
          <w:sz w:val="24"/>
          <w:szCs w:val="24"/>
        </w:rPr>
      </w:pPr>
      <w:r>
        <w:rPr>
          <w:rFonts w:hint="eastAsia" w:ascii="宋体"/>
          <w:kern w:val="0"/>
          <w:sz w:val="24"/>
          <w:szCs w:val="24"/>
          <w:lang w:eastAsia="zh-Hans"/>
        </w:rPr>
        <w:t>本文件从实际应用出发，充分考虑了现有相关国家标准和行业标准。编制遵循</w:t>
      </w:r>
      <w:r>
        <w:rPr>
          <w:rFonts w:hint="eastAsia" w:ascii="宋体"/>
          <w:kern w:val="0"/>
          <w:sz w:val="24"/>
          <w:szCs w:val="24"/>
        </w:rPr>
        <w:t>“</w:t>
      </w:r>
      <w:r>
        <w:rPr>
          <w:rFonts w:hint="eastAsia" w:ascii="宋体"/>
          <w:kern w:val="0"/>
          <w:sz w:val="24"/>
          <w:szCs w:val="24"/>
          <w:lang w:eastAsia="zh-Hans"/>
        </w:rPr>
        <w:t>统一性、协调性、适用性、一致性、规范性</w:t>
      </w:r>
      <w:r>
        <w:rPr>
          <w:rFonts w:hint="eastAsia" w:ascii="宋体"/>
          <w:kern w:val="0"/>
          <w:sz w:val="24"/>
          <w:szCs w:val="24"/>
        </w:rPr>
        <w:t>”</w:t>
      </w:r>
      <w:r>
        <w:rPr>
          <w:rFonts w:hint="eastAsia" w:ascii="宋体"/>
          <w:kern w:val="0"/>
          <w:sz w:val="24"/>
          <w:szCs w:val="24"/>
          <w:lang w:eastAsia="zh-Hans"/>
        </w:rPr>
        <w:t>的原则，注重标准的可操作性，</w:t>
      </w:r>
      <w:bookmarkStart w:id="0" w:name="_Hlk220000508"/>
      <w:r>
        <w:rPr>
          <w:rFonts w:hint="eastAsia" w:ascii="Times New Roman" w:hAnsi="Times New Roman" w:cs="Times New Roman"/>
          <w:sz w:val="24"/>
          <w:szCs w:val="24"/>
        </w:rPr>
        <w:t>规范统一</w:t>
      </w:r>
      <w:r>
        <w:rPr>
          <w:rFonts w:hint="eastAsia" w:ascii="Times New Roman" w:hAnsi="Times New Roman" w:cs="Times New Roman"/>
          <w:sz w:val="24"/>
          <w:szCs w:val="24"/>
          <w:lang w:val="en-US" w:eastAsia="zh-CN"/>
        </w:rPr>
        <w:t>电</w:t>
      </w:r>
      <w:r>
        <w:rPr>
          <w:rFonts w:hint="eastAsia" w:ascii="Times New Roman" w:hAnsi="Times New Roman" w:cs="Times New Roman"/>
          <w:sz w:val="24"/>
          <w:szCs w:val="24"/>
        </w:rPr>
        <w:t>力负荷柔性调控技术系统架构、通信要求和调节要求等相关内容，切实指导电力负荷柔性调控系统的设计、建设、运行和维护等工作</w:t>
      </w:r>
      <w:bookmarkEnd w:id="0"/>
      <w:r>
        <w:rPr>
          <w:rFonts w:hint="eastAsia" w:ascii="Times New Roman" w:hAnsi="Times New Roman" w:cs="Times New Roman"/>
          <w:sz w:val="24"/>
          <w:szCs w:val="24"/>
        </w:rPr>
        <w:t>。</w:t>
      </w:r>
      <w:r>
        <w:rPr>
          <w:rFonts w:ascii="Times New Roman" w:hAnsi="Times New Roman" w:cs="Times New Roman"/>
          <w:sz w:val="24"/>
          <w:szCs w:val="24"/>
        </w:rPr>
        <w:t>适用于</w:t>
      </w:r>
      <w:r>
        <w:rPr>
          <w:rFonts w:hint="eastAsia" w:ascii="Times New Roman" w:hAnsi="Times New Roman" w:cs="Times New Roman"/>
          <w:sz w:val="24"/>
          <w:szCs w:val="24"/>
        </w:rPr>
        <w:t>电力负荷柔性调控系统</w:t>
      </w:r>
      <w:r>
        <w:rPr>
          <w:rFonts w:ascii="Times New Roman" w:hAnsi="Times New Roman" w:cs="Times New Roman"/>
          <w:sz w:val="24"/>
          <w:szCs w:val="24"/>
        </w:rPr>
        <w:t>的设计、建设、运行和维护。</w:t>
      </w:r>
      <w:r>
        <w:rPr>
          <w:rFonts w:hint="eastAsia" w:ascii="Times New Roman" w:hAnsi="Times New Roman" w:cs="Times New Roman"/>
          <w:sz w:val="24"/>
          <w:szCs w:val="24"/>
        </w:rPr>
        <w:t>本</w:t>
      </w:r>
      <w:r>
        <w:rPr>
          <w:rFonts w:hint="eastAsia" w:ascii="Times New Roman" w:hAnsi="Times New Roman" w:cs="Times New Roman"/>
          <w:sz w:val="24"/>
          <w:szCs w:val="24"/>
          <w:lang w:val="en-US" w:eastAsia="zh-CN"/>
        </w:rPr>
        <w:t>文件</w:t>
      </w:r>
      <w:r>
        <w:rPr>
          <w:rFonts w:hint="eastAsia" w:ascii="Times New Roman" w:hAnsi="Times New Roman" w:cs="Times New Roman"/>
          <w:sz w:val="24"/>
          <w:szCs w:val="24"/>
        </w:rPr>
        <w:t>按照GB/T 1.1-2020 《标准化工作导则 第1 部分 标准化文件的结构和起草规则》的规定进行编写和表述。</w:t>
      </w:r>
    </w:p>
    <w:p w14:paraId="7C83D00B">
      <w:pPr>
        <w:pStyle w:val="3"/>
      </w:pPr>
      <w:r>
        <w:rPr>
          <w:rFonts w:hint="eastAsia"/>
          <w:sz w:val="28"/>
          <w:szCs w:val="28"/>
        </w:rPr>
        <w:t>2</w:t>
      </w:r>
      <w:r>
        <w:rPr>
          <w:sz w:val="28"/>
          <w:szCs w:val="28"/>
        </w:rPr>
        <w:t>.2</w:t>
      </w:r>
      <w:r>
        <w:rPr>
          <w:rFonts w:hint="eastAsia"/>
          <w:sz w:val="28"/>
          <w:szCs w:val="28"/>
        </w:rPr>
        <w:t>标准主要内容中技术指标、参数、公式、性能要求、试验方法、检验规则依据</w:t>
      </w:r>
    </w:p>
    <w:p w14:paraId="155CF558">
      <w:pPr>
        <w:pStyle w:val="3"/>
        <w:ind w:firstLine="420"/>
        <w:rPr>
          <w:rFonts w:hint="default" w:ascii="Times New Roman" w:hAnsi="Times New Roman" w:eastAsiaTheme="minorEastAsia"/>
          <w:b w:val="0"/>
          <w:bCs w:val="0"/>
          <w:kern w:val="2"/>
          <w:sz w:val="24"/>
          <w:szCs w:val="24"/>
          <w:lang w:val="en-US" w:eastAsia="zh-CN"/>
        </w:rPr>
      </w:pPr>
      <w:bookmarkStart w:id="1" w:name="_Toc9538743"/>
      <w:r>
        <w:rPr>
          <w:rFonts w:hint="eastAsia" w:ascii="Times New Roman" w:hAnsi="Times New Roman" w:eastAsiaTheme="minorEastAsia"/>
          <w:b w:val="0"/>
          <w:bCs w:val="0"/>
          <w:kern w:val="2"/>
          <w:sz w:val="24"/>
          <w:szCs w:val="24"/>
          <w:lang w:val="en-US" w:eastAsia="zh-CN"/>
        </w:rPr>
        <w:t>本文件</w:t>
      </w:r>
      <w:r>
        <w:rPr>
          <w:rFonts w:hint="eastAsia" w:ascii="Times New Roman" w:hAnsi="Times New Roman" w:eastAsiaTheme="minorEastAsia"/>
          <w:b w:val="0"/>
          <w:bCs w:val="0"/>
          <w:kern w:val="2"/>
          <w:sz w:val="24"/>
          <w:szCs w:val="24"/>
        </w:rPr>
        <w:t>参考</w:t>
      </w:r>
      <w:r>
        <w:rPr>
          <w:rFonts w:hint="eastAsia" w:ascii="Times New Roman" w:hAnsi="Times New Roman" w:eastAsiaTheme="minorEastAsia"/>
          <w:b w:val="0"/>
          <w:bCs w:val="0"/>
          <w:kern w:val="2"/>
          <w:sz w:val="24"/>
          <w:szCs w:val="24"/>
          <w:lang w:eastAsia="zh-CN"/>
        </w:rPr>
        <w:t>了</w:t>
      </w:r>
      <w:r>
        <w:rPr>
          <w:rFonts w:hint="eastAsia" w:ascii="Times New Roman" w:hAnsi="Times New Roman" w:eastAsiaTheme="minorEastAsia"/>
          <w:b w:val="0"/>
          <w:bCs w:val="0"/>
          <w:kern w:val="2"/>
          <w:sz w:val="24"/>
          <w:szCs w:val="24"/>
        </w:rPr>
        <w:t>南方电网和国家电网企业技术规范，在现有技术规范的基础上进行制定。</w:t>
      </w:r>
      <w:r>
        <w:rPr>
          <w:rFonts w:hint="eastAsia" w:ascii="Times New Roman" w:hAnsi="Times New Roman" w:eastAsiaTheme="minorEastAsia"/>
          <w:b w:val="0"/>
          <w:bCs w:val="0"/>
          <w:kern w:val="2"/>
          <w:sz w:val="24"/>
          <w:szCs w:val="24"/>
          <w:lang w:val="en-US" w:eastAsia="zh-CN"/>
        </w:rPr>
        <w:t>通信要求依据和参考了DL/T 645—2007 《多功能电能表通信协议》、DL/T 698.45—2017 《电能信息采集与管理系统 第4-5部分：通信协议—面向对象的数据交换协议》。</w:t>
      </w:r>
      <w:r>
        <w:rPr>
          <w:rFonts w:hint="eastAsia" w:ascii="Times New Roman" w:hAnsi="Times New Roman" w:eastAsiaTheme="minorEastAsia"/>
          <w:b w:val="0"/>
          <w:bCs w:val="0"/>
          <w:kern w:val="2"/>
          <w:sz w:val="24"/>
          <w:szCs w:val="24"/>
        </w:rPr>
        <w:t>采用分散和集中讨论的形式，分析当前电力负荷柔性调控技术面临的痛点问题，着眼于技术未来发展以及实际应用需求，研究电力负荷柔性调控技术的电力负荷柔性调控架构，分析各类柔性负荷调控的技术要求，充分体现技术规范的实用性和先进性。</w:t>
      </w:r>
    </w:p>
    <w:p w14:paraId="60C5990A">
      <w:pPr>
        <w:pStyle w:val="3"/>
        <w:numPr>
          <w:ilvl w:val="0"/>
          <w:numId w:val="1"/>
        </w:numPr>
        <w:rPr>
          <w:rFonts w:ascii="Times New Roman" w:hAnsi="Times New Roman"/>
          <w:sz w:val="28"/>
          <w:szCs w:val="28"/>
        </w:rPr>
      </w:pPr>
      <w:r>
        <w:rPr>
          <w:rFonts w:hint="eastAsia" w:ascii="Times New Roman" w:hAnsi="Times New Roman"/>
          <w:sz w:val="28"/>
          <w:szCs w:val="28"/>
        </w:rPr>
        <w:t>主要试验（或验证）情况</w:t>
      </w:r>
    </w:p>
    <w:bookmarkEnd w:id="1"/>
    <w:p w14:paraId="77AE5214">
      <w:pPr>
        <w:pStyle w:val="12"/>
        <w:spacing w:line="360" w:lineRule="auto"/>
        <w:ind w:firstLine="480"/>
        <w:rPr>
          <w:rFonts w:ascii="Times New Roman"/>
          <w:sz w:val="24"/>
          <w:szCs w:val="24"/>
          <w:highlight w:val="none"/>
        </w:rPr>
      </w:pPr>
      <w:r>
        <w:rPr>
          <w:rFonts w:hint="eastAsia" w:ascii="Times New Roman"/>
          <w:sz w:val="24"/>
          <w:szCs w:val="24"/>
          <w:highlight w:val="none"/>
        </w:rPr>
        <w:t>无。</w:t>
      </w:r>
    </w:p>
    <w:p w14:paraId="39D8CF09">
      <w:pPr>
        <w:pStyle w:val="2"/>
        <w:rPr>
          <w:b w:val="0"/>
          <w:bCs w:val="0"/>
          <w:sz w:val="28"/>
          <w:szCs w:val="28"/>
        </w:rPr>
      </w:pPr>
      <w:r>
        <w:rPr>
          <w:rFonts w:hint="eastAsia"/>
          <w:bCs w:val="0"/>
          <w:sz w:val="28"/>
          <w:szCs w:val="28"/>
        </w:rPr>
        <w:t>四</w:t>
      </w:r>
      <w:r>
        <w:rPr>
          <w:bCs w:val="0"/>
          <w:sz w:val="28"/>
          <w:szCs w:val="28"/>
        </w:rPr>
        <w:t>、</w:t>
      </w:r>
      <w:r>
        <w:rPr>
          <w:sz w:val="28"/>
          <w:szCs w:val="28"/>
        </w:rPr>
        <w:t>标准涉及国内外专利及处置情况</w:t>
      </w:r>
    </w:p>
    <w:p w14:paraId="5EF771D6">
      <w:pPr>
        <w:spacing w:line="360" w:lineRule="auto"/>
        <w:ind w:firstLine="480" w:firstLineChars="200"/>
        <w:rPr>
          <w:sz w:val="24"/>
          <w:szCs w:val="24"/>
        </w:rPr>
      </w:pPr>
      <w:r>
        <w:rPr>
          <w:rFonts w:hint="eastAsia"/>
          <w:sz w:val="24"/>
          <w:szCs w:val="24"/>
        </w:rPr>
        <w:t>无</w:t>
      </w:r>
      <w:r>
        <w:rPr>
          <w:sz w:val="24"/>
          <w:szCs w:val="24"/>
        </w:rPr>
        <w:t>。</w:t>
      </w:r>
    </w:p>
    <w:p w14:paraId="0E96738F">
      <w:pPr>
        <w:pStyle w:val="3"/>
        <w:rPr>
          <w:rFonts w:ascii="Times New Roman" w:hAnsi="Times New Roman"/>
          <w:sz w:val="28"/>
          <w:szCs w:val="28"/>
        </w:rPr>
      </w:pPr>
      <w:r>
        <w:rPr>
          <w:rFonts w:hint="eastAsia" w:ascii="Times New Roman" w:hAnsi="Times New Roman"/>
          <w:bCs w:val="0"/>
          <w:sz w:val="28"/>
          <w:szCs w:val="28"/>
        </w:rPr>
        <w:t>五</w:t>
      </w:r>
      <w:r>
        <w:rPr>
          <w:rFonts w:ascii="Times New Roman" w:hAnsi="Times New Roman"/>
          <w:bCs w:val="0"/>
          <w:sz w:val="28"/>
          <w:szCs w:val="28"/>
        </w:rPr>
        <w:t>、</w:t>
      </w:r>
      <w:r>
        <w:rPr>
          <w:rFonts w:hint="eastAsia" w:ascii="Times New Roman" w:hAnsi="Times New Roman"/>
          <w:sz w:val="28"/>
          <w:szCs w:val="28"/>
        </w:rPr>
        <w:t>预期达到的社会效益、对产业发展的作用等情况</w:t>
      </w:r>
    </w:p>
    <w:p w14:paraId="4703967C">
      <w:pPr>
        <w:spacing w:line="360" w:lineRule="auto"/>
        <w:ind w:firstLine="480" w:firstLineChars="200"/>
        <w:rPr>
          <w:rFonts w:hint="eastAsia" w:ascii="Times New Roman" w:hAnsi="Times New Roman" w:eastAsiaTheme="minorEastAsia"/>
          <w:sz w:val="24"/>
          <w:szCs w:val="24"/>
          <w:lang w:eastAsia="zh-CN"/>
        </w:rPr>
      </w:pPr>
      <w:r>
        <w:rPr>
          <w:rFonts w:hint="eastAsia" w:ascii="Times New Roman" w:hAnsi="Times New Roman"/>
          <w:sz w:val="24"/>
          <w:szCs w:val="24"/>
        </w:rPr>
        <w:t>国内在电力负荷柔性调控技术领域的行业标准相对匮乏，尤其在多场景应用中的技术要求和实施方案等方面亟需制定规范化的标准</w:t>
      </w:r>
      <w:r>
        <w:rPr>
          <w:rFonts w:hint="eastAsia" w:ascii="Times New Roman" w:hAnsi="Times New Roman"/>
          <w:sz w:val="24"/>
          <w:szCs w:val="24"/>
          <w:lang w:eastAsia="zh-CN"/>
        </w:rPr>
        <w:t>。</w:t>
      </w:r>
      <w:r>
        <w:rPr>
          <w:rFonts w:hint="eastAsia" w:ascii="Times New Roman" w:hAnsi="Times New Roman"/>
          <w:sz w:val="24"/>
          <w:szCs w:val="24"/>
        </w:rPr>
        <w:t>通过应用电力负荷柔性调控技术，可以有效应对电网负荷快速增长、调度复杂度提升以及安全风险增大的挑战，实现负荷资源的统一管理、精准调控与优质服务</w:t>
      </w:r>
      <w:r>
        <w:rPr>
          <w:rFonts w:hint="eastAsia" w:ascii="Times New Roman" w:hAnsi="Times New Roman"/>
          <w:sz w:val="24"/>
          <w:szCs w:val="24"/>
          <w:lang w:eastAsia="zh-CN"/>
        </w:rPr>
        <w:t>。</w:t>
      </w:r>
    </w:p>
    <w:p w14:paraId="2011D0A1">
      <w:pPr>
        <w:spacing w:line="360" w:lineRule="auto"/>
        <w:ind w:firstLine="480" w:firstLineChars="200"/>
        <w:rPr>
          <w:rFonts w:hint="eastAsia" w:ascii="Times New Roman" w:hAnsi="Times New Roman"/>
          <w:sz w:val="24"/>
          <w:szCs w:val="24"/>
        </w:rPr>
      </w:pPr>
      <w:r>
        <w:rPr>
          <w:rFonts w:hint="eastAsia" w:ascii="Times New Roman" w:hAnsi="Times New Roman"/>
          <w:sz w:val="24"/>
          <w:szCs w:val="24"/>
        </w:rPr>
        <w:t>深入研究电力负荷柔性调控技术，能够主动参与电力负荷设备的运行控制，促进与电网之间的能量高效互动。不仅推动了电力系统从“源随荷动”向“源荷互动”的转变，还为新型电力系统的战略实施提供了强有力的支撑和保障。本标准可广泛应用于各级电网公司，作为负荷管理系统中柔性负荷调控技术多场景接入方案和技术要求的依据，助力新型电力系统的发展，满足人民对美好生活日益增长的需求。</w:t>
      </w:r>
    </w:p>
    <w:p w14:paraId="1E15EBD6">
      <w:pPr>
        <w:pStyle w:val="2"/>
        <w:rPr>
          <w:sz w:val="28"/>
          <w:szCs w:val="28"/>
        </w:rPr>
      </w:pPr>
      <w:r>
        <w:rPr>
          <w:rFonts w:hint="eastAsia"/>
          <w:sz w:val="28"/>
          <w:szCs w:val="28"/>
        </w:rPr>
        <w:t>六、标准与现有标准、制定中标准的协调配套情况</w:t>
      </w:r>
    </w:p>
    <w:p w14:paraId="0992CCE5">
      <w:pPr>
        <w:spacing w:line="360" w:lineRule="auto"/>
        <w:ind w:firstLine="480" w:firstLineChars="200"/>
        <w:rPr>
          <w:sz w:val="24"/>
          <w:szCs w:val="24"/>
        </w:rPr>
      </w:pPr>
      <w:r>
        <w:rPr>
          <w:sz w:val="24"/>
          <w:szCs w:val="24"/>
        </w:rPr>
        <w:t>与现有标准、制定中的标准没有矛盾。</w:t>
      </w:r>
    </w:p>
    <w:p w14:paraId="3EABAA19">
      <w:pPr>
        <w:pStyle w:val="2"/>
        <w:rPr>
          <w:sz w:val="28"/>
          <w:szCs w:val="28"/>
          <w:lang w:val="zh-CN"/>
        </w:rPr>
      </w:pPr>
      <w:r>
        <w:rPr>
          <w:rFonts w:hint="eastAsia"/>
          <w:sz w:val="28"/>
          <w:szCs w:val="28"/>
          <w:lang w:val="zh-CN"/>
        </w:rPr>
        <w:t>七、采用国际标准和国外先进标准情况</w:t>
      </w:r>
    </w:p>
    <w:p w14:paraId="288359D7">
      <w:pPr>
        <w:spacing w:line="360" w:lineRule="auto"/>
        <w:ind w:firstLine="480" w:firstLineChars="200"/>
        <w:rPr>
          <w:rFonts w:hint="eastAsia"/>
          <w:b/>
          <w:bCs/>
          <w:kern w:val="0"/>
          <w:sz w:val="28"/>
          <w:szCs w:val="28"/>
          <w:lang w:val="zh-CN"/>
        </w:rPr>
      </w:pPr>
      <w:r>
        <w:rPr>
          <w:sz w:val="24"/>
          <w:szCs w:val="24"/>
          <w:lang w:val="zh-CN"/>
        </w:rPr>
        <w:t>无。</w:t>
      </w:r>
    </w:p>
    <w:p w14:paraId="6187DCDF">
      <w:pPr>
        <w:pStyle w:val="2"/>
        <w:rPr>
          <w:sz w:val="28"/>
          <w:szCs w:val="28"/>
          <w:lang w:val="zh-CN"/>
        </w:rPr>
      </w:pPr>
      <w:r>
        <w:rPr>
          <w:rFonts w:hint="eastAsia"/>
          <w:sz w:val="28"/>
          <w:szCs w:val="28"/>
          <w:lang w:val="zh-CN"/>
        </w:rPr>
        <w:t>八、重大分歧意见的处理经过和依据</w:t>
      </w:r>
    </w:p>
    <w:p w14:paraId="64A6A996">
      <w:pPr>
        <w:spacing w:line="360" w:lineRule="auto"/>
        <w:ind w:firstLine="480" w:firstLineChars="200"/>
        <w:rPr>
          <w:sz w:val="24"/>
          <w:szCs w:val="24"/>
          <w:lang w:val="zh-CN"/>
        </w:rPr>
      </w:pPr>
      <w:r>
        <w:rPr>
          <w:sz w:val="24"/>
          <w:szCs w:val="24"/>
          <w:lang w:val="zh-CN"/>
        </w:rPr>
        <w:t>无。</w:t>
      </w:r>
    </w:p>
    <w:p w14:paraId="69E2F701">
      <w:pPr>
        <w:pStyle w:val="2"/>
        <w:rPr>
          <w:b w:val="0"/>
          <w:bCs w:val="0"/>
          <w:sz w:val="28"/>
          <w:szCs w:val="28"/>
        </w:rPr>
      </w:pPr>
      <w:r>
        <w:rPr>
          <w:rFonts w:hint="eastAsia"/>
          <w:bCs w:val="0"/>
          <w:sz w:val="28"/>
          <w:szCs w:val="28"/>
        </w:rPr>
        <w:t>九</w:t>
      </w:r>
      <w:r>
        <w:rPr>
          <w:bCs w:val="0"/>
          <w:sz w:val="28"/>
          <w:szCs w:val="28"/>
        </w:rPr>
        <w:t>、</w:t>
      </w:r>
      <w:r>
        <w:rPr>
          <w:sz w:val="28"/>
          <w:szCs w:val="28"/>
        </w:rPr>
        <w:t>标准作为强制性或推荐性标准发布的意见</w:t>
      </w:r>
    </w:p>
    <w:p w14:paraId="3B72A3E3">
      <w:pPr>
        <w:pStyle w:val="3"/>
        <w:ind w:firstLine="480" w:firstLineChars="200"/>
        <w:rPr>
          <w:rFonts w:ascii="Times New Roman" w:hAnsi="Times New Roman"/>
          <w:b w:val="0"/>
          <w:bCs w:val="0"/>
          <w:kern w:val="2"/>
          <w:sz w:val="24"/>
          <w:szCs w:val="24"/>
        </w:rPr>
      </w:pPr>
      <w:r>
        <w:rPr>
          <w:rFonts w:ascii="Times New Roman" w:hAnsi="Times New Roman"/>
          <w:b w:val="0"/>
          <w:bCs w:val="0"/>
          <w:kern w:val="2"/>
          <w:sz w:val="24"/>
          <w:szCs w:val="24"/>
        </w:rPr>
        <w:t>本</w:t>
      </w:r>
      <w:r>
        <w:rPr>
          <w:rFonts w:hint="eastAsia" w:ascii="Times New Roman" w:hAnsi="Times New Roman"/>
          <w:b w:val="0"/>
          <w:bCs w:val="0"/>
          <w:kern w:val="2"/>
          <w:sz w:val="24"/>
          <w:szCs w:val="24"/>
        </w:rPr>
        <w:t>文件为首次制定，</w:t>
      </w:r>
      <w:r>
        <w:rPr>
          <w:rFonts w:ascii="Times New Roman" w:hAnsi="Times New Roman"/>
          <w:b w:val="0"/>
          <w:bCs w:val="0"/>
          <w:kern w:val="2"/>
          <w:sz w:val="24"/>
          <w:szCs w:val="24"/>
        </w:rPr>
        <w:t>为推荐性</w:t>
      </w:r>
      <w:r>
        <w:rPr>
          <w:rFonts w:hint="eastAsia" w:ascii="Times New Roman" w:hAnsi="Times New Roman"/>
          <w:b w:val="0"/>
          <w:bCs w:val="0"/>
          <w:kern w:val="2"/>
          <w:sz w:val="24"/>
          <w:szCs w:val="24"/>
        </w:rPr>
        <w:t>团体</w:t>
      </w:r>
      <w:r>
        <w:rPr>
          <w:rFonts w:ascii="Times New Roman" w:hAnsi="Times New Roman"/>
          <w:b w:val="0"/>
          <w:bCs w:val="0"/>
          <w:kern w:val="2"/>
          <w:sz w:val="24"/>
          <w:szCs w:val="24"/>
        </w:rPr>
        <w:t>标准。</w:t>
      </w:r>
    </w:p>
    <w:p w14:paraId="2304B82E">
      <w:pPr>
        <w:pStyle w:val="3"/>
        <w:rPr>
          <w:rFonts w:ascii="Times New Roman" w:hAnsi="Times New Roman"/>
          <w:sz w:val="28"/>
          <w:szCs w:val="28"/>
        </w:rPr>
      </w:pPr>
      <w:r>
        <w:rPr>
          <w:rFonts w:hint="eastAsia" w:ascii="Times New Roman" w:hAnsi="Times New Roman"/>
          <w:sz w:val="28"/>
          <w:szCs w:val="28"/>
        </w:rPr>
        <w:t>十</w:t>
      </w:r>
      <w:r>
        <w:rPr>
          <w:rFonts w:ascii="Times New Roman" w:hAnsi="Times New Roman"/>
          <w:sz w:val="28"/>
          <w:szCs w:val="28"/>
        </w:rPr>
        <w:t>、</w:t>
      </w:r>
      <w:r>
        <w:rPr>
          <w:rFonts w:hint="eastAsia" w:ascii="Times New Roman" w:hAnsi="Times New Roman"/>
          <w:sz w:val="28"/>
          <w:szCs w:val="28"/>
        </w:rPr>
        <w:t>贯彻标准的要求和措施建议</w:t>
      </w:r>
    </w:p>
    <w:p w14:paraId="2B9E9F24">
      <w:pPr>
        <w:spacing w:line="360" w:lineRule="auto"/>
        <w:ind w:firstLine="480" w:firstLineChars="200"/>
        <w:rPr>
          <w:sz w:val="24"/>
          <w:szCs w:val="24"/>
        </w:rPr>
      </w:pPr>
      <w:r>
        <w:rPr>
          <w:rFonts w:hint="eastAsia"/>
          <w:sz w:val="24"/>
          <w:szCs w:val="24"/>
        </w:rPr>
        <w:t>（1）组织措施</w:t>
      </w:r>
    </w:p>
    <w:p w14:paraId="6E642ACF">
      <w:pPr>
        <w:spacing w:line="360" w:lineRule="auto"/>
        <w:ind w:firstLine="420"/>
        <w:jc w:val="left"/>
        <w:rPr>
          <w:sz w:val="24"/>
          <w:szCs w:val="24"/>
        </w:rPr>
      </w:pPr>
      <w:r>
        <w:rPr>
          <w:rFonts w:hint="eastAsia"/>
          <w:sz w:val="24"/>
          <w:szCs w:val="24"/>
        </w:rPr>
        <w:t>利用信息平台对标准进行推广和宣贯，南方电网数字电网集团有限公司联合厂家开展柔性负荷调控试点，建设试验试点，便于客户实地调研。</w:t>
      </w:r>
    </w:p>
    <w:p w14:paraId="0BDA8272">
      <w:pPr>
        <w:spacing w:line="360" w:lineRule="auto"/>
        <w:ind w:firstLine="480" w:firstLineChars="200"/>
        <w:rPr>
          <w:sz w:val="24"/>
          <w:szCs w:val="24"/>
        </w:rPr>
      </w:pPr>
      <w:r>
        <w:rPr>
          <w:rFonts w:hint="eastAsia"/>
          <w:sz w:val="24"/>
          <w:szCs w:val="24"/>
        </w:rPr>
        <w:t>（2）技术措施</w:t>
      </w:r>
    </w:p>
    <w:p w14:paraId="6115E9B0">
      <w:pPr>
        <w:spacing w:line="360" w:lineRule="auto"/>
        <w:ind w:firstLine="420"/>
        <w:jc w:val="left"/>
        <w:rPr>
          <w:rFonts w:hint="eastAsia"/>
          <w:sz w:val="24"/>
          <w:szCs w:val="24"/>
        </w:rPr>
      </w:pPr>
      <w:r>
        <w:rPr>
          <w:rFonts w:hint="eastAsia"/>
          <w:sz w:val="24"/>
          <w:szCs w:val="24"/>
        </w:rPr>
        <w:t>采用分散和集中讨论的形式，分析当前电力负荷柔性调控技术面临的痛点问题，着眼于技术未来发展以及实际应用需求，研究电力负荷柔性调控技术的电力负荷柔性调控架构，分析各类柔性负荷调控的技术要求，充分体现技术规范的实用性和先进性。</w:t>
      </w:r>
    </w:p>
    <w:p w14:paraId="1C4E7FAB">
      <w:pPr>
        <w:spacing w:line="360" w:lineRule="auto"/>
        <w:ind w:firstLine="480" w:firstLineChars="200"/>
        <w:rPr>
          <w:sz w:val="24"/>
          <w:szCs w:val="24"/>
        </w:rPr>
      </w:pPr>
      <w:r>
        <w:rPr>
          <w:rFonts w:hint="eastAsia"/>
          <w:sz w:val="24"/>
          <w:szCs w:val="24"/>
        </w:rPr>
        <w:t>（3）实施日期</w:t>
      </w:r>
    </w:p>
    <w:p w14:paraId="697A68A5">
      <w:pPr>
        <w:spacing w:line="360" w:lineRule="auto"/>
        <w:ind w:firstLine="480" w:firstLineChars="200"/>
        <w:rPr>
          <w:sz w:val="24"/>
          <w:szCs w:val="24"/>
        </w:rPr>
      </w:pPr>
      <w:r>
        <w:rPr>
          <w:rFonts w:hint="eastAsia"/>
          <w:sz w:val="24"/>
          <w:szCs w:val="24"/>
        </w:rPr>
        <w:t>自标准发布后，及时推广实施。</w:t>
      </w:r>
    </w:p>
    <w:p w14:paraId="6F7CCBC6">
      <w:pPr>
        <w:spacing w:line="360" w:lineRule="auto"/>
        <w:rPr>
          <w:b/>
          <w:bCs/>
          <w:kern w:val="0"/>
          <w:sz w:val="28"/>
          <w:szCs w:val="28"/>
        </w:rPr>
      </w:pPr>
      <w:r>
        <w:rPr>
          <w:rFonts w:hint="eastAsia"/>
          <w:b/>
          <w:bCs/>
          <w:kern w:val="0"/>
          <w:sz w:val="28"/>
          <w:szCs w:val="28"/>
        </w:rPr>
        <w:t>十一、废行现行相关标准的建议</w:t>
      </w:r>
    </w:p>
    <w:p w14:paraId="709C2727">
      <w:pPr>
        <w:spacing w:line="360" w:lineRule="auto"/>
        <w:ind w:firstLine="480" w:firstLineChars="200"/>
        <w:rPr>
          <w:sz w:val="24"/>
          <w:szCs w:val="24"/>
          <w:lang w:val="zh-CN"/>
        </w:rPr>
      </w:pPr>
      <w:r>
        <w:rPr>
          <w:sz w:val="24"/>
          <w:szCs w:val="24"/>
          <w:lang w:val="zh-CN"/>
        </w:rPr>
        <w:t>无。</w:t>
      </w:r>
    </w:p>
    <w:p w14:paraId="213BCFBD">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十二、其他予以说明的事项</w:t>
      </w:r>
    </w:p>
    <w:p w14:paraId="48187FA1">
      <w:pPr>
        <w:spacing w:line="360" w:lineRule="auto"/>
        <w:ind w:firstLine="480" w:firstLineChars="200"/>
        <w:rPr>
          <w:rFonts w:ascii="Times New Roman" w:hAnsi="Times New Roman" w:eastAsia="宋体" w:cs="Times New Roman"/>
          <w:sz w:val="24"/>
          <w:szCs w:val="24"/>
        </w:rPr>
      </w:pPr>
      <w:r>
        <w:rPr>
          <w:rFonts w:ascii="Times New Roman" w:hAnsi="Times New Roman" w:cs="Times New Roman"/>
          <w:sz w:val="24"/>
          <w:szCs w:val="24"/>
        </w:rPr>
        <w:t>202</w:t>
      </w:r>
      <w:r>
        <w:rPr>
          <w:rFonts w:hint="eastAsia" w:ascii="Times New Roman" w:hAnsi="Times New Roman" w:cs="Times New Roman"/>
          <w:sz w:val="24"/>
          <w:szCs w:val="24"/>
        </w:rPr>
        <w:t>5</w:t>
      </w:r>
      <w:r>
        <w:rPr>
          <w:rFonts w:ascii="Times New Roman" w:hAnsi="Times New Roman" w:cs="Times New Roman"/>
          <w:sz w:val="24"/>
          <w:szCs w:val="24"/>
        </w:rPr>
        <w:t>年</w:t>
      </w:r>
      <w:r>
        <w:rPr>
          <w:rFonts w:hint="eastAsia" w:ascii="Times New Roman" w:hAnsi="Times New Roman" w:cs="Times New Roman"/>
          <w:sz w:val="24"/>
          <w:szCs w:val="24"/>
        </w:rPr>
        <w:t>9</w:t>
      </w:r>
      <w:r>
        <w:rPr>
          <w:rFonts w:ascii="Times New Roman" w:hAnsi="Times New Roman" w:cs="Times New Roman"/>
          <w:sz w:val="24"/>
          <w:szCs w:val="24"/>
        </w:rPr>
        <w:t>月</w:t>
      </w:r>
      <w:r>
        <w:rPr>
          <w:rFonts w:hint="eastAsia" w:ascii="Times New Roman" w:hAnsi="Times New Roman" w:cs="Times New Roman"/>
          <w:sz w:val="24"/>
          <w:szCs w:val="24"/>
        </w:rPr>
        <w:t>24</w:t>
      </w:r>
      <w:r>
        <w:rPr>
          <w:rFonts w:ascii="Times New Roman" w:hAnsi="Times New Roman" w:cs="Times New Roman"/>
          <w:sz w:val="24"/>
          <w:szCs w:val="24"/>
        </w:rPr>
        <w:t>日，在</w:t>
      </w:r>
      <w:r>
        <w:rPr>
          <w:rFonts w:hint="eastAsia" w:ascii="Times New Roman" w:hAnsi="Times New Roman" w:cs="Times New Roman"/>
          <w:sz w:val="24"/>
          <w:szCs w:val="24"/>
        </w:rPr>
        <w:t>山东省青岛市</w:t>
      </w:r>
      <w:r>
        <w:rPr>
          <w:rFonts w:ascii="Times New Roman" w:hAnsi="Times New Roman" w:cs="Times New Roman"/>
          <w:sz w:val="24"/>
          <w:szCs w:val="24"/>
        </w:rPr>
        <w:t>组织召开第一次工作组会议，对工作组讨论稿的标准化对象、结构进行了认真、细致的逐条讨论，达成标准名字共识，经工作组成员共同讨论</w:t>
      </w:r>
      <w:r>
        <w:rPr>
          <w:rFonts w:ascii="Times New Roman" w:hAnsi="Times New Roman" w:eastAsia="宋体" w:cs="Times New Roman"/>
          <w:sz w:val="24"/>
          <w:szCs w:val="24"/>
        </w:rPr>
        <w:t>将原立项名称</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《新型电力负荷管理系统柔性负荷调控技术指南》改为《电力负荷柔性调控技术要求》</w:t>
      </w:r>
      <w:r>
        <w:rPr>
          <w:rFonts w:hint="eastAsia" w:ascii="Times New Roman" w:hAnsi="Times New Roman" w:eastAsia="宋体" w:cs="Times New Roman"/>
          <w:sz w:val="24"/>
          <w:szCs w:val="24"/>
        </w:rPr>
        <w:t>；2026年1月21日，在海南省海口市海口市</w:t>
      </w:r>
      <w:r>
        <w:rPr>
          <w:rFonts w:ascii="Times New Roman" w:hAnsi="Times New Roman" w:cs="Times New Roman"/>
          <w:sz w:val="24"/>
          <w:szCs w:val="24"/>
        </w:rPr>
        <w:t>组织召开第</w:t>
      </w:r>
      <w:r>
        <w:rPr>
          <w:rFonts w:hint="eastAsia" w:ascii="Times New Roman" w:hAnsi="Times New Roman" w:cs="Times New Roman"/>
          <w:sz w:val="24"/>
          <w:szCs w:val="24"/>
        </w:rPr>
        <w:t>二</w:t>
      </w:r>
      <w:r>
        <w:rPr>
          <w:rFonts w:ascii="Times New Roman" w:hAnsi="Times New Roman" w:cs="Times New Roman"/>
          <w:sz w:val="24"/>
          <w:szCs w:val="24"/>
        </w:rPr>
        <w:t>次工作组会议</w:t>
      </w:r>
      <w:r>
        <w:rPr>
          <w:rFonts w:hint="eastAsia" w:ascii="Times New Roman" w:hAnsi="Times New Roman" w:cs="Times New Roman"/>
          <w:sz w:val="24"/>
          <w:szCs w:val="24"/>
        </w:rPr>
        <w:t>，</w:t>
      </w:r>
      <w:r>
        <w:rPr>
          <w:rFonts w:ascii="Times New Roman" w:hAnsi="Times New Roman" w:cs="Times New Roman"/>
          <w:sz w:val="24"/>
          <w:szCs w:val="24"/>
        </w:rPr>
        <w:t>经工作组成员共同讨论</w:t>
      </w:r>
      <w:r>
        <w:rPr>
          <w:rFonts w:ascii="Times New Roman" w:hAnsi="Times New Roman" w:eastAsia="宋体" w:cs="Times New Roman"/>
          <w:sz w:val="24"/>
          <w:szCs w:val="24"/>
        </w:rPr>
        <w:t>将《电力负荷柔性调控技术要求》</w:t>
      </w:r>
      <w:r>
        <w:rPr>
          <w:rFonts w:hint="eastAsia" w:ascii="Times New Roman" w:hAnsi="Times New Roman" w:eastAsia="宋体" w:cs="Times New Roman"/>
          <w:sz w:val="24"/>
          <w:szCs w:val="24"/>
        </w:rPr>
        <w:t>改为《电力负荷柔性调控系统技术要求》。</w:t>
      </w:r>
    </w:p>
    <w:p w14:paraId="71ED0639">
      <w:pPr>
        <w:spacing w:line="360" w:lineRule="auto"/>
        <w:ind w:firstLine="480" w:firstLineChars="200"/>
        <w:rPr>
          <w:rFonts w:ascii="Times New Roman" w:hAnsi="Times New Roman" w:cs="Times New Roman"/>
          <w:sz w:val="24"/>
          <w:szCs w:val="24"/>
        </w:rPr>
      </w:pPr>
    </w:p>
    <w:p w14:paraId="1FAF7625">
      <w:pPr>
        <w:spacing w:line="360" w:lineRule="auto"/>
        <w:ind w:firstLine="480" w:firstLineChars="200"/>
        <w:rPr>
          <w:rFonts w:ascii="Times New Roman" w:hAnsi="Times New Roman" w:eastAsia="宋体" w:cs="Times New Roman"/>
          <w:sz w:val="24"/>
          <w:szCs w:val="24"/>
        </w:rPr>
      </w:pPr>
    </w:p>
    <w:p w14:paraId="385DC08A">
      <w:pPr>
        <w:pStyle w:val="10"/>
        <w:ind w:left="1152" w:firstLine="0" w:firstLineChars="0"/>
        <w:rPr>
          <w:rFonts w:ascii="Times New Roman" w:hAnsi="Times New Roman" w:cs="Times New Roman"/>
          <w:sz w:val="30"/>
          <w:szCs w:val="30"/>
        </w:rPr>
      </w:pPr>
    </w:p>
    <w:p w14:paraId="18B928E0">
      <w:pPr>
        <w:pStyle w:val="10"/>
        <w:ind w:left="432" w:firstLine="0" w:firstLineChars="0"/>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F73B8"/>
    <w:multiLevelType w:val="singleLevel"/>
    <w:tmpl w:val="33BF73B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kNzE3MzJmZGU1YTg4ZmE0NjBlZTViNWY5ZmUyZjQifQ=="/>
  </w:docVars>
  <w:rsids>
    <w:rsidRoot w:val="007A53FA"/>
    <w:rsid w:val="00067A5C"/>
    <w:rsid w:val="00071824"/>
    <w:rsid w:val="00084DDD"/>
    <w:rsid w:val="00092509"/>
    <w:rsid w:val="000E5165"/>
    <w:rsid w:val="000E7B1F"/>
    <w:rsid w:val="00114A77"/>
    <w:rsid w:val="001A6DD2"/>
    <w:rsid w:val="001E738B"/>
    <w:rsid w:val="00281C13"/>
    <w:rsid w:val="00461365"/>
    <w:rsid w:val="005003B6"/>
    <w:rsid w:val="005100DD"/>
    <w:rsid w:val="00535360"/>
    <w:rsid w:val="00537CC5"/>
    <w:rsid w:val="005A092B"/>
    <w:rsid w:val="005D4603"/>
    <w:rsid w:val="00651AF2"/>
    <w:rsid w:val="0067022C"/>
    <w:rsid w:val="006C017B"/>
    <w:rsid w:val="006D5308"/>
    <w:rsid w:val="007453B1"/>
    <w:rsid w:val="007A53FA"/>
    <w:rsid w:val="00800B38"/>
    <w:rsid w:val="00857B77"/>
    <w:rsid w:val="0088218F"/>
    <w:rsid w:val="00882AF8"/>
    <w:rsid w:val="00893605"/>
    <w:rsid w:val="008C4EF7"/>
    <w:rsid w:val="009042DC"/>
    <w:rsid w:val="009758DC"/>
    <w:rsid w:val="00982919"/>
    <w:rsid w:val="00991C42"/>
    <w:rsid w:val="009B287C"/>
    <w:rsid w:val="009C40AA"/>
    <w:rsid w:val="009E5347"/>
    <w:rsid w:val="00A668AE"/>
    <w:rsid w:val="00B35315"/>
    <w:rsid w:val="00BE1B27"/>
    <w:rsid w:val="00BE7B28"/>
    <w:rsid w:val="00C704C7"/>
    <w:rsid w:val="00C97958"/>
    <w:rsid w:val="00D90B82"/>
    <w:rsid w:val="00DC0DAD"/>
    <w:rsid w:val="00DF014B"/>
    <w:rsid w:val="00E46A2C"/>
    <w:rsid w:val="00EE7B9B"/>
    <w:rsid w:val="00F11D34"/>
    <w:rsid w:val="00F21196"/>
    <w:rsid w:val="01457570"/>
    <w:rsid w:val="01A87AFF"/>
    <w:rsid w:val="01C761D7"/>
    <w:rsid w:val="01F176F8"/>
    <w:rsid w:val="02160F0D"/>
    <w:rsid w:val="02486066"/>
    <w:rsid w:val="024E5A18"/>
    <w:rsid w:val="02AB3D4B"/>
    <w:rsid w:val="02D432A2"/>
    <w:rsid w:val="02ED4364"/>
    <w:rsid w:val="032D650E"/>
    <w:rsid w:val="04E15802"/>
    <w:rsid w:val="051F632A"/>
    <w:rsid w:val="05A86320"/>
    <w:rsid w:val="05EF03F3"/>
    <w:rsid w:val="067F3525"/>
    <w:rsid w:val="06826B71"/>
    <w:rsid w:val="06BB2083"/>
    <w:rsid w:val="07322345"/>
    <w:rsid w:val="077741FC"/>
    <w:rsid w:val="07CB4548"/>
    <w:rsid w:val="07CD206E"/>
    <w:rsid w:val="07FF744E"/>
    <w:rsid w:val="08297BEC"/>
    <w:rsid w:val="085A5FF7"/>
    <w:rsid w:val="089D7C92"/>
    <w:rsid w:val="0A026946"/>
    <w:rsid w:val="0A314B36"/>
    <w:rsid w:val="0A7D4792"/>
    <w:rsid w:val="0BD47E6F"/>
    <w:rsid w:val="0C6E02C3"/>
    <w:rsid w:val="0C774C9E"/>
    <w:rsid w:val="0CB832EC"/>
    <w:rsid w:val="0D8E6743"/>
    <w:rsid w:val="0D957AD2"/>
    <w:rsid w:val="0DED6FC6"/>
    <w:rsid w:val="0F3330FE"/>
    <w:rsid w:val="0FEC3966"/>
    <w:rsid w:val="0FFC317F"/>
    <w:rsid w:val="10437371"/>
    <w:rsid w:val="10B14C22"/>
    <w:rsid w:val="10D17073"/>
    <w:rsid w:val="113118BF"/>
    <w:rsid w:val="116457F1"/>
    <w:rsid w:val="1198193E"/>
    <w:rsid w:val="12415B32"/>
    <w:rsid w:val="126F6B43"/>
    <w:rsid w:val="133236CD"/>
    <w:rsid w:val="13AF4D1D"/>
    <w:rsid w:val="13DD188A"/>
    <w:rsid w:val="15194B44"/>
    <w:rsid w:val="166E2C6E"/>
    <w:rsid w:val="171952CF"/>
    <w:rsid w:val="172B0B5F"/>
    <w:rsid w:val="173D7210"/>
    <w:rsid w:val="177B3894"/>
    <w:rsid w:val="18153469"/>
    <w:rsid w:val="18846779"/>
    <w:rsid w:val="189A5F9C"/>
    <w:rsid w:val="18E65685"/>
    <w:rsid w:val="18EB2C9C"/>
    <w:rsid w:val="18FA2EDF"/>
    <w:rsid w:val="190B6E9A"/>
    <w:rsid w:val="19341F4D"/>
    <w:rsid w:val="19681666"/>
    <w:rsid w:val="1A3D3083"/>
    <w:rsid w:val="1B285AE1"/>
    <w:rsid w:val="1B395F40"/>
    <w:rsid w:val="1BAB226E"/>
    <w:rsid w:val="1CAE2016"/>
    <w:rsid w:val="1CC932F4"/>
    <w:rsid w:val="1D04257E"/>
    <w:rsid w:val="1D063C00"/>
    <w:rsid w:val="1D3E15EC"/>
    <w:rsid w:val="1D4D5CD3"/>
    <w:rsid w:val="1E29229C"/>
    <w:rsid w:val="1E74728F"/>
    <w:rsid w:val="1E7828DC"/>
    <w:rsid w:val="1F4B4494"/>
    <w:rsid w:val="201C373B"/>
    <w:rsid w:val="204D5FEA"/>
    <w:rsid w:val="2079293B"/>
    <w:rsid w:val="208337BA"/>
    <w:rsid w:val="20D34741"/>
    <w:rsid w:val="20E95D13"/>
    <w:rsid w:val="20FA1CCE"/>
    <w:rsid w:val="212E5631"/>
    <w:rsid w:val="21AD0AEE"/>
    <w:rsid w:val="22274D44"/>
    <w:rsid w:val="22A33167"/>
    <w:rsid w:val="233F60BE"/>
    <w:rsid w:val="23563407"/>
    <w:rsid w:val="23724353"/>
    <w:rsid w:val="23A979DB"/>
    <w:rsid w:val="24015121"/>
    <w:rsid w:val="243948BB"/>
    <w:rsid w:val="247B1377"/>
    <w:rsid w:val="251D242F"/>
    <w:rsid w:val="259326F1"/>
    <w:rsid w:val="25987D07"/>
    <w:rsid w:val="264E03C6"/>
    <w:rsid w:val="264F305A"/>
    <w:rsid w:val="26630315"/>
    <w:rsid w:val="26747E2C"/>
    <w:rsid w:val="267F67D1"/>
    <w:rsid w:val="269B7AAF"/>
    <w:rsid w:val="278728BB"/>
    <w:rsid w:val="27BA3F65"/>
    <w:rsid w:val="28520641"/>
    <w:rsid w:val="28F9137F"/>
    <w:rsid w:val="29051210"/>
    <w:rsid w:val="291E22D1"/>
    <w:rsid w:val="292D0766"/>
    <w:rsid w:val="296B6BBA"/>
    <w:rsid w:val="298962E5"/>
    <w:rsid w:val="29B13146"/>
    <w:rsid w:val="2A0911D4"/>
    <w:rsid w:val="2A84085A"/>
    <w:rsid w:val="2B6326E4"/>
    <w:rsid w:val="2BF832AE"/>
    <w:rsid w:val="2BFD08C4"/>
    <w:rsid w:val="2C245E51"/>
    <w:rsid w:val="2C5B55EB"/>
    <w:rsid w:val="2C7F752B"/>
    <w:rsid w:val="2C8132A3"/>
    <w:rsid w:val="2CC15D95"/>
    <w:rsid w:val="2D160B9D"/>
    <w:rsid w:val="2D7C3A6A"/>
    <w:rsid w:val="2DA42C2A"/>
    <w:rsid w:val="2DBB4593"/>
    <w:rsid w:val="2E141EF5"/>
    <w:rsid w:val="2E9D013C"/>
    <w:rsid w:val="2EB07E70"/>
    <w:rsid w:val="2EB86D24"/>
    <w:rsid w:val="2EFC1307"/>
    <w:rsid w:val="2F041F69"/>
    <w:rsid w:val="2F210D6D"/>
    <w:rsid w:val="2F401A95"/>
    <w:rsid w:val="2FDE27BA"/>
    <w:rsid w:val="2FE853E7"/>
    <w:rsid w:val="300264A9"/>
    <w:rsid w:val="30466CDD"/>
    <w:rsid w:val="30505D68"/>
    <w:rsid w:val="308B5113"/>
    <w:rsid w:val="30E91417"/>
    <w:rsid w:val="312863E3"/>
    <w:rsid w:val="32B67B69"/>
    <w:rsid w:val="32B75C71"/>
    <w:rsid w:val="32EC3440"/>
    <w:rsid w:val="33B57CD6"/>
    <w:rsid w:val="342F5CDB"/>
    <w:rsid w:val="349D49F2"/>
    <w:rsid w:val="34DB551B"/>
    <w:rsid w:val="357065AB"/>
    <w:rsid w:val="35E328D9"/>
    <w:rsid w:val="362F3D70"/>
    <w:rsid w:val="365C4911"/>
    <w:rsid w:val="366A2FFA"/>
    <w:rsid w:val="369462C9"/>
    <w:rsid w:val="36981915"/>
    <w:rsid w:val="36BD312A"/>
    <w:rsid w:val="37A8202C"/>
    <w:rsid w:val="38A02D03"/>
    <w:rsid w:val="39DE7F87"/>
    <w:rsid w:val="3A3A0F35"/>
    <w:rsid w:val="3A683CF4"/>
    <w:rsid w:val="3B27770B"/>
    <w:rsid w:val="3B2C2F74"/>
    <w:rsid w:val="3C720E5A"/>
    <w:rsid w:val="3CA803D8"/>
    <w:rsid w:val="3CBB635D"/>
    <w:rsid w:val="3F2521B4"/>
    <w:rsid w:val="3FCC6AD3"/>
    <w:rsid w:val="40251D40"/>
    <w:rsid w:val="4077259B"/>
    <w:rsid w:val="40B36239"/>
    <w:rsid w:val="41596145"/>
    <w:rsid w:val="41F45E6E"/>
    <w:rsid w:val="42154762"/>
    <w:rsid w:val="429F5DD9"/>
    <w:rsid w:val="42A96C58"/>
    <w:rsid w:val="430976F7"/>
    <w:rsid w:val="44661919"/>
    <w:rsid w:val="4484172B"/>
    <w:rsid w:val="44FC7513"/>
    <w:rsid w:val="45156827"/>
    <w:rsid w:val="458657E5"/>
    <w:rsid w:val="45FA7573"/>
    <w:rsid w:val="46492C2C"/>
    <w:rsid w:val="469B321D"/>
    <w:rsid w:val="474D22A8"/>
    <w:rsid w:val="47867568"/>
    <w:rsid w:val="47C14A44"/>
    <w:rsid w:val="48617456"/>
    <w:rsid w:val="4957740E"/>
    <w:rsid w:val="49764372"/>
    <w:rsid w:val="4B005883"/>
    <w:rsid w:val="4BA70555"/>
    <w:rsid w:val="4BED22AB"/>
    <w:rsid w:val="4C9E5354"/>
    <w:rsid w:val="4CF907DC"/>
    <w:rsid w:val="4E21448E"/>
    <w:rsid w:val="4E824F2D"/>
    <w:rsid w:val="4F005E52"/>
    <w:rsid w:val="4F5368C9"/>
    <w:rsid w:val="4F730D1A"/>
    <w:rsid w:val="4F7D74A2"/>
    <w:rsid w:val="4FAD5FDA"/>
    <w:rsid w:val="50D13F4A"/>
    <w:rsid w:val="51516E38"/>
    <w:rsid w:val="51D81616"/>
    <w:rsid w:val="522105B9"/>
    <w:rsid w:val="525C5A95"/>
    <w:rsid w:val="532D71F5"/>
    <w:rsid w:val="534A1D91"/>
    <w:rsid w:val="54CA13DC"/>
    <w:rsid w:val="54DE4E87"/>
    <w:rsid w:val="552D54C7"/>
    <w:rsid w:val="553D7E00"/>
    <w:rsid w:val="55FF3307"/>
    <w:rsid w:val="56026953"/>
    <w:rsid w:val="561843C9"/>
    <w:rsid w:val="56417FB7"/>
    <w:rsid w:val="567F7FA4"/>
    <w:rsid w:val="56921A85"/>
    <w:rsid w:val="56A8574D"/>
    <w:rsid w:val="56C41E5B"/>
    <w:rsid w:val="56C500AD"/>
    <w:rsid w:val="572F19CA"/>
    <w:rsid w:val="5748483A"/>
    <w:rsid w:val="578F2469"/>
    <w:rsid w:val="57EA58F1"/>
    <w:rsid w:val="58F85DEC"/>
    <w:rsid w:val="59401C6C"/>
    <w:rsid w:val="595F636A"/>
    <w:rsid w:val="59B9577D"/>
    <w:rsid w:val="59DD570D"/>
    <w:rsid w:val="5A902780"/>
    <w:rsid w:val="5B394BC5"/>
    <w:rsid w:val="5B3F0F02"/>
    <w:rsid w:val="5B70435F"/>
    <w:rsid w:val="5BA858A7"/>
    <w:rsid w:val="5BBC1352"/>
    <w:rsid w:val="5C292E8C"/>
    <w:rsid w:val="5C930305"/>
    <w:rsid w:val="5D375134"/>
    <w:rsid w:val="5DEF7057"/>
    <w:rsid w:val="5DFC012C"/>
    <w:rsid w:val="5E345B18"/>
    <w:rsid w:val="5EC7698C"/>
    <w:rsid w:val="5EEC1F4F"/>
    <w:rsid w:val="60483AFC"/>
    <w:rsid w:val="60854409"/>
    <w:rsid w:val="60A01243"/>
    <w:rsid w:val="61994610"/>
    <w:rsid w:val="62795FE2"/>
    <w:rsid w:val="627B1F67"/>
    <w:rsid w:val="62D6719E"/>
    <w:rsid w:val="62EE098B"/>
    <w:rsid w:val="632443AD"/>
    <w:rsid w:val="637846F9"/>
    <w:rsid w:val="64850E7B"/>
    <w:rsid w:val="64AE1699"/>
    <w:rsid w:val="650A312E"/>
    <w:rsid w:val="650C334B"/>
    <w:rsid w:val="66216982"/>
    <w:rsid w:val="66383CCB"/>
    <w:rsid w:val="664803B2"/>
    <w:rsid w:val="66B71094"/>
    <w:rsid w:val="67091A66"/>
    <w:rsid w:val="678C42CF"/>
    <w:rsid w:val="679A2E90"/>
    <w:rsid w:val="67CC0B6F"/>
    <w:rsid w:val="68376930"/>
    <w:rsid w:val="68664B20"/>
    <w:rsid w:val="687F2AA1"/>
    <w:rsid w:val="69252C2D"/>
    <w:rsid w:val="692C3FBB"/>
    <w:rsid w:val="69EC54F9"/>
    <w:rsid w:val="6A5F5CCB"/>
    <w:rsid w:val="6A8B6AC0"/>
    <w:rsid w:val="6AC00E5F"/>
    <w:rsid w:val="6C420CFD"/>
    <w:rsid w:val="6CAE4CE7"/>
    <w:rsid w:val="6CC10EBE"/>
    <w:rsid w:val="6D2D3E5E"/>
    <w:rsid w:val="6D6F4477"/>
    <w:rsid w:val="6E641B01"/>
    <w:rsid w:val="6EB8644B"/>
    <w:rsid w:val="6EDB4A3C"/>
    <w:rsid w:val="70210D9D"/>
    <w:rsid w:val="703244E4"/>
    <w:rsid w:val="70741DA4"/>
    <w:rsid w:val="7113780F"/>
    <w:rsid w:val="713003C1"/>
    <w:rsid w:val="715735F6"/>
    <w:rsid w:val="71BC7EA6"/>
    <w:rsid w:val="723F4D5F"/>
    <w:rsid w:val="72750781"/>
    <w:rsid w:val="73261A7B"/>
    <w:rsid w:val="73263829"/>
    <w:rsid w:val="73B9469D"/>
    <w:rsid w:val="73D6524F"/>
    <w:rsid w:val="73F248E1"/>
    <w:rsid w:val="75907680"/>
    <w:rsid w:val="75AD0232"/>
    <w:rsid w:val="75E83018"/>
    <w:rsid w:val="763224E5"/>
    <w:rsid w:val="7641097A"/>
    <w:rsid w:val="769E5DCD"/>
    <w:rsid w:val="76DA3479"/>
    <w:rsid w:val="76F53C3E"/>
    <w:rsid w:val="77AE3DED"/>
    <w:rsid w:val="77B238DE"/>
    <w:rsid w:val="7880578A"/>
    <w:rsid w:val="788F00C3"/>
    <w:rsid w:val="798D4602"/>
    <w:rsid w:val="79BF322E"/>
    <w:rsid w:val="7AD16771"/>
    <w:rsid w:val="7B75534E"/>
    <w:rsid w:val="7B871525"/>
    <w:rsid w:val="7C014E34"/>
    <w:rsid w:val="7C042B76"/>
    <w:rsid w:val="7C52568F"/>
    <w:rsid w:val="7C572CA5"/>
    <w:rsid w:val="7CA37C99"/>
    <w:rsid w:val="7CF76237"/>
    <w:rsid w:val="7D3B4375"/>
    <w:rsid w:val="7D44147C"/>
    <w:rsid w:val="7D446FD2"/>
    <w:rsid w:val="7DC0487A"/>
    <w:rsid w:val="7DE467BB"/>
    <w:rsid w:val="7F255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keepNext/>
      <w:keepLines/>
      <w:spacing w:before="260" w:after="260" w:line="416" w:lineRule="auto"/>
      <w:outlineLvl w:val="1"/>
    </w:pPr>
    <w:rPr>
      <w:rFonts w:ascii="Cambria" w:hAnsi="Cambria" w:eastAsia="宋体" w:cs="Times New Roman"/>
      <w:b/>
      <w:bCs/>
      <w:kern w:val="0"/>
      <w:sz w:val="32"/>
      <w:szCs w:val="32"/>
    </w:rPr>
  </w:style>
  <w:style w:type="paragraph" w:styleId="4">
    <w:name w:val="heading 3"/>
    <w:basedOn w:val="1"/>
    <w:next w:val="1"/>
    <w:link w:val="16"/>
    <w:qFormat/>
    <w:uiPriority w:val="9"/>
    <w:pPr>
      <w:keepNext/>
      <w:keepLines/>
      <w:spacing w:before="260" w:after="260" w:line="416" w:lineRule="auto"/>
      <w:outlineLvl w:val="2"/>
    </w:pPr>
    <w:rPr>
      <w:rFonts w:ascii="Times New Roman" w:hAnsi="Times New Roman" w:eastAsia="宋体" w:cs="Times New Roman"/>
      <w:b/>
      <w:bCs/>
      <w:kern w:val="0"/>
      <w:sz w:val="32"/>
      <w:szCs w:val="32"/>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段 Char"/>
    <w:link w:val="12"/>
    <w:qFormat/>
    <w:uiPriority w:val="0"/>
    <w:rPr>
      <w:rFonts w:ascii="宋体"/>
    </w:rPr>
  </w:style>
  <w:style w:type="paragraph" w:customStyle="1" w:styleId="12">
    <w:name w:val="段"/>
    <w:link w:val="11"/>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3">
    <w:name w:val="页眉 字符"/>
    <w:basedOn w:val="9"/>
    <w:link w:val="7"/>
    <w:qFormat/>
    <w:uiPriority w:val="99"/>
    <w:rPr>
      <w:sz w:val="18"/>
      <w:szCs w:val="18"/>
    </w:rPr>
  </w:style>
  <w:style w:type="character" w:customStyle="1" w:styleId="14">
    <w:name w:val="页脚 字符"/>
    <w:basedOn w:val="9"/>
    <w:link w:val="6"/>
    <w:qFormat/>
    <w:uiPriority w:val="99"/>
    <w:rPr>
      <w:sz w:val="18"/>
      <w:szCs w:val="18"/>
    </w:rPr>
  </w:style>
  <w:style w:type="character" w:customStyle="1" w:styleId="15">
    <w:name w:val="标题 2 字符"/>
    <w:basedOn w:val="9"/>
    <w:link w:val="3"/>
    <w:qFormat/>
    <w:uiPriority w:val="9"/>
    <w:rPr>
      <w:rFonts w:ascii="Cambria" w:hAnsi="Cambria" w:eastAsia="宋体" w:cs="Times New Roman"/>
      <w:b/>
      <w:bCs/>
      <w:kern w:val="0"/>
      <w:sz w:val="32"/>
      <w:szCs w:val="32"/>
    </w:rPr>
  </w:style>
  <w:style w:type="character" w:customStyle="1" w:styleId="16">
    <w:name w:val="标题 3 字符"/>
    <w:basedOn w:val="9"/>
    <w:link w:val="4"/>
    <w:qFormat/>
    <w:uiPriority w:val="9"/>
    <w:rPr>
      <w:rFonts w:ascii="Times New Roman" w:hAnsi="Times New Roman" w:eastAsia="宋体" w:cs="Times New Roman"/>
      <w:b/>
      <w:bCs/>
      <w:kern w:val="0"/>
      <w:sz w:val="32"/>
      <w:szCs w:val="32"/>
    </w:rPr>
  </w:style>
  <w:style w:type="paragraph" w:customStyle="1" w:styleId="17">
    <w:name w:val="目次、标准名称标题"/>
    <w:basedOn w:val="1"/>
    <w:next w:val="1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1">
    <w:name w:val="表头"/>
    <w:basedOn w:val="1"/>
    <w:qFormat/>
    <w:uiPriority w:val="0"/>
    <w:pPr>
      <w:topLinePunct/>
      <w:spacing w:before="120" w:after="60" w:line="312" w:lineRule="exact"/>
      <w:jc w:val="center"/>
    </w:pPr>
    <w:rPr>
      <w:rFonts w:ascii="EU-F1" w:eastAsia="黑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Windows 10</Company>
  <Pages>6</Pages>
  <Words>2559</Words>
  <Characters>2660</Characters>
  <Lines>25</Lines>
  <Paragraphs>7</Paragraphs>
  <TotalTime>15</TotalTime>
  <ScaleCrop>false</ScaleCrop>
  <LinksUpToDate>false</LinksUpToDate>
  <CharactersWithSpaces>2676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2026-01-29T08:21:00Z</dcterms:created>
  <dc:creator>Windows 10</dc:creator>
  <cp:lastModifiedBy>金鑫</cp:lastModifiedBy>
  <dcterms:modified xsi:type="dcterms:W3CDTF">2026-02-04T03:03:56Z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D808613A0C224E1CB70813286233CF15_13</vt:lpwstr>
  </property>
  <property fmtid="{D5CDD505-2E9C-101B-9397-08002B2CF9AE}" pid="4" name="KSOTemplateDocerSaveRecord">
    <vt:lpwstr>eyJoZGlkIjoiOTJkNzE3MzJmZGU1YTg4ZmE0NjBlZTViNWY5ZmUyZjQiLCJ1c2VySWQiOiIxNDQ1MTQ3Nzk3In0=</vt:lpwstr>
  </property>
</Properties>
</file>