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1341E">
      <w:pPr>
        <w:jc w:val="center"/>
        <w:rPr>
          <w:rFonts w:hint="eastAsia" w:ascii="黑体" w:hAnsi="黑体" w:eastAsia="黑体"/>
          <w:sz w:val="52"/>
          <w:szCs w:val="52"/>
        </w:rPr>
      </w:pPr>
      <w:r>
        <w:rPr>
          <w:rFonts w:hint="eastAsia" w:ascii="黑体" w:hAnsi="黑体" w:eastAsia="黑体"/>
          <w:sz w:val="52"/>
          <w:szCs w:val="52"/>
        </w:rPr>
        <w:t>中国仪器仪表行业协会团体标准</w:t>
      </w:r>
    </w:p>
    <w:p w14:paraId="4BA5521B">
      <w:pPr>
        <w:rPr>
          <w:rFonts w:ascii="Times New Roman" w:hAnsi="Times New Roman" w:eastAsia="黑体"/>
          <w:sz w:val="52"/>
          <w:szCs w:val="52"/>
        </w:rPr>
      </w:pPr>
    </w:p>
    <w:p w14:paraId="7409250F">
      <w:pPr>
        <w:rPr>
          <w:rFonts w:ascii="Times New Roman" w:hAnsi="Times New Roman" w:eastAsia="黑体"/>
          <w:sz w:val="52"/>
          <w:szCs w:val="52"/>
        </w:rPr>
      </w:pPr>
    </w:p>
    <w:p w14:paraId="4FC0DF9E">
      <w:pPr>
        <w:rPr>
          <w:rFonts w:ascii="Times New Roman" w:hAnsi="Times New Roman" w:eastAsia="黑体"/>
          <w:sz w:val="52"/>
          <w:szCs w:val="52"/>
        </w:rPr>
      </w:pPr>
    </w:p>
    <w:p w14:paraId="5BF87507">
      <w:pPr>
        <w:rPr>
          <w:rFonts w:ascii="Times New Roman" w:hAnsi="Times New Roman" w:eastAsia="黑体"/>
          <w:sz w:val="52"/>
          <w:szCs w:val="52"/>
        </w:rPr>
      </w:pPr>
    </w:p>
    <w:p w14:paraId="6EC93853">
      <w:pPr>
        <w:rPr>
          <w:rFonts w:ascii="Times New Roman" w:hAnsi="Times New Roman" w:eastAsia="黑体"/>
          <w:sz w:val="52"/>
          <w:szCs w:val="52"/>
        </w:rPr>
      </w:pPr>
    </w:p>
    <w:p w14:paraId="31B4FC02">
      <w:pPr>
        <w:rPr>
          <w:rFonts w:hint="eastAsia" w:ascii="Times New Roman" w:hAnsi="Times New Roman" w:eastAsia="黑体"/>
          <w:sz w:val="52"/>
          <w:szCs w:val="52"/>
        </w:rPr>
      </w:pPr>
    </w:p>
    <w:p w14:paraId="48DE3B1F">
      <w:pPr>
        <w:jc w:val="center"/>
        <w:rPr>
          <w:rFonts w:hint="eastAsia" w:ascii="黑体" w:hAnsi="黑体" w:eastAsia="黑体"/>
          <w:sz w:val="44"/>
          <w:szCs w:val="44"/>
        </w:rPr>
      </w:pPr>
      <w:r>
        <w:rPr>
          <w:rFonts w:hint="eastAsia" w:ascii="黑体" w:hAnsi="黑体" w:eastAsia="黑体"/>
          <w:sz w:val="44"/>
          <w:szCs w:val="44"/>
        </w:rPr>
        <w:t>电力计量高压互感器自动化检定流水线技术规范</w:t>
      </w:r>
    </w:p>
    <w:p w14:paraId="18C96666">
      <w:pPr>
        <w:rPr>
          <w:rFonts w:ascii="Times New Roman" w:hAnsi="Times New Roman"/>
          <w:sz w:val="32"/>
          <w:szCs w:val="32"/>
        </w:rPr>
      </w:pPr>
    </w:p>
    <w:p w14:paraId="6CDE48C7">
      <w:pPr>
        <w:rPr>
          <w:rFonts w:ascii="Times New Roman" w:hAnsi="Times New Roman"/>
          <w:sz w:val="32"/>
          <w:szCs w:val="32"/>
        </w:rPr>
      </w:pPr>
    </w:p>
    <w:p w14:paraId="68224E01">
      <w:pPr>
        <w:rPr>
          <w:rFonts w:ascii="Times New Roman" w:hAnsi="Times New Roman"/>
          <w:sz w:val="32"/>
          <w:szCs w:val="32"/>
        </w:rPr>
      </w:pPr>
    </w:p>
    <w:p w14:paraId="16F5CEDB">
      <w:pPr>
        <w:jc w:val="center"/>
        <w:rPr>
          <w:rFonts w:hint="eastAsia" w:ascii="黑体" w:hAnsi="黑体" w:eastAsia="黑体"/>
          <w:b/>
          <w:sz w:val="44"/>
          <w:szCs w:val="44"/>
        </w:rPr>
      </w:pPr>
      <w:r>
        <w:rPr>
          <w:rFonts w:hint="eastAsia" w:ascii="黑体" w:hAnsi="黑体" w:eastAsia="黑体"/>
          <w:sz w:val="44"/>
          <w:szCs w:val="44"/>
        </w:rPr>
        <w:t>编制说明</w:t>
      </w:r>
    </w:p>
    <w:p w14:paraId="6E65D71D">
      <w:pPr>
        <w:rPr>
          <w:rFonts w:ascii="Times New Roman" w:hAnsi="Times New Roman"/>
          <w:sz w:val="28"/>
          <w:szCs w:val="28"/>
        </w:rPr>
      </w:pPr>
      <w:r>
        <w:rPr>
          <w:rFonts w:hint="eastAsia" w:ascii="Times New Roman" w:hAnsi="Times New Roman"/>
          <w:sz w:val="28"/>
          <w:szCs w:val="28"/>
        </w:rPr>
        <w:t xml:space="preserve">                          </w:t>
      </w:r>
    </w:p>
    <w:p w14:paraId="000034D0">
      <w:pPr>
        <w:rPr>
          <w:rFonts w:ascii="Times New Roman" w:hAnsi="Times New Roman"/>
          <w:sz w:val="28"/>
          <w:szCs w:val="28"/>
        </w:rPr>
      </w:pPr>
    </w:p>
    <w:p w14:paraId="14E4E505">
      <w:pPr>
        <w:rPr>
          <w:rFonts w:ascii="Times New Roman" w:hAnsi="Times New Roman"/>
          <w:sz w:val="28"/>
          <w:szCs w:val="28"/>
        </w:rPr>
      </w:pPr>
    </w:p>
    <w:p w14:paraId="50BF441C">
      <w:pPr>
        <w:jc w:val="center"/>
        <w:rPr>
          <w:rFonts w:hint="eastAsia" w:ascii="Times New Roman" w:hAnsi="Times New Roman" w:eastAsia="宋体"/>
          <w:sz w:val="28"/>
          <w:szCs w:val="28"/>
          <w:lang w:eastAsia="zh-CN"/>
        </w:rPr>
      </w:pPr>
      <w:r>
        <w:rPr>
          <w:rFonts w:hint="eastAsia" w:ascii="Times New Roman" w:hAnsi="Times New Roman"/>
          <w:sz w:val="28"/>
          <w:szCs w:val="28"/>
          <w:lang w:eastAsia="zh-CN"/>
        </w:rPr>
        <w:t>（</w:t>
      </w:r>
      <w:r>
        <w:rPr>
          <w:rFonts w:hint="eastAsia" w:ascii="Times New Roman" w:hAnsi="Times New Roman"/>
          <w:sz w:val="28"/>
          <w:szCs w:val="28"/>
          <w:lang w:val="en-US" w:eastAsia="zh-CN"/>
        </w:rPr>
        <w:t>征求意见稿</w:t>
      </w:r>
      <w:r>
        <w:rPr>
          <w:rFonts w:hint="eastAsia" w:ascii="Times New Roman" w:hAnsi="Times New Roman"/>
          <w:sz w:val="28"/>
          <w:szCs w:val="28"/>
          <w:lang w:eastAsia="zh-CN"/>
        </w:rPr>
        <w:t>）</w:t>
      </w:r>
    </w:p>
    <w:p w14:paraId="671E2319">
      <w:pPr>
        <w:rPr>
          <w:rFonts w:hint="eastAsia" w:ascii="Times New Roman" w:hAnsi="Times New Roman"/>
          <w:sz w:val="28"/>
          <w:szCs w:val="28"/>
        </w:rPr>
      </w:pPr>
    </w:p>
    <w:p w14:paraId="43129A21">
      <w:pPr>
        <w:rPr>
          <w:rFonts w:ascii="Times New Roman" w:hAnsi="Times New Roman"/>
          <w:sz w:val="28"/>
          <w:szCs w:val="28"/>
        </w:rPr>
      </w:pPr>
    </w:p>
    <w:p w14:paraId="5029188C">
      <w:pPr>
        <w:jc w:val="center"/>
        <w:rPr>
          <w:rFonts w:ascii="Times New Roman" w:hAnsi="Times New Roman"/>
          <w:sz w:val="28"/>
          <w:szCs w:val="28"/>
        </w:rPr>
      </w:pPr>
      <w:r>
        <w:rPr>
          <w:rFonts w:hint="eastAsia" w:ascii="Times New Roman" w:hAnsi="Times New Roman"/>
          <w:sz w:val="28"/>
          <w:szCs w:val="28"/>
        </w:rPr>
        <w:t>2026年</w:t>
      </w:r>
      <w:r>
        <w:rPr>
          <w:rFonts w:hint="eastAsia" w:ascii="Times New Roman" w:hAnsi="Times New Roman"/>
          <w:sz w:val="28"/>
          <w:szCs w:val="28"/>
          <w:lang w:val="en-US" w:eastAsia="zh-CN"/>
        </w:rPr>
        <w:t>9</w:t>
      </w:r>
      <w:r>
        <w:rPr>
          <w:rFonts w:hint="eastAsia" w:ascii="Times New Roman" w:hAnsi="Times New Roman"/>
          <w:sz w:val="28"/>
          <w:szCs w:val="28"/>
        </w:rPr>
        <w:t>月</w:t>
      </w:r>
    </w:p>
    <w:p w14:paraId="591318EB">
      <w:pPr>
        <w:pStyle w:val="25"/>
        <w:pageBreakBefore w:val="0"/>
        <w:spacing w:before="360" w:after="360"/>
        <w:rPr>
          <w:rFonts w:hint="eastAsia" w:hAnsi="黑体" w:cs="黑体"/>
          <w:shd w:val="clear" w:color="auto" w:fill="FFFFFF"/>
        </w:rPr>
        <w:sectPr>
          <w:pgSz w:w="11906" w:h="16838"/>
          <w:pgMar w:top="1440" w:right="1800" w:bottom="1440" w:left="1800" w:header="851" w:footer="992" w:gutter="0"/>
          <w:cols w:space="720" w:num="1"/>
          <w:docGrid w:type="lines" w:linePitch="312" w:charSpace="0"/>
        </w:sectPr>
      </w:pPr>
    </w:p>
    <w:p w14:paraId="0BF2941B">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Calibri" w:hAnsi="Calibri" w:eastAsia="宋体" w:cs="Times New Roman"/>
          <w:b/>
          <w:bCs/>
          <w:kern w:val="44"/>
          <w:sz w:val="28"/>
          <w:szCs w:val="28"/>
          <w:highlight w:val="none"/>
          <w:lang w:val="en-US" w:eastAsia="zh-CN" w:bidi="ar-SA"/>
        </w:rPr>
      </w:pPr>
      <w:r>
        <w:rPr>
          <w:rFonts w:hint="eastAsia" w:ascii="Calibri" w:hAnsi="Calibri" w:eastAsia="宋体" w:cs="Times New Roman"/>
          <w:b/>
          <w:bCs/>
          <w:kern w:val="44"/>
          <w:sz w:val="28"/>
          <w:szCs w:val="28"/>
          <w:highlight w:val="none"/>
          <w:lang w:val="en-US" w:eastAsia="zh-CN" w:bidi="ar-SA"/>
        </w:rPr>
        <w:t>一、 工作简况</w:t>
      </w:r>
    </w:p>
    <w:p w14:paraId="5769340E">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方正楷体_GB2312" w:hAnsi="方正楷体_GB2312" w:eastAsia="方正楷体_GB2312" w:cs="方正楷体_GB2312"/>
          <w:b w:val="0"/>
          <w:bCs w:val="0"/>
          <w:sz w:val="32"/>
          <w:szCs w:val="32"/>
        </w:rPr>
      </w:pPr>
      <w:r>
        <w:rPr>
          <w:rFonts w:hint="eastAsia" w:ascii="方正楷体_GB2312" w:hAnsi="方正楷体_GB2312" w:eastAsia="方正楷体_GB2312" w:cs="方正楷体_GB2312"/>
          <w:b w:val="0"/>
          <w:bCs w:val="0"/>
          <w:sz w:val="32"/>
          <w:szCs w:val="32"/>
          <w:lang w:val="en-US" w:eastAsia="zh-CN"/>
        </w:rPr>
        <w:t>1.任务来源</w:t>
      </w:r>
    </w:p>
    <w:p w14:paraId="60F01B93">
      <w:pPr>
        <w:pStyle w:val="54"/>
        <w:spacing w:line="360" w:lineRule="auto"/>
        <w:ind w:firstLine="480"/>
        <w:rPr>
          <w:rFonts w:hint="eastAsia" w:ascii="Times New Roman" w:hAnsi="Times New Roman"/>
          <w:sz w:val="24"/>
          <w:szCs w:val="24"/>
          <w:highlight w:val="none"/>
        </w:rPr>
      </w:pPr>
      <w:r>
        <w:rPr>
          <w:rFonts w:hint="eastAsia" w:ascii="宋体" w:hAnsi="宋体" w:eastAsia="宋体" w:cs="宋体"/>
          <w:sz w:val="24"/>
          <w:szCs w:val="24"/>
        </w:rPr>
        <w:t>本团体标准根据中国仪器仪表行业协会《关于〈电力计量高压互感器自动化检定流水线技术规范〉等团体标准立项的批复》（中仪协﹝2025﹞</w:t>
      </w:r>
      <w:r>
        <w:rPr>
          <w:rFonts w:hint="eastAsia" w:ascii="宋体" w:hAnsi="宋体" w:cs="宋体"/>
          <w:sz w:val="24"/>
          <w:szCs w:val="24"/>
          <w:lang w:val="en-US" w:eastAsia="zh-CN"/>
        </w:rPr>
        <w:t>41</w:t>
      </w:r>
      <w:r>
        <w:rPr>
          <w:rFonts w:hint="eastAsia" w:ascii="宋体" w:hAnsi="宋体" w:eastAsia="宋体" w:cs="宋体"/>
          <w:sz w:val="24"/>
          <w:szCs w:val="24"/>
        </w:rPr>
        <w:t>号）文件立项，计划项目编号为：T/CIMA 0210，由中国仪器仪表行业协会电工仪器仪表分会提出，中国仪器仪表行业协会归口。</w:t>
      </w:r>
      <w:r>
        <w:rPr>
          <w:rFonts w:hint="eastAsia" w:ascii="Times New Roman" w:hAnsi="Times New Roman"/>
          <w:sz w:val="24"/>
          <w:szCs w:val="24"/>
          <w:highlight w:val="none"/>
          <w:lang w:val="en-US" w:eastAsia="zh-CN"/>
        </w:rPr>
        <w:t>计划编制完成年限为 2026年</w:t>
      </w:r>
      <w:r>
        <w:rPr>
          <w:rFonts w:hint="eastAsia" w:ascii="Times New Roman" w:hAnsi="Times New Roman"/>
          <w:sz w:val="24"/>
          <w:szCs w:val="24"/>
          <w:highlight w:val="none"/>
        </w:rPr>
        <w:t>。</w:t>
      </w:r>
    </w:p>
    <w:p w14:paraId="31F934AF">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方正楷体_GB2312" w:hAnsi="方正楷体_GB2312" w:eastAsia="方正楷体_GB2312" w:cs="方正楷体_GB2312"/>
          <w:b w:val="0"/>
          <w:bCs w:val="0"/>
          <w:sz w:val="32"/>
          <w:szCs w:val="32"/>
        </w:rPr>
      </w:pPr>
      <w:r>
        <w:rPr>
          <w:rFonts w:hint="eastAsia" w:ascii="方正楷体_GB2312" w:hAnsi="方正楷体_GB2312" w:eastAsia="方正楷体_GB2312" w:cs="方正楷体_GB2312"/>
          <w:b w:val="0"/>
          <w:bCs w:val="0"/>
          <w:sz w:val="32"/>
          <w:szCs w:val="32"/>
          <w:lang w:val="en-US" w:eastAsia="zh-CN"/>
        </w:rPr>
        <w:t>2.主要工作过程</w:t>
      </w:r>
    </w:p>
    <w:p w14:paraId="0C883A2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2025年10月：内蒙古电力（集团）有限责任公司电能计量分公司向中国仪器仪表行业协会电工仪器仪表分会提交团体标准建议书和标准草案稿，并完成立项申报。</w:t>
      </w:r>
    </w:p>
    <w:p w14:paraId="0B24311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2025年10月：中国仪器仪表行业协会下达立项批复，由内蒙古电力（集团）有限责任公司电能计量分公司牵头，组织成立标准起草工作组。</w:t>
      </w:r>
    </w:p>
    <w:p w14:paraId="4DE10D97">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2026年1月28日</w:t>
      </w:r>
      <w:r>
        <w:rPr>
          <w:rFonts w:hint="eastAsia" w:ascii="宋体" w:hAnsi="宋体" w:eastAsia="宋体" w:cs="宋体"/>
          <w:sz w:val="24"/>
          <w:szCs w:val="24"/>
        </w:rPr>
        <w:t>：在黑龙江哈尔滨召开起草</w:t>
      </w:r>
      <w:r>
        <w:rPr>
          <w:rFonts w:hint="eastAsia" w:ascii="宋体" w:hAnsi="宋体" w:eastAsia="宋体" w:cs="宋体"/>
          <w:b/>
          <w:bCs/>
          <w:sz w:val="24"/>
          <w:szCs w:val="24"/>
        </w:rPr>
        <w:t>第一次工作组会议</w:t>
      </w:r>
      <w:r>
        <w:rPr>
          <w:rFonts w:hint="eastAsia" w:ascii="宋体" w:hAnsi="宋体" w:cs="宋体"/>
          <w:b/>
          <w:bCs/>
          <w:sz w:val="24"/>
          <w:szCs w:val="24"/>
          <w:lang w:eastAsia="zh-CN"/>
        </w:rPr>
        <w:t>。</w:t>
      </w:r>
      <w:r>
        <w:rPr>
          <w:rFonts w:hint="eastAsia" w:ascii="宋体" w:hAnsi="宋体" w:eastAsia="宋体" w:cs="宋体"/>
          <w:sz w:val="24"/>
          <w:szCs w:val="24"/>
        </w:rPr>
        <w:t>20余名工作组成员对工作组讨论稿的标准化对象、范围、第4章技术要求章节结构和术语和定义进行了认真、细致的逐条讨论，确定了下一步修改计划，形成会议纪要。</w:t>
      </w:r>
    </w:p>
    <w:p w14:paraId="5E579762">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2026年8月5日</w:t>
      </w:r>
      <w:r>
        <w:rPr>
          <w:rFonts w:hint="eastAsia" w:ascii="宋体" w:hAnsi="宋体" w:eastAsia="宋体" w:cs="宋体"/>
          <w:sz w:val="24"/>
          <w:szCs w:val="24"/>
        </w:rPr>
        <w:t>：在内蒙古呼和浩特召开起草</w:t>
      </w:r>
      <w:r>
        <w:rPr>
          <w:rFonts w:hint="eastAsia" w:ascii="宋体" w:hAnsi="宋体" w:eastAsia="宋体" w:cs="宋体"/>
          <w:b/>
          <w:bCs/>
          <w:sz w:val="24"/>
          <w:szCs w:val="24"/>
        </w:rPr>
        <w:t>第二次工作组会议</w:t>
      </w:r>
      <w:r>
        <w:rPr>
          <w:rFonts w:hint="eastAsia" w:ascii="宋体" w:hAnsi="宋体" w:eastAsia="宋体" w:cs="宋体"/>
          <w:sz w:val="24"/>
          <w:szCs w:val="24"/>
        </w:rPr>
        <w:t>。15名工作组成员对《电力计量高压互感器自动化检定流水线技术规范》进行逐章逐条讨论，确定了标准的章节结构、单元划分、技术要求边界和试验方法，统一了标准名称及对应英文标题，并明确下一步形成征求意见稿。</w:t>
      </w:r>
    </w:p>
    <w:p w14:paraId="2FC85CB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2026年8月31日：主笔单位完成标准征求意见稿，准备在行业内部开展征求意见。</w:t>
      </w:r>
    </w:p>
    <w:p w14:paraId="4E36B065">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方正楷体_GB2312" w:hAnsi="方正楷体_GB2312" w:eastAsia="方正楷体_GB2312" w:cs="方正楷体_GB2312"/>
          <w:b w:val="0"/>
          <w:bCs w:val="0"/>
          <w:sz w:val="32"/>
          <w:szCs w:val="32"/>
        </w:rPr>
      </w:pPr>
      <w:r>
        <w:rPr>
          <w:rFonts w:hint="eastAsia" w:ascii="方正楷体_GB2312" w:hAnsi="方正楷体_GB2312" w:eastAsia="方正楷体_GB2312" w:cs="方正楷体_GB2312"/>
          <w:b w:val="0"/>
          <w:bCs w:val="0"/>
          <w:sz w:val="32"/>
          <w:szCs w:val="32"/>
          <w:lang w:val="en-US" w:eastAsia="zh-CN"/>
        </w:rPr>
        <w:t>3.主要参加单位和工作组成员及其所做的工作</w:t>
      </w:r>
    </w:p>
    <w:p w14:paraId="532B7BA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标准牵头起草单位是内蒙古电力（集团）有限责任公司电能计量分公司，主要起草单位有哈尔滨电工仪表研究所有限公司、国网电力科学研究院武汉南瑞有限责任公司、南京丹迪克电力仪表有限公司、河北海纳电测仪器股份有限公司、威胜集团有限公司、烟台东方威思顿电气有限公司、杭州德创电子股份有限公司、杭州西力智能科技股份有限公司、黑龙江省电工仪器仪表工程技术研究中心有限公司、武汉南瑞电力工程技术装备有限公司。</w:t>
      </w:r>
    </w:p>
    <w:p w14:paraId="26F5F87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内蒙古电力（集团）有限责任公司电能计量分公司作为执笔单位，负责本标准的工作组讨论稿、征求意见稿和送审稿的起草、修改工作。</w:t>
      </w:r>
    </w:p>
    <w:p w14:paraId="4CE7275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本标准主要起草人：王建强、雷少波、白玉洁、卢新昊、刘云、樊浩研、刘献成、于雷、何珊、王宏博、万家乐、蔡家杰、姚志超、王林、杨正兰、林杰森、陈宇轩、王佳名、冯国君、胡勇波、向宇诚、鲍震峰。</w:t>
      </w:r>
    </w:p>
    <w:p w14:paraId="090FAD7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卢新昊为本标准的主笔人，承担标准核心框架和基础性章节的编写工作，确保标准技术内容的系统性和规范性；王建强为本标准工作组组长，侧重组织协调工作，同时参与技术指标、安全防护功能要求等核心条款的编写；</w:t>
      </w:r>
      <w:r>
        <w:rPr>
          <w:rFonts w:hint="eastAsia" w:ascii="宋体" w:hAnsi="宋体" w:cs="宋体"/>
          <w:sz w:val="24"/>
          <w:szCs w:val="24"/>
          <w:lang w:val="en-US" w:eastAsia="zh-CN"/>
        </w:rPr>
        <w:t>雷少波</w:t>
      </w:r>
      <w:r>
        <w:rPr>
          <w:rFonts w:hint="eastAsia" w:ascii="宋体" w:hAnsi="宋体" w:eastAsia="宋体" w:cs="宋体"/>
          <w:sz w:val="24"/>
          <w:szCs w:val="24"/>
        </w:rPr>
        <w:t>、白玉洁、刘云、樊浩研等组员负责各章技术内容和试验方法的编写；各起草人根据专业特长分工负责不同章节；所有起草人在编写过程中充分讨论、交叉审核，确保标准技术内容的准确性和协调性，详细职责分工见下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018"/>
        <w:gridCol w:w="2271"/>
        <w:gridCol w:w="4303"/>
      </w:tblGrid>
      <w:tr w14:paraId="18D9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2139FB7F">
            <w:r>
              <w:rPr>
                <w:rFonts w:hint="eastAsia" w:ascii="方正仿宋_GB2312" w:hAnsi="方正仿宋_GB2312" w:eastAsia="方正仿宋_GB2312" w:cs="方正仿宋_GB2312"/>
                <w:b w:val="0"/>
                <w:bCs w:val="0"/>
                <w:color w:val="auto"/>
                <w:sz w:val="21"/>
                <w:szCs w:val="21"/>
                <w:vertAlign w:val="baseline"/>
                <w:lang w:val="en-US" w:eastAsia="zh-CN"/>
              </w:rPr>
              <w:t>序号</w:t>
            </w:r>
          </w:p>
        </w:tc>
        <w:tc>
          <w:tcPr>
            <w:tcW w:w="1018" w:type="dxa"/>
          </w:tcPr>
          <w:p w14:paraId="2D6303A7">
            <w:r>
              <w:rPr>
                <w:rFonts w:hint="eastAsia" w:ascii="方正仿宋_GB2312" w:hAnsi="方正仿宋_GB2312" w:eastAsia="方正仿宋_GB2312" w:cs="方正仿宋_GB2312"/>
                <w:b w:val="0"/>
                <w:bCs w:val="0"/>
                <w:color w:val="auto"/>
                <w:sz w:val="21"/>
                <w:szCs w:val="21"/>
                <w:vertAlign w:val="baseline"/>
                <w:lang w:val="en-US" w:eastAsia="zh-CN"/>
              </w:rPr>
              <w:t>姓名</w:t>
            </w:r>
          </w:p>
        </w:tc>
        <w:tc>
          <w:tcPr>
            <w:tcW w:w="2271" w:type="dxa"/>
          </w:tcPr>
          <w:p w14:paraId="1D4CED54">
            <w:r>
              <w:rPr>
                <w:rFonts w:hint="eastAsia" w:ascii="方正仿宋_GB2312" w:hAnsi="方正仿宋_GB2312" w:eastAsia="方正仿宋_GB2312" w:cs="方正仿宋_GB2312"/>
                <w:b w:val="0"/>
                <w:bCs w:val="0"/>
                <w:color w:val="auto"/>
                <w:sz w:val="21"/>
                <w:szCs w:val="21"/>
                <w:vertAlign w:val="baseline"/>
                <w:lang w:val="en-US" w:eastAsia="zh-CN"/>
              </w:rPr>
              <w:t>单位</w:t>
            </w:r>
          </w:p>
        </w:tc>
        <w:tc>
          <w:tcPr>
            <w:tcW w:w="4303" w:type="dxa"/>
          </w:tcPr>
          <w:p w14:paraId="42538D0A">
            <w:r>
              <w:rPr>
                <w:rFonts w:hint="eastAsia" w:ascii="方正仿宋_GB2312" w:hAnsi="方正仿宋_GB2312" w:eastAsia="方正仿宋_GB2312" w:cs="方正仿宋_GB2312"/>
                <w:b w:val="0"/>
                <w:bCs w:val="0"/>
                <w:color w:val="auto"/>
                <w:sz w:val="21"/>
                <w:szCs w:val="21"/>
                <w:vertAlign w:val="baseline"/>
                <w:lang w:val="en-US" w:eastAsia="zh-CN"/>
              </w:rPr>
              <w:t>职责分工</w:t>
            </w:r>
          </w:p>
        </w:tc>
      </w:tr>
      <w:tr w14:paraId="4A79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6BAA80E7">
            <w:r>
              <w:rPr>
                <w:rFonts w:hint="eastAsia" w:ascii="方正仿宋_GB2312" w:hAnsi="方正仿宋_GB2312" w:eastAsia="方正仿宋_GB2312" w:cs="方正仿宋_GB2312"/>
                <w:b w:val="0"/>
                <w:bCs w:val="0"/>
                <w:color w:val="auto"/>
                <w:sz w:val="21"/>
                <w:szCs w:val="21"/>
                <w:vertAlign w:val="baseline"/>
                <w:lang w:val="en-US" w:eastAsia="zh-CN"/>
              </w:rPr>
              <w:t>1</w:t>
            </w:r>
          </w:p>
        </w:tc>
        <w:tc>
          <w:tcPr>
            <w:tcW w:w="1018" w:type="dxa"/>
          </w:tcPr>
          <w:p w14:paraId="5101D006">
            <w:r>
              <w:rPr>
                <w:rFonts w:hint="eastAsia" w:ascii="方正仿宋_GB2312" w:hAnsi="方正仿宋_GB2312" w:eastAsia="方正仿宋_GB2312" w:cs="方正仿宋_GB2312"/>
                <w:b w:val="0"/>
                <w:bCs w:val="0"/>
                <w:color w:val="auto"/>
                <w:sz w:val="21"/>
                <w:szCs w:val="21"/>
                <w:vertAlign w:val="baseline"/>
                <w:lang w:val="en-US" w:eastAsia="zh-CN"/>
              </w:rPr>
              <w:t>卢新昊</w:t>
            </w:r>
          </w:p>
        </w:tc>
        <w:tc>
          <w:tcPr>
            <w:tcW w:w="2271" w:type="dxa"/>
          </w:tcPr>
          <w:p w14:paraId="259CA0B7">
            <w:r>
              <w:rPr>
                <w:rFonts w:hint="eastAsia" w:ascii="方正仿宋_GB2312" w:hAnsi="方正仿宋_GB2312" w:eastAsia="方正仿宋_GB2312" w:cs="方正仿宋_GB2312"/>
                <w:b w:val="0"/>
                <w:bCs w:val="0"/>
                <w:color w:val="auto"/>
                <w:sz w:val="21"/>
                <w:szCs w:val="21"/>
                <w:vertAlign w:val="baseline"/>
                <w:lang w:val="en-US" w:eastAsia="zh-CN"/>
              </w:rPr>
              <w:t>内蒙古电力（集团）有限责任公司电能计量分公司</w:t>
            </w:r>
          </w:p>
        </w:tc>
        <w:tc>
          <w:tcPr>
            <w:tcW w:w="4303" w:type="dxa"/>
          </w:tcPr>
          <w:p w14:paraId="035EB5ED">
            <w:r>
              <w:rPr>
                <w:rFonts w:hint="eastAsia" w:ascii="方正仿宋_GB2312" w:hAnsi="方正仿宋_GB2312" w:eastAsia="方正仿宋_GB2312" w:cs="方正仿宋_GB2312"/>
                <w:b w:val="0"/>
                <w:bCs w:val="0"/>
                <w:color w:val="auto"/>
                <w:sz w:val="21"/>
                <w:szCs w:val="21"/>
                <w:vertAlign w:val="baseline"/>
                <w:lang w:val="en-US" w:eastAsia="zh-CN"/>
              </w:rPr>
              <w:t>负责标准整体架构设计、第1章"范围"、第2章"规范性引用文件"、第3章"术语和定义"、第4章"组成"的编写，以及全文的统稿和技术内容协调</w:t>
            </w:r>
          </w:p>
        </w:tc>
      </w:tr>
      <w:tr w14:paraId="7E7A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1902569F">
            <w:r>
              <w:rPr>
                <w:rFonts w:hint="eastAsia" w:ascii="方正仿宋_GB2312" w:hAnsi="方正仿宋_GB2312" w:eastAsia="方正仿宋_GB2312" w:cs="方正仿宋_GB2312"/>
                <w:b w:val="0"/>
                <w:bCs w:val="0"/>
                <w:color w:val="auto"/>
                <w:sz w:val="21"/>
                <w:szCs w:val="21"/>
                <w:vertAlign w:val="baseline"/>
                <w:lang w:val="en-US" w:eastAsia="zh-CN"/>
              </w:rPr>
              <w:t>2</w:t>
            </w:r>
          </w:p>
        </w:tc>
        <w:tc>
          <w:tcPr>
            <w:tcW w:w="1018" w:type="dxa"/>
          </w:tcPr>
          <w:p w14:paraId="492F6AE1">
            <w:r>
              <w:rPr>
                <w:rFonts w:hint="eastAsia" w:ascii="方正仿宋_GB2312" w:hAnsi="方正仿宋_GB2312" w:eastAsia="方正仿宋_GB2312" w:cs="方正仿宋_GB2312"/>
                <w:b w:val="0"/>
                <w:bCs w:val="0"/>
                <w:color w:val="auto"/>
                <w:sz w:val="21"/>
                <w:szCs w:val="21"/>
                <w:vertAlign w:val="baseline"/>
                <w:lang w:val="en-US" w:eastAsia="zh-CN"/>
              </w:rPr>
              <w:t>王建强</w:t>
            </w:r>
          </w:p>
        </w:tc>
        <w:tc>
          <w:tcPr>
            <w:tcW w:w="2271" w:type="dxa"/>
          </w:tcPr>
          <w:p w14:paraId="06360A27">
            <w:r>
              <w:rPr>
                <w:rFonts w:hint="eastAsia" w:ascii="方正仿宋_GB2312" w:hAnsi="方正仿宋_GB2312" w:eastAsia="方正仿宋_GB2312" w:cs="方正仿宋_GB2312"/>
                <w:b w:val="0"/>
                <w:bCs w:val="0"/>
                <w:color w:val="auto"/>
                <w:sz w:val="21"/>
                <w:szCs w:val="21"/>
                <w:vertAlign w:val="baseline"/>
                <w:lang w:val="en-US" w:eastAsia="zh-CN"/>
              </w:rPr>
              <w:t>内蒙古电力（集团）有限责任公司电能计量分公司</w:t>
            </w:r>
          </w:p>
        </w:tc>
        <w:tc>
          <w:tcPr>
            <w:tcW w:w="4303" w:type="dxa"/>
          </w:tcPr>
          <w:p w14:paraId="70A232F0">
            <w:r>
              <w:rPr>
                <w:rFonts w:hint="eastAsia" w:ascii="方正仿宋_GB2312" w:hAnsi="方正仿宋_GB2312" w:eastAsia="方正仿宋_GB2312" w:cs="方正仿宋_GB2312"/>
                <w:b w:val="0"/>
                <w:bCs w:val="0"/>
                <w:color w:val="auto"/>
                <w:sz w:val="21"/>
                <w:szCs w:val="21"/>
                <w:vertAlign w:val="baseline"/>
                <w:lang w:val="en-US" w:eastAsia="zh-CN"/>
              </w:rPr>
              <w:t>负责标准编写工作的总体组织协调、进度管理，参与第5章"技术要求"中5.2技术指标、5.6安全防护功能要求的编写</w:t>
            </w:r>
          </w:p>
        </w:tc>
      </w:tr>
      <w:tr w14:paraId="5B22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2070C521">
            <w:r>
              <w:rPr>
                <w:rFonts w:hint="eastAsia" w:ascii="方正仿宋_GB2312" w:hAnsi="方正仿宋_GB2312" w:eastAsia="方正仿宋_GB2312" w:cs="方正仿宋_GB2312"/>
                <w:b w:val="0"/>
                <w:bCs w:val="0"/>
                <w:color w:val="auto"/>
                <w:sz w:val="21"/>
                <w:szCs w:val="21"/>
                <w:vertAlign w:val="baseline"/>
                <w:lang w:val="en-US" w:eastAsia="zh-CN"/>
              </w:rPr>
              <w:t>3</w:t>
            </w:r>
          </w:p>
        </w:tc>
        <w:tc>
          <w:tcPr>
            <w:tcW w:w="1018" w:type="dxa"/>
          </w:tcPr>
          <w:p w14:paraId="260F67D6">
            <w:r>
              <w:rPr>
                <w:rFonts w:hint="eastAsia" w:ascii="方正仿宋_GB2312" w:hAnsi="方正仿宋_GB2312" w:eastAsia="方正仿宋_GB2312" w:cs="方正仿宋_GB2312"/>
                <w:b w:val="0"/>
                <w:bCs w:val="0"/>
                <w:color w:val="auto"/>
                <w:sz w:val="21"/>
                <w:szCs w:val="21"/>
                <w:vertAlign w:val="baseline"/>
                <w:lang w:val="en-US" w:eastAsia="zh-CN"/>
              </w:rPr>
              <w:t>白玉洁</w:t>
            </w:r>
          </w:p>
        </w:tc>
        <w:tc>
          <w:tcPr>
            <w:tcW w:w="2271" w:type="dxa"/>
          </w:tcPr>
          <w:p w14:paraId="0F86F502">
            <w:r>
              <w:rPr>
                <w:rFonts w:hint="eastAsia" w:ascii="方正仿宋_GB2312" w:hAnsi="方正仿宋_GB2312" w:eastAsia="方正仿宋_GB2312" w:cs="方正仿宋_GB2312"/>
                <w:b w:val="0"/>
                <w:bCs w:val="0"/>
                <w:color w:val="auto"/>
                <w:sz w:val="21"/>
                <w:szCs w:val="21"/>
                <w:vertAlign w:val="baseline"/>
                <w:lang w:val="en-US" w:eastAsia="zh-CN"/>
              </w:rPr>
              <w:t>内蒙古电力（集团）有限责任公司电能计量分公司</w:t>
            </w:r>
          </w:p>
        </w:tc>
        <w:tc>
          <w:tcPr>
            <w:tcW w:w="4303" w:type="dxa"/>
          </w:tcPr>
          <w:p w14:paraId="2590922F">
            <w:r>
              <w:rPr>
                <w:rFonts w:hint="eastAsia" w:ascii="方正仿宋_GB2312" w:hAnsi="方正仿宋_GB2312" w:eastAsia="方正仿宋_GB2312" w:cs="方正仿宋_GB2312"/>
                <w:b w:val="0"/>
                <w:bCs w:val="0"/>
                <w:color w:val="auto"/>
                <w:sz w:val="21"/>
                <w:szCs w:val="21"/>
                <w:vertAlign w:val="baseline"/>
                <w:lang w:val="en-US" w:eastAsia="zh-CN"/>
              </w:rPr>
              <w:t>负责第5章"技术要求"中5.1工作条件、5.3外观与结构、5.4电气要求的编写</w:t>
            </w:r>
          </w:p>
        </w:tc>
      </w:tr>
      <w:tr w14:paraId="5A39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48C343E7">
            <w:r>
              <w:rPr>
                <w:rFonts w:hint="eastAsia" w:ascii="方正仿宋_GB2312" w:hAnsi="方正仿宋_GB2312" w:eastAsia="方正仿宋_GB2312" w:cs="方正仿宋_GB2312"/>
                <w:b w:val="0"/>
                <w:bCs w:val="0"/>
                <w:color w:val="auto"/>
                <w:sz w:val="21"/>
                <w:szCs w:val="21"/>
                <w:vertAlign w:val="baseline"/>
                <w:lang w:val="en-US" w:eastAsia="zh-CN"/>
              </w:rPr>
              <w:t>4</w:t>
            </w:r>
          </w:p>
        </w:tc>
        <w:tc>
          <w:tcPr>
            <w:tcW w:w="1018" w:type="dxa"/>
          </w:tcPr>
          <w:p w14:paraId="297F01EF">
            <w:r>
              <w:rPr>
                <w:rFonts w:hint="eastAsia" w:ascii="方正仿宋_GB2312" w:hAnsi="方正仿宋_GB2312" w:eastAsia="方正仿宋_GB2312" w:cs="方正仿宋_GB2312"/>
                <w:b w:val="0"/>
                <w:bCs w:val="0"/>
                <w:color w:val="auto"/>
                <w:sz w:val="21"/>
                <w:szCs w:val="21"/>
                <w:vertAlign w:val="baseline"/>
                <w:lang w:val="en-US" w:eastAsia="zh-CN"/>
              </w:rPr>
              <w:t>雷少波</w:t>
            </w:r>
          </w:p>
        </w:tc>
        <w:tc>
          <w:tcPr>
            <w:tcW w:w="2271" w:type="dxa"/>
          </w:tcPr>
          <w:p w14:paraId="19EFAC41">
            <w:r>
              <w:rPr>
                <w:rFonts w:hint="eastAsia" w:ascii="方正仿宋_GB2312" w:hAnsi="方正仿宋_GB2312" w:eastAsia="方正仿宋_GB2312" w:cs="方正仿宋_GB2312"/>
                <w:b w:val="0"/>
                <w:bCs w:val="0"/>
                <w:color w:val="auto"/>
                <w:sz w:val="21"/>
                <w:szCs w:val="21"/>
                <w:vertAlign w:val="baseline"/>
                <w:lang w:val="en-US" w:eastAsia="zh-CN"/>
              </w:rPr>
              <w:t>内蒙古电力（集团）有限责任公司电能计量分公司</w:t>
            </w:r>
          </w:p>
        </w:tc>
        <w:tc>
          <w:tcPr>
            <w:tcW w:w="4303" w:type="dxa"/>
          </w:tcPr>
          <w:p w14:paraId="074C4720">
            <w:r>
              <w:rPr>
                <w:rFonts w:hint="eastAsia" w:ascii="方正仿宋_GB2312" w:hAnsi="方正仿宋_GB2312" w:eastAsia="方正仿宋_GB2312" w:cs="方正仿宋_GB2312"/>
                <w:b w:val="0"/>
                <w:bCs w:val="0"/>
                <w:color w:val="auto"/>
                <w:sz w:val="21"/>
                <w:szCs w:val="21"/>
                <w:vertAlign w:val="baseline"/>
                <w:lang w:val="en-US" w:eastAsia="zh-CN"/>
              </w:rPr>
              <w:t>负责第5章"技术要求"中5.5供气要求、5.7各单元功能性要求(接驳、上下料、托盘输送)的编写，参与第6章试验方法的编写</w:t>
            </w:r>
          </w:p>
        </w:tc>
      </w:tr>
      <w:tr w14:paraId="2FBD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925C8E9">
            <w:r>
              <w:rPr>
                <w:rFonts w:hint="eastAsia" w:ascii="方正仿宋_GB2312" w:hAnsi="方正仿宋_GB2312" w:eastAsia="方正仿宋_GB2312" w:cs="方正仿宋_GB2312"/>
                <w:b w:val="0"/>
                <w:bCs w:val="0"/>
                <w:color w:val="auto"/>
                <w:sz w:val="21"/>
                <w:szCs w:val="21"/>
                <w:vertAlign w:val="baseline"/>
                <w:lang w:val="en-US" w:eastAsia="zh-CN"/>
              </w:rPr>
              <w:t>5</w:t>
            </w:r>
          </w:p>
        </w:tc>
        <w:tc>
          <w:tcPr>
            <w:tcW w:w="1018" w:type="dxa"/>
          </w:tcPr>
          <w:p w14:paraId="35ED98CB">
            <w:r>
              <w:rPr>
                <w:rFonts w:hint="eastAsia" w:ascii="方正仿宋_GB2312" w:hAnsi="方正仿宋_GB2312" w:eastAsia="方正仿宋_GB2312" w:cs="方正仿宋_GB2312"/>
                <w:b w:val="0"/>
                <w:bCs w:val="0"/>
                <w:color w:val="auto"/>
                <w:sz w:val="21"/>
                <w:szCs w:val="21"/>
                <w:vertAlign w:val="baseline"/>
                <w:lang w:val="en-US" w:eastAsia="zh-CN"/>
              </w:rPr>
              <w:t>刘云</w:t>
            </w:r>
          </w:p>
        </w:tc>
        <w:tc>
          <w:tcPr>
            <w:tcW w:w="2271" w:type="dxa"/>
          </w:tcPr>
          <w:p w14:paraId="7FB0BE72">
            <w:r>
              <w:rPr>
                <w:rFonts w:hint="eastAsia" w:ascii="方正仿宋_GB2312" w:hAnsi="方正仿宋_GB2312" w:eastAsia="方正仿宋_GB2312" w:cs="方正仿宋_GB2312"/>
                <w:b w:val="0"/>
                <w:bCs w:val="0"/>
                <w:color w:val="auto"/>
                <w:sz w:val="21"/>
                <w:szCs w:val="21"/>
                <w:vertAlign w:val="baseline"/>
                <w:lang w:val="en-US" w:eastAsia="zh-CN"/>
              </w:rPr>
              <w:t>内蒙古电力（集团）有限责任公司电能计量分公司</w:t>
            </w:r>
          </w:p>
        </w:tc>
        <w:tc>
          <w:tcPr>
            <w:tcW w:w="4303" w:type="dxa"/>
          </w:tcPr>
          <w:p w14:paraId="695841A6">
            <w:r>
              <w:rPr>
                <w:rFonts w:hint="eastAsia" w:ascii="方正仿宋_GB2312" w:hAnsi="方正仿宋_GB2312" w:eastAsia="方正仿宋_GB2312" w:cs="方正仿宋_GB2312"/>
                <w:b w:val="0"/>
                <w:bCs w:val="0"/>
                <w:color w:val="auto"/>
                <w:sz w:val="21"/>
                <w:szCs w:val="21"/>
                <w:vertAlign w:val="baseline"/>
                <w:lang w:val="en-US" w:eastAsia="zh-CN"/>
              </w:rPr>
              <w:t>负责第5章"技术要求"中5.7各单元功能性要求(外观检测、绝缘耐压测试)的编写，参与第6章试验方法的编写</w:t>
            </w:r>
          </w:p>
        </w:tc>
      </w:tr>
      <w:tr w14:paraId="6BF0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E228434">
            <w:r>
              <w:rPr>
                <w:rFonts w:hint="eastAsia" w:ascii="方正仿宋_GB2312" w:hAnsi="方正仿宋_GB2312" w:eastAsia="方正仿宋_GB2312" w:cs="方正仿宋_GB2312"/>
                <w:b w:val="0"/>
                <w:bCs w:val="0"/>
                <w:color w:val="auto"/>
                <w:sz w:val="21"/>
                <w:szCs w:val="21"/>
                <w:vertAlign w:val="baseline"/>
                <w:lang w:val="en-US" w:eastAsia="zh-CN"/>
              </w:rPr>
              <w:t>6</w:t>
            </w:r>
          </w:p>
        </w:tc>
        <w:tc>
          <w:tcPr>
            <w:tcW w:w="1018" w:type="dxa"/>
          </w:tcPr>
          <w:p w14:paraId="7592F8E6">
            <w:r>
              <w:rPr>
                <w:rFonts w:hint="eastAsia" w:ascii="方正仿宋_GB2312" w:hAnsi="方正仿宋_GB2312" w:eastAsia="方正仿宋_GB2312" w:cs="方正仿宋_GB2312"/>
                <w:b w:val="0"/>
                <w:bCs w:val="0"/>
                <w:color w:val="auto"/>
                <w:sz w:val="21"/>
                <w:szCs w:val="21"/>
                <w:vertAlign w:val="baseline"/>
                <w:lang w:val="en-US" w:eastAsia="zh-CN"/>
              </w:rPr>
              <w:t>樊浩研</w:t>
            </w:r>
          </w:p>
        </w:tc>
        <w:tc>
          <w:tcPr>
            <w:tcW w:w="2271" w:type="dxa"/>
          </w:tcPr>
          <w:p w14:paraId="7F6FF6C8">
            <w:r>
              <w:rPr>
                <w:rFonts w:hint="eastAsia" w:ascii="方正仿宋_GB2312" w:hAnsi="方正仿宋_GB2312" w:eastAsia="方正仿宋_GB2312" w:cs="方正仿宋_GB2312"/>
                <w:b w:val="0"/>
                <w:bCs w:val="0"/>
                <w:color w:val="auto"/>
                <w:sz w:val="21"/>
                <w:szCs w:val="21"/>
                <w:vertAlign w:val="baseline"/>
                <w:lang w:val="en-US" w:eastAsia="zh-CN"/>
              </w:rPr>
              <w:t>内蒙古电力（集团）有限责任公司电能计量分公司</w:t>
            </w:r>
          </w:p>
        </w:tc>
        <w:tc>
          <w:tcPr>
            <w:tcW w:w="4303" w:type="dxa"/>
          </w:tcPr>
          <w:p w14:paraId="56303255">
            <w:r>
              <w:rPr>
                <w:rFonts w:hint="eastAsia" w:ascii="方正仿宋_GB2312" w:hAnsi="方正仿宋_GB2312" w:eastAsia="方正仿宋_GB2312" w:cs="方正仿宋_GB2312"/>
                <w:b w:val="0"/>
                <w:bCs w:val="0"/>
                <w:color w:val="auto"/>
                <w:sz w:val="21"/>
                <w:szCs w:val="21"/>
                <w:vertAlign w:val="baseline"/>
                <w:lang w:val="en-US" w:eastAsia="zh-CN"/>
              </w:rPr>
              <w:t>负责第5章"技术要求"中5.7各单元功能性要求(电压/电流互感器误差测试)的编写，参与第6章试验方法的编写</w:t>
            </w:r>
          </w:p>
        </w:tc>
      </w:tr>
      <w:tr w14:paraId="7182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1E7288C5">
            <w:r>
              <w:rPr>
                <w:rFonts w:hint="eastAsia" w:ascii="方正仿宋_GB2312" w:hAnsi="方正仿宋_GB2312" w:eastAsia="方正仿宋_GB2312" w:cs="方正仿宋_GB2312"/>
                <w:b w:val="0"/>
                <w:bCs w:val="0"/>
                <w:color w:val="auto"/>
                <w:sz w:val="21"/>
                <w:szCs w:val="21"/>
                <w:vertAlign w:val="baseline"/>
                <w:lang w:val="en-US" w:eastAsia="zh-CN"/>
              </w:rPr>
              <w:t>10</w:t>
            </w:r>
          </w:p>
        </w:tc>
        <w:tc>
          <w:tcPr>
            <w:tcW w:w="1018" w:type="dxa"/>
          </w:tcPr>
          <w:p w14:paraId="7D9D86BB">
            <w:r>
              <w:rPr>
                <w:rFonts w:hint="eastAsia" w:ascii="方正仿宋_GB2312" w:hAnsi="方正仿宋_GB2312" w:eastAsia="方正仿宋_GB2312" w:cs="方正仿宋_GB2312"/>
                <w:b w:val="0"/>
                <w:bCs w:val="0"/>
                <w:color w:val="auto"/>
                <w:sz w:val="21"/>
                <w:szCs w:val="21"/>
                <w:vertAlign w:val="baseline"/>
                <w:lang w:val="en-US" w:eastAsia="zh-CN"/>
              </w:rPr>
              <w:t>刘献成</w:t>
            </w:r>
          </w:p>
        </w:tc>
        <w:tc>
          <w:tcPr>
            <w:tcW w:w="2271" w:type="dxa"/>
          </w:tcPr>
          <w:p w14:paraId="35BC112C">
            <w:r>
              <w:rPr>
                <w:rFonts w:hint="eastAsia" w:ascii="方正仿宋_GB2312" w:hAnsi="方正仿宋_GB2312" w:eastAsia="方正仿宋_GB2312" w:cs="方正仿宋_GB2312"/>
                <w:b w:val="0"/>
                <w:bCs w:val="0"/>
                <w:color w:val="auto"/>
                <w:sz w:val="21"/>
                <w:szCs w:val="21"/>
                <w:vertAlign w:val="baseline"/>
                <w:lang w:val="en-US" w:eastAsia="zh-CN"/>
              </w:rPr>
              <w:t>哈尔滨电工仪表研究所有限公司</w:t>
            </w:r>
          </w:p>
        </w:tc>
        <w:tc>
          <w:tcPr>
            <w:tcW w:w="4303" w:type="dxa"/>
          </w:tcPr>
          <w:p w14:paraId="798C0D83">
            <w:r>
              <w:rPr>
                <w:rFonts w:hint="eastAsia" w:ascii="方正仿宋_GB2312" w:hAnsi="方正仿宋_GB2312" w:eastAsia="方正仿宋_GB2312" w:cs="方正仿宋_GB2312"/>
                <w:b w:val="0"/>
                <w:bCs w:val="0"/>
                <w:color w:val="auto"/>
                <w:sz w:val="21"/>
                <w:szCs w:val="21"/>
                <w:vertAlign w:val="baseline"/>
                <w:lang w:val="en-US" w:eastAsia="zh-CN"/>
              </w:rPr>
              <w:t>中国仪器仪表行业协会电工仪器仪表分会秘书处长；负责标准编制工作的总体组织协调、进度管理，参与全文审查</w:t>
            </w:r>
          </w:p>
        </w:tc>
      </w:tr>
      <w:tr w14:paraId="0367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961F6C9">
            <w:r>
              <w:rPr>
                <w:rFonts w:hint="eastAsia" w:ascii="方正仿宋_GB2312" w:hAnsi="方正仿宋_GB2312" w:eastAsia="方正仿宋_GB2312" w:cs="方正仿宋_GB2312"/>
                <w:b w:val="0"/>
                <w:bCs w:val="0"/>
                <w:color w:val="auto"/>
                <w:sz w:val="21"/>
                <w:szCs w:val="21"/>
                <w:vertAlign w:val="baseline"/>
                <w:lang w:val="en-US" w:eastAsia="zh-CN"/>
              </w:rPr>
              <w:t>11</w:t>
            </w:r>
          </w:p>
        </w:tc>
        <w:tc>
          <w:tcPr>
            <w:tcW w:w="1018" w:type="dxa"/>
          </w:tcPr>
          <w:p w14:paraId="04F1595A">
            <w:r>
              <w:rPr>
                <w:rFonts w:hint="eastAsia" w:ascii="方正仿宋_GB2312" w:hAnsi="方正仿宋_GB2312" w:eastAsia="方正仿宋_GB2312" w:cs="方正仿宋_GB2312"/>
                <w:b w:val="0"/>
                <w:bCs w:val="0"/>
                <w:color w:val="auto"/>
                <w:sz w:val="21"/>
                <w:szCs w:val="21"/>
                <w:vertAlign w:val="baseline"/>
                <w:lang w:val="en-US" w:eastAsia="zh-CN"/>
              </w:rPr>
              <w:t>何珊</w:t>
            </w:r>
          </w:p>
        </w:tc>
        <w:tc>
          <w:tcPr>
            <w:tcW w:w="2271" w:type="dxa"/>
          </w:tcPr>
          <w:p w14:paraId="6A29220C">
            <w:r>
              <w:rPr>
                <w:rFonts w:hint="eastAsia" w:ascii="方正仿宋_GB2312" w:hAnsi="方正仿宋_GB2312" w:eastAsia="方正仿宋_GB2312" w:cs="方正仿宋_GB2312"/>
                <w:b w:val="0"/>
                <w:bCs w:val="0"/>
                <w:color w:val="auto"/>
                <w:sz w:val="21"/>
                <w:szCs w:val="21"/>
                <w:vertAlign w:val="baseline"/>
                <w:lang w:val="en-US" w:eastAsia="zh-CN"/>
              </w:rPr>
              <w:t>哈尔滨电工仪表研究所有限公司</w:t>
            </w:r>
          </w:p>
        </w:tc>
        <w:tc>
          <w:tcPr>
            <w:tcW w:w="4303" w:type="dxa"/>
          </w:tcPr>
          <w:p w14:paraId="49A4256D">
            <w:r>
              <w:rPr>
                <w:rFonts w:hint="eastAsia" w:ascii="方正仿宋_GB2312" w:hAnsi="方正仿宋_GB2312" w:eastAsia="方正仿宋_GB2312" w:cs="方正仿宋_GB2312"/>
                <w:b w:val="0"/>
                <w:bCs w:val="0"/>
                <w:color w:val="auto"/>
                <w:sz w:val="21"/>
                <w:szCs w:val="21"/>
                <w:vertAlign w:val="baseline"/>
                <w:lang w:val="en-US" w:eastAsia="zh-CN"/>
              </w:rPr>
              <w:t>负责第3章"术语和定义"英文术语的核对，参与全文格式审查与参考文献整理</w:t>
            </w:r>
          </w:p>
        </w:tc>
      </w:tr>
      <w:tr w14:paraId="0ED0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13ACC22">
            <w:r>
              <w:rPr>
                <w:rFonts w:hint="eastAsia" w:ascii="方正仿宋_GB2312" w:hAnsi="方正仿宋_GB2312" w:eastAsia="方正仿宋_GB2312" w:cs="方正仿宋_GB2312"/>
                <w:b w:val="0"/>
                <w:bCs w:val="0"/>
                <w:color w:val="auto"/>
                <w:sz w:val="21"/>
                <w:szCs w:val="21"/>
                <w:vertAlign w:val="baseline"/>
                <w:lang w:val="en-US" w:eastAsia="zh-CN"/>
              </w:rPr>
              <w:t>12</w:t>
            </w:r>
          </w:p>
        </w:tc>
        <w:tc>
          <w:tcPr>
            <w:tcW w:w="1018" w:type="dxa"/>
          </w:tcPr>
          <w:p w14:paraId="55C5A84E">
            <w:r>
              <w:rPr>
                <w:rFonts w:hint="eastAsia" w:ascii="方正仿宋_GB2312" w:hAnsi="方正仿宋_GB2312" w:eastAsia="方正仿宋_GB2312" w:cs="方正仿宋_GB2312"/>
                <w:b w:val="0"/>
                <w:bCs w:val="0"/>
                <w:color w:val="auto"/>
                <w:sz w:val="21"/>
                <w:szCs w:val="21"/>
                <w:vertAlign w:val="baseline"/>
                <w:lang w:val="en-US" w:eastAsia="zh-CN"/>
              </w:rPr>
              <w:t>万家乐、蔡家杰</w:t>
            </w:r>
          </w:p>
        </w:tc>
        <w:tc>
          <w:tcPr>
            <w:tcW w:w="2271" w:type="dxa"/>
          </w:tcPr>
          <w:p w14:paraId="76D3444A">
            <w:r>
              <w:rPr>
                <w:rFonts w:hint="eastAsia" w:ascii="方正仿宋_GB2312" w:hAnsi="方正仿宋_GB2312" w:eastAsia="方正仿宋_GB2312" w:cs="方正仿宋_GB2312"/>
                <w:b w:val="0"/>
                <w:bCs w:val="0"/>
                <w:color w:val="auto"/>
                <w:sz w:val="21"/>
                <w:szCs w:val="21"/>
                <w:vertAlign w:val="baseline"/>
                <w:lang w:val="en-US" w:eastAsia="zh-CN"/>
              </w:rPr>
              <w:t>国网电力科学研究院武汉南瑞有限责任公司</w:t>
            </w:r>
          </w:p>
        </w:tc>
        <w:tc>
          <w:tcPr>
            <w:tcW w:w="4303" w:type="dxa"/>
          </w:tcPr>
          <w:p w14:paraId="7964DC85">
            <w:r>
              <w:rPr>
                <w:rFonts w:hint="eastAsia" w:ascii="方正仿宋_GB2312" w:hAnsi="方正仿宋_GB2312" w:eastAsia="方正仿宋_GB2312" w:cs="方正仿宋_GB2312"/>
                <w:b w:val="0"/>
                <w:bCs w:val="0"/>
                <w:color w:val="auto"/>
                <w:sz w:val="21"/>
                <w:szCs w:val="21"/>
                <w:vertAlign w:val="baseline"/>
                <w:lang w:val="en-US" w:eastAsia="zh-CN"/>
              </w:rPr>
              <w:t>参与第5章"技术要求"中5.4电气要求、5.6安全防护功能要求的编写，参与第6章试验方法的编写</w:t>
            </w:r>
          </w:p>
        </w:tc>
      </w:tr>
      <w:tr w14:paraId="1167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480D0F93">
            <w:r>
              <w:rPr>
                <w:rFonts w:hint="eastAsia" w:ascii="方正仿宋_GB2312" w:hAnsi="方正仿宋_GB2312" w:eastAsia="方正仿宋_GB2312" w:cs="方正仿宋_GB2312"/>
                <w:b w:val="0"/>
                <w:bCs w:val="0"/>
                <w:color w:val="auto"/>
                <w:sz w:val="21"/>
                <w:szCs w:val="21"/>
                <w:vertAlign w:val="baseline"/>
                <w:lang w:val="en-US" w:eastAsia="zh-CN"/>
              </w:rPr>
              <w:t>16</w:t>
            </w:r>
          </w:p>
        </w:tc>
        <w:tc>
          <w:tcPr>
            <w:tcW w:w="1018" w:type="dxa"/>
          </w:tcPr>
          <w:p w14:paraId="786F9A13">
            <w:r>
              <w:rPr>
                <w:rFonts w:hint="eastAsia" w:ascii="方正仿宋_GB2312" w:hAnsi="方正仿宋_GB2312" w:eastAsia="方正仿宋_GB2312" w:cs="方正仿宋_GB2312"/>
                <w:b w:val="0"/>
                <w:bCs w:val="0"/>
                <w:color w:val="auto"/>
                <w:sz w:val="21"/>
                <w:szCs w:val="21"/>
                <w:vertAlign w:val="baseline"/>
                <w:lang w:val="en-US" w:eastAsia="zh-CN"/>
              </w:rPr>
              <w:t>陈宇轩</w:t>
            </w:r>
          </w:p>
        </w:tc>
        <w:tc>
          <w:tcPr>
            <w:tcW w:w="2271" w:type="dxa"/>
          </w:tcPr>
          <w:p w14:paraId="35E42B21">
            <w:r>
              <w:rPr>
                <w:rFonts w:hint="eastAsia" w:ascii="方正仿宋_GB2312" w:hAnsi="方正仿宋_GB2312" w:eastAsia="方正仿宋_GB2312" w:cs="方正仿宋_GB2312"/>
                <w:b w:val="0"/>
                <w:bCs w:val="0"/>
                <w:color w:val="auto"/>
                <w:sz w:val="21"/>
                <w:szCs w:val="21"/>
                <w:vertAlign w:val="baseline"/>
                <w:lang w:val="en-US" w:eastAsia="zh-CN"/>
              </w:rPr>
              <w:t>河北海纳电测仪器股份有限公司</w:t>
            </w:r>
          </w:p>
        </w:tc>
        <w:tc>
          <w:tcPr>
            <w:tcW w:w="4303" w:type="dxa"/>
          </w:tcPr>
          <w:p w14:paraId="5A73DB2A">
            <w:r>
              <w:rPr>
                <w:rFonts w:hint="eastAsia" w:ascii="方正仿宋_GB2312" w:hAnsi="方正仿宋_GB2312" w:eastAsia="方正仿宋_GB2312" w:cs="方正仿宋_GB2312"/>
                <w:b w:val="0"/>
                <w:bCs w:val="0"/>
                <w:color w:val="auto"/>
                <w:sz w:val="21"/>
                <w:szCs w:val="21"/>
                <w:vertAlign w:val="baseline"/>
                <w:lang w:val="en-US" w:eastAsia="zh-CN"/>
              </w:rPr>
              <w:t>参与第5章"技术要求"中5.7各单元功能性要求(绝缘耐压测试)和第6章试验方法的编写</w:t>
            </w:r>
          </w:p>
        </w:tc>
      </w:tr>
    </w:tbl>
    <w:p w14:paraId="3FD583B6">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Calibri" w:hAnsi="Calibri" w:eastAsia="宋体" w:cs="Times New Roman"/>
          <w:b/>
          <w:bCs/>
          <w:kern w:val="44"/>
          <w:sz w:val="28"/>
          <w:szCs w:val="28"/>
          <w:highlight w:val="none"/>
          <w:lang w:val="en-US" w:eastAsia="zh-CN" w:bidi="ar-SA"/>
        </w:rPr>
      </w:pPr>
      <w:r>
        <w:rPr>
          <w:rFonts w:hint="eastAsia" w:ascii="Calibri" w:hAnsi="Calibri" w:eastAsia="宋体" w:cs="Times New Roman"/>
          <w:b/>
          <w:bCs/>
          <w:kern w:val="44"/>
          <w:sz w:val="28"/>
          <w:szCs w:val="28"/>
          <w:highlight w:val="none"/>
          <w:lang w:val="en-US" w:eastAsia="zh-CN" w:bidi="ar-SA"/>
        </w:rPr>
        <w:t>二、 标准编制原则和主要技术内容确定的依据</w:t>
      </w:r>
    </w:p>
    <w:p w14:paraId="70133E02">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方正楷体_GB2312" w:hAnsi="方正楷体_GB2312" w:eastAsia="方正楷体_GB2312" w:cs="方正楷体_GB2312"/>
          <w:b w:val="0"/>
          <w:bCs w:val="0"/>
          <w:sz w:val="32"/>
          <w:szCs w:val="32"/>
        </w:rPr>
      </w:pPr>
      <w:r>
        <w:rPr>
          <w:rFonts w:hint="eastAsia" w:ascii="方正楷体_GB2312" w:hAnsi="方正楷体_GB2312" w:eastAsia="方正楷体_GB2312" w:cs="方正楷体_GB2312"/>
          <w:b w:val="0"/>
          <w:bCs w:val="0"/>
          <w:sz w:val="32"/>
          <w:szCs w:val="32"/>
          <w:lang w:val="en-US" w:eastAsia="zh-CN"/>
        </w:rPr>
        <w:t>1.主要阐述标准制定或修订过程遵循的基本原则</w:t>
      </w:r>
    </w:p>
    <w:p w14:paraId="12C9B1E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本标准从实际应用出发，充分考虑了现有相关国家标准和行业标准。编制遵循"统一性、协调性、适用性、一致性、规范性"的原则，注重标准的可操作性，本标准按照GB/T 1.1—2020《标准化工作导则  第1部分：标准化文件的结构和起草规则》的规定进行编写和表述。</w:t>
      </w:r>
    </w:p>
    <w:p w14:paraId="79FAB783">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方正楷体_GB2312" w:hAnsi="方正楷体_GB2312" w:eastAsia="方正楷体_GB2312" w:cs="方正楷体_GB2312"/>
          <w:b w:val="0"/>
          <w:bCs w:val="0"/>
          <w:sz w:val="32"/>
          <w:szCs w:val="32"/>
        </w:rPr>
      </w:pPr>
      <w:r>
        <w:rPr>
          <w:rFonts w:hint="eastAsia" w:ascii="方正楷体_GB2312" w:hAnsi="方正楷体_GB2312" w:eastAsia="方正楷体_GB2312" w:cs="方正楷体_GB2312"/>
          <w:b w:val="0"/>
          <w:bCs w:val="0"/>
          <w:sz w:val="32"/>
          <w:szCs w:val="32"/>
          <w:lang w:val="en-US" w:eastAsia="zh-CN"/>
        </w:rPr>
        <w:t>2.标准主要内容中范围、技术要求、试验方法、检验规则依据</w:t>
      </w:r>
    </w:p>
    <w:p w14:paraId="6FD1D5E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目前国内外没有《电力计量高压互感器自动化检定流水线技术规范》相关国家或行业标准。本标准规定了10kV～35kV电力计量用高压互感器自动化检定流水线（以下简称"高压线"）的组成、技术要求和试验方法。相关参数、指标的设定是依据了应用场景的物理环境条件、电气环境条件，以及相关国家、行业标准制定的，其中术语和定义、组成与范围引用了JJG 313-2010《测量用电流互感器》、JJG 1021-2007《电力互感器检定规程》、DL/T 668-2017《测量用互感器检验装置》和DL/T 1258-2013《互感器校验仪通用技术条件》；工作条件、外观与结构、电气要求、供气要求、噪声要求、安全防护功能要求等引用了GBZ/T 189.8—2007《工作场所物理因素测量 第8部分：噪声》、GB/T 5226.1—2019《机械电气安全 机械电气设备 第1部分：通用技术条件》、GB/T 7932—2017《气动 对系统及其元件的一般规则和安全要求》、GB/T 10892—2021《固定的空气压缩机 安全规则和操作规程》、GB/T 14253—2008《轻工机械通用技术条件》、GB/T 10595—2017《带式输送机》、GB 14784—2013《带式输送机 安全规范》和JB/T 7012—2020《辊子输送机》；技术指标（平均无故障时间、误检率、错检率、稳定性、测量重复性等）参照了自动化检定系统设计指标和国内同类设备运行经验；绝缘耐压测试单元引用了GB/T 16927.1—2011《高电压试验技术 第1部分：一般定义及试验要求》和GB/T 32192—2015《耐电压测试仪》；参考文献[1] DL/T 668-2017《测量用互感器检验装置》和[2] DL/T 1258—2013《互感器校验仪通用技术条件》供使用参考。</w:t>
      </w:r>
    </w:p>
    <w:p w14:paraId="6154F2E1">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Calibri" w:hAnsi="Calibri" w:eastAsia="宋体" w:cs="Times New Roman"/>
          <w:b/>
          <w:bCs/>
          <w:kern w:val="44"/>
          <w:sz w:val="28"/>
          <w:szCs w:val="28"/>
          <w:highlight w:val="none"/>
          <w:lang w:val="en-US" w:eastAsia="zh-CN" w:bidi="ar-SA"/>
        </w:rPr>
      </w:pPr>
      <w:r>
        <w:rPr>
          <w:rFonts w:hint="eastAsia" w:ascii="Calibri" w:hAnsi="Calibri" w:eastAsia="宋体" w:cs="Times New Roman"/>
          <w:b/>
          <w:bCs/>
          <w:kern w:val="44"/>
          <w:sz w:val="28"/>
          <w:szCs w:val="28"/>
          <w:highlight w:val="none"/>
          <w:lang w:val="en-US" w:eastAsia="zh-CN" w:bidi="ar-SA"/>
        </w:rPr>
        <w:t>三、主要试验（或验收）情况</w:t>
      </w:r>
    </w:p>
    <w:p w14:paraId="2ACB2203">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方正楷体_GB2312" w:hAnsi="方正楷体_GB2312" w:eastAsia="方正楷体_GB2312" w:cs="方正楷体_GB2312"/>
          <w:b w:val="0"/>
          <w:bCs w:val="0"/>
          <w:sz w:val="32"/>
          <w:szCs w:val="32"/>
        </w:rPr>
      </w:pPr>
      <w:r>
        <w:rPr>
          <w:rFonts w:hint="eastAsia" w:ascii="方正楷体_GB2312" w:hAnsi="方正楷体_GB2312" w:eastAsia="方正楷体_GB2312" w:cs="方正楷体_GB2312"/>
          <w:b w:val="0"/>
          <w:bCs w:val="0"/>
          <w:sz w:val="32"/>
          <w:szCs w:val="32"/>
          <w:lang w:val="en-US" w:eastAsia="zh-CN"/>
        </w:rPr>
        <w:t>1. 试验概述</w:t>
      </w:r>
    </w:p>
    <w:p w14:paraId="50C391D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电力计量高压互感器自动化检定流水线技术规范》起草过程中，我们对标准中规定的主要技术指标进行了全面的验证试验，以确保标准的准确性和可行性。试验覆盖了高压线本体、自动传输设施和自动试验装置等关键功能模块，包括但不限于工作条件试验、平均无故障时间评估、误检率与错检率试验、稳定性试验、噪声试验、外观与结构试验、电气与供气试验、安全防护功能试验，以及各检定/检测单元（接驳、上下料、托盘输送、外观检测、绝缘耐压、互感器误差测试）的功能性试验等。</w:t>
      </w:r>
    </w:p>
    <w:p w14:paraId="0017D3A8">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方正楷体_GB2312" w:hAnsi="方正楷体_GB2312" w:eastAsia="方正楷体_GB2312" w:cs="方正楷体_GB2312"/>
          <w:b w:val="0"/>
          <w:bCs w:val="0"/>
          <w:sz w:val="32"/>
          <w:szCs w:val="32"/>
        </w:rPr>
      </w:pPr>
      <w:r>
        <w:rPr>
          <w:rFonts w:hint="eastAsia" w:ascii="方正楷体_GB2312" w:hAnsi="方正楷体_GB2312" w:eastAsia="方正楷体_GB2312" w:cs="方正楷体_GB2312"/>
          <w:b w:val="0"/>
          <w:bCs w:val="0"/>
          <w:sz w:val="32"/>
          <w:szCs w:val="32"/>
          <w:lang w:val="en-US" w:eastAsia="zh-CN"/>
        </w:rPr>
        <w:t>2. 试验机构与合作企业</w:t>
      </w:r>
    </w:p>
    <w:p w14:paraId="7503930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试验工作由国网电力科学研究院武汉南瑞有限责任公司、河北海纳电测仪器股份有限公司共同配合开展，上述单位具备先进的自动化检定设备、测试仪器和丰富的现场试验经验，能够提供权威的试验数据支持。</w:t>
      </w:r>
    </w:p>
    <w:p w14:paraId="1DFCBA4F">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方正楷体_GB2312" w:hAnsi="方正楷体_GB2312" w:eastAsia="方正楷体_GB2312" w:cs="方正楷体_GB2312"/>
          <w:b w:val="0"/>
          <w:bCs w:val="0"/>
          <w:sz w:val="32"/>
          <w:szCs w:val="32"/>
        </w:rPr>
      </w:pPr>
      <w:r>
        <w:rPr>
          <w:rFonts w:hint="eastAsia" w:ascii="方正楷体_GB2312" w:hAnsi="方正楷体_GB2312" w:eastAsia="方正楷体_GB2312" w:cs="方正楷体_GB2312"/>
          <w:b w:val="0"/>
          <w:bCs w:val="0"/>
          <w:sz w:val="32"/>
          <w:szCs w:val="32"/>
          <w:lang w:val="en-US" w:eastAsia="zh-CN"/>
        </w:rPr>
        <w:t>3. 具体试验项目</w:t>
      </w:r>
    </w:p>
    <w:p w14:paraId="06E34C0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3.1 工作条件试验：按照本标准5.1规定的环境条件，验证高压线在温度10℃～40℃、相对湿度不大于95%环境下的运行稳定性。</w:t>
      </w:r>
    </w:p>
    <w:p w14:paraId="5DFC2AA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3.2 平均无故障时间评估：在检定系统正常运行后，分别按致命失效和非致命失效统计检定系统和各功能单元的无故障连续运行时间，按照本标准6.2.1规定的方法进行评估。</w:t>
      </w:r>
    </w:p>
    <w:p w14:paraId="609CE1A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3.3 误检率与错检率试验：按照本标准6.2.2和6.2.3规定的方法，分别使用不少于100台合格样品和不少于20台不合格样品，在额定速度运转情况下重复10次试验进行计算。</w:t>
      </w:r>
    </w:p>
    <w:p w14:paraId="0BDDA95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3.4 噪声试验：按照GBZ/T 189.8—2007规定的方法进行测定。</w:t>
      </w:r>
    </w:p>
    <w:p w14:paraId="4F5927A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3.5 稳定性试验：按照本标准5.2.5规定的方法，验证水线预热时间、连续工作8h稳定性误差和测量重复性。</w:t>
      </w:r>
    </w:p>
    <w:p w14:paraId="6445ECD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3.6 外观与结构试验：目测法检查高压线外观、平整度、铭牌与标志等。</w:t>
      </w:r>
    </w:p>
    <w:p w14:paraId="0B9FEA5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3.7 电气与供气试验：按GB/T 5226.1—2019规定的方法检验供电电源、接地电阻；按GB/T 10892—2021、GB/T 7932—2017规定的方法检验供气系统。</w:t>
      </w:r>
    </w:p>
    <w:p w14:paraId="392E2FC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3.8 安全防护功能试验：急停、安全联锁、警示标识、接地保护等防护措施按本标准6.5规定的方法逐项检查。</w:t>
      </w:r>
    </w:p>
    <w:p w14:paraId="34C1499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3.9 接驳单元功能性试验：按本标准6.7.1规定的方法，验证周转箱接驳、扫描、上传等功能。</w:t>
      </w:r>
    </w:p>
    <w:p w14:paraId="1A8E9BD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3.10 上下料单元功能性试验：按本标准6.7.2规定的方法，验证互感器自动抓取、放置、节拍及故障切换等功能。</w:t>
      </w:r>
    </w:p>
    <w:p w14:paraId="418ED31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3.11 托盘输送单元功能性试验：按本标准6.7.3规定的方法，验证输送、缓冲、分拣、防跌落、紧急停止等功能。</w:t>
      </w:r>
    </w:p>
    <w:p w14:paraId="239BB27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3.12 外观检测单元功能性试验：按本标准6.7.4规定的方法，验证铭牌、极性白点、接线标志拍照识别等功能。</w:t>
      </w:r>
    </w:p>
    <w:p w14:paraId="04CCF52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3.13 绝缘耐压测试单元功能性试验：按本标准6.7.5规定的方法，验证工频耐压和绝缘电阻测试的自动接线、量程切换、判定与告警等功能。</w:t>
      </w:r>
    </w:p>
    <w:p w14:paraId="04218C8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3.14 电压互感器误差测试单元功能性试验：按本标准6.7.6规定的方法，以0.2级电压互感器为样品进行基本误差测量，偏差应不超过被检互感器误差限值的1/4。</w:t>
      </w:r>
    </w:p>
    <w:p w14:paraId="5216E68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3.15 电流互感器误差测试单元功能性试验：按本标准6.7.7规定的方法，以0.2S级电流互感器为样品进行基本误差测量，偏差应不超过被检互感器误差限值的1/4。</w:t>
      </w:r>
    </w:p>
    <w:p w14:paraId="6B52446C">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方正楷体_GB2312" w:hAnsi="方正楷体_GB2312" w:eastAsia="方正楷体_GB2312" w:cs="方正楷体_GB2312"/>
          <w:b w:val="0"/>
          <w:bCs w:val="0"/>
          <w:sz w:val="32"/>
          <w:szCs w:val="32"/>
        </w:rPr>
      </w:pPr>
      <w:r>
        <w:rPr>
          <w:rFonts w:hint="eastAsia" w:ascii="方正楷体_GB2312" w:hAnsi="方正楷体_GB2312" w:eastAsia="方正楷体_GB2312" w:cs="方正楷体_GB2312"/>
          <w:b w:val="0"/>
          <w:bCs w:val="0"/>
          <w:sz w:val="32"/>
          <w:szCs w:val="32"/>
          <w:lang w:val="en-US" w:eastAsia="zh-CN"/>
        </w:rPr>
        <w:t>4. 试验结果与分析</w:t>
      </w:r>
    </w:p>
    <w:tbl>
      <w:tblPr>
        <w:tblStyle w:val="16"/>
        <w:tblW w:w="87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353"/>
        <w:gridCol w:w="5392"/>
      </w:tblGrid>
      <w:tr w14:paraId="44368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gridSpan w:val="2"/>
            <w:vAlign w:val="center"/>
          </w:tcPr>
          <w:p w14:paraId="14007C99">
            <w:r>
              <w:rPr>
                <w:rFonts w:hint="default" w:ascii="Times New Roman" w:hAnsi="Times New Roman" w:eastAsia="方正仿宋_GB2312" w:cs="Times New Roman"/>
                <w:bCs/>
                <w:sz w:val="21"/>
                <w:szCs w:val="21"/>
              </w:rPr>
              <w:t>电力计量高压互感器自动化检定流水线</w:t>
            </w:r>
          </w:p>
        </w:tc>
      </w:tr>
      <w:tr w14:paraId="383B24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6B8FF9E2">
            <w:r>
              <w:rPr>
                <w:rFonts w:hint="default" w:ascii="Times New Roman" w:hAnsi="Times New Roman" w:eastAsia="方正仿宋_GB2312" w:cs="Times New Roman"/>
                <w:bCs/>
                <w:sz w:val="21"/>
                <w:szCs w:val="21"/>
              </w:rPr>
              <w:t>被测对象</w:t>
            </w:r>
          </w:p>
        </w:tc>
        <w:tc>
          <w:tcPr>
            <w:tcW w:w="5392" w:type="dxa"/>
            <w:vAlign w:val="center"/>
          </w:tcPr>
          <w:p w14:paraId="526A5410">
            <w:r>
              <w:rPr>
                <w:rFonts w:hint="default" w:ascii="Times New Roman" w:hAnsi="Times New Roman" w:eastAsia="方正仿宋_GB2312" w:cs="Times New Roman"/>
                <w:bCs/>
                <w:sz w:val="21"/>
                <w:szCs w:val="21"/>
              </w:rPr>
              <w:t>内蒙古电力（集团）有限责任公司电能计量分公司高压线示范工程（含10kV、35kV电压等级电流/电压互感器检定）</w:t>
            </w:r>
          </w:p>
        </w:tc>
      </w:tr>
      <w:tr w14:paraId="54293E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0816F6C7">
            <w:r>
              <w:rPr>
                <w:rFonts w:hint="default" w:ascii="Times New Roman" w:hAnsi="Times New Roman" w:eastAsia="方正仿宋_GB2312" w:cs="Times New Roman"/>
                <w:bCs/>
                <w:sz w:val="21"/>
                <w:szCs w:val="21"/>
              </w:rPr>
              <w:t>测试条件</w:t>
            </w:r>
          </w:p>
        </w:tc>
        <w:tc>
          <w:tcPr>
            <w:tcW w:w="5392" w:type="dxa"/>
            <w:vAlign w:val="center"/>
          </w:tcPr>
          <w:p w14:paraId="1352D4E6">
            <w:r>
              <w:rPr>
                <w:rFonts w:hint="default" w:ascii="Times New Roman" w:hAnsi="Times New Roman" w:eastAsia="方正仿宋_GB2312" w:cs="Times New Roman"/>
                <w:bCs/>
                <w:sz w:val="21"/>
                <w:szCs w:val="21"/>
              </w:rPr>
              <w:t>设备正常开机运行，环境温度10℃～40℃、相对湿度≤95%</w:t>
            </w:r>
          </w:p>
        </w:tc>
      </w:tr>
      <w:tr w14:paraId="06439A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49E7181A">
            <w:r>
              <w:rPr>
                <w:rFonts w:hint="default" w:ascii="Times New Roman" w:hAnsi="Times New Roman" w:eastAsia="方正仿宋_GB2312" w:cs="Times New Roman"/>
                <w:bCs/>
                <w:sz w:val="21"/>
                <w:szCs w:val="21"/>
              </w:rPr>
              <w:t>试验项</w:t>
            </w:r>
          </w:p>
        </w:tc>
        <w:tc>
          <w:tcPr>
            <w:tcW w:w="5392" w:type="dxa"/>
            <w:vAlign w:val="center"/>
          </w:tcPr>
          <w:p w14:paraId="226AFEBF">
            <w:r>
              <w:rPr>
                <w:rFonts w:hint="default" w:ascii="Times New Roman" w:hAnsi="Times New Roman" w:eastAsia="方正仿宋_GB2312" w:cs="Times New Roman"/>
                <w:bCs/>
                <w:sz w:val="21"/>
                <w:szCs w:val="21"/>
              </w:rPr>
              <w:t>试验结果</w:t>
            </w:r>
          </w:p>
        </w:tc>
      </w:tr>
      <w:tr w14:paraId="3EA15F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5EDBAF77">
            <w:r>
              <w:rPr>
                <w:rFonts w:hint="default" w:ascii="Times New Roman" w:hAnsi="Times New Roman" w:eastAsia="方正仿宋_GB2312" w:cs="Times New Roman"/>
                <w:bCs/>
                <w:sz w:val="21"/>
                <w:szCs w:val="21"/>
              </w:rPr>
              <w:t>工作条件试验</w:t>
            </w:r>
          </w:p>
        </w:tc>
        <w:tc>
          <w:tcPr>
            <w:tcW w:w="5392" w:type="dxa"/>
            <w:vAlign w:val="center"/>
          </w:tcPr>
          <w:p w14:paraId="5F1D02AF">
            <w:r>
              <w:rPr>
                <w:rFonts w:hint="default" w:ascii="Times New Roman" w:hAnsi="Times New Roman" w:eastAsia="方正仿宋_GB2312" w:cs="Times New Roman"/>
                <w:bCs/>
                <w:sz w:val="21"/>
                <w:szCs w:val="21"/>
              </w:rPr>
              <w:t>在温度10℃～40℃、相对湿度≤95%环境下设备工作正常，符合工作条件要求</w:t>
            </w:r>
          </w:p>
        </w:tc>
      </w:tr>
      <w:tr w14:paraId="7F2A7C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48F2F77A">
            <w:r>
              <w:rPr>
                <w:rFonts w:hint="default" w:ascii="Times New Roman" w:hAnsi="Times New Roman" w:eastAsia="方正仿宋_GB2312" w:cs="Times New Roman"/>
                <w:bCs/>
                <w:sz w:val="21"/>
                <w:szCs w:val="21"/>
              </w:rPr>
              <w:t>平均无故障时间评估</w:t>
            </w:r>
          </w:p>
        </w:tc>
        <w:tc>
          <w:tcPr>
            <w:tcW w:w="5392" w:type="dxa"/>
            <w:vAlign w:val="center"/>
          </w:tcPr>
          <w:p w14:paraId="35E43C59">
            <w:r>
              <w:rPr>
                <w:rFonts w:hint="default" w:ascii="Times New Roman" w:hAnsi="Times New Roman" w:eastAsia="方正仿宋_GB2312" w:cs="Times New Roman"/>
                <w:bCs/>
                <w:sz w:val="21"/>
                <w:szCs w:val="21"/>
              </w:rPr>
              <w:t>系统累计有效运行时间达到要求，MTBF≥2800h</w:t>
            </w:r>
          </w:p>
        </w:tc>
      </w:tr>
      <w:tr w14:paraId="5A8774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4D976373">
            <w:r>
              <w:rPr>
                <w:rFonts w:hint="default" w:ascii="Times New Roman" w:hAnsi="Times New Roman" w:eastAsia="方正仿宋_GB2312" w:cs="Times New Roman"/>
                <w:bCs/>
                <w:sz w:val="21"/>
                <w:szCs w:val="21"/>
              </w:rPr>
              <w:t>误检率试验</w:t>
            </w:r>
          </w:p>
        </w:tc>
        <w:tc>
          <w:tcPr>
            <w:tcW w:w="5392" w:type="dxa"/>
            <w:vAlign w:val="center"/>
          </w:tcPr>
          <w:p w14:paraId="6A5B181D">
            <w:r>
              <w:rPr>
                <w:rFonts w:hint="default" w:ascii="Times New Roman" w:hAnsi="Times New Roman" w:eastAsia="方正仿宋_GB2312" w:cs="Times New Roman"/>
                <w:bCs/>
                <w:sz w:val="21"/>
                <w:szCs w:val="21"/>
              </w:rPr>
              <w:t>误检率&lt;0.5%，满足要求</w:t>
            </w:r>
          </w:p>
        </w:tc>
      </w:tr>
      <w:tr w14:paraId="124CED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2D451188">
            <w:r>
              <w:rPr>
                <w:rFonts w:hint="default" w:ascii="Times New Roman" w:hAnsi="Times New Roman" w:eastAsia="方正仿宋_GB2312" w:cs="Times New Roman"/>
                <w:bCs/>
                <w:sz w:val="21"/>
                <w:szCs w:val="21"/>
              </w:rPr>
              <w:t>错检率试验</w:t>
            </w:r>
          </w:p>
        </w:tc>
        <w:tc>
          <w:tcPr>
            <w:tcW w:w="5392" w:type="dxa"/>
            <w:vAlign w:val="center"/>
          </w:tcPr>
          <w:p w14:paraId="27377318">
            <w:r>
              <w:rPr>
                <w:rFonts w:hint="default" w:ascii="Times New Roman" w:hAnsi="Times New Roman" w:eastAsia="方正仿宋_GB2312" w:cs="Times New Roman"/>
                <w:bCs/>
                <w:sz w:val="21"/>
                <w:szCs w:val="21"/>
              </w:rPr>
              <w:t>错检率为0%，满足要求</w:t>
            </w:r>
          </w:p>
        </w:tc>
      </w:tr>
      <w:tr w14:paraId="775E37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724B54C7">
            <w:r>
              <w:rPr>
                <w:rFonts w:hint="default" w:ascii="Times New Roman" w:hAnsi="Times New Roman" w:eastAsia="方正仿宋_GB2312" w:cs="Times New Roman"/>
                <w:bCs/>
                <w:sz w:val="21"/>
                <w:szCs w:val="21"/>
              </w:rPr>
              <w:t>噪声试验</w:t>
            </w:r>
          </w:p>
        </w:tc>
        <w:tc>
          <w:tcPr>
            <w:tcW w:w="5392" w:type="dxa"/>
            <w:vAlign w:val="center"/>
          </w:tcPr>
          <w:p w14:paraId="25F53400">
            <w:r>
              <w:rPr>
                <w:rFonts w:hint="default" w:ascii="Times New Roman" w:hAnsi="Times New Roman" w:eastAsia="方正仿宋_GB2312" w:cs="Times New Roman"/>
                <w:bCs/>
                <w:sz w:val="21"/>
                <w:szCs w:val="21"/>
              </w:rPr>
              <w:t>最大等效声级符合GBZ/T 189.8—2007中表B.1的接触限值</w:t>
            </w:r>
          </w:p>
        </w:tc>
      </w:tr>
      <w:tr w14:paraId="64EABF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30D4AC89">
            <w:r>
              <w:rPr>
                <w:rFonts w:hint="default" w:ascii="Times New Roman" w:hAnsi="Times New Roman" w:eastAsia="方正仿宋_GB2312" w:cs="Times New Roman"/>
                <w:bCs/>
                <w:sz w:val="21"/>
                <w:szCs w:val="21"/>
              </w:rPr>
              <w:t>稳定性试验</w:t>
            </w:r>
          </w:p>
        </w:tc>
        <w:tc>
          <w:tcPr>
            <w:tcW w:w="5392" w:type="dxa"/>
            <w:vAlign w:val="center"/>
          </w:tcPr>
          <w:p w14:paraId="6FF18252">
            <w:r>
              <w:rPr>
                <w:rFonts w:hint="default" w:ascii="Times New Roman" w:hAnsi="Times New Roman" w:eastAsia="方正仿宋_GB2312" w:cs="Times New Roman"/>
                <w:bCs/>
                <w:sz w:val="21"/>
                <w:szCs w:val="21"/>
              </w:rPr>
              <w:t>水线预热时间≤20min；连续工作8h稳定性误差和测量重复性均满足要求</w:t>
            </w:r>
          </w:p>
        </w:tc>
      </w:tr>
      <w:tr w14:paraId="7B5AE5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4164E932">
            <w:r>
              <w:rPr>
                <w:rFonts w:hint="default" w:ascii="Times New Roman" w:hAnsi="Times New Roman" w:eastAsia="方正仿宋_GB2312" w:cs="Times New Roman"/>
                <w:bCs/>
                <w:sz w:val="21"/>
                <w:szCs w:val="21"/>
              </w:rPr>
              <w:t>外观与结构检查</w:t>
            </w:r>
          </w:p>
        </w:tc>
        <w:tc>
          <w:tcPr>
            <w:tcW w:w="5392" w:type="dxa"/>
            <w:vAlign w:val="center"/>
          </w:tcPr>
          <w:p w14:paraId="1CC7E9C0">
            <w:r>
              <w:rPr>
                <w:rFonts w:hint="default" w:ascii="Times New Roman" w:hAnsi="Times New Roman" w:eastAsia="方正仿宋_GB2312" w:cs="Times New Roman"/>
                <w:bCs/>
                <w:sz w:val="21"/>
                <w:szCs w:val="21"/>
              </w:rPr>
              <w:t>壳体平整无毛刺，铭牌、标志完整，符合外观与结构要求</w:t>
            </w:r>
          </w:p>
        </w:tc>
      </w:tr>
      <w:tr w14:paraId="047FDA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2C20EB98">
            <w:r>
              <w:rPr>
                <w:rFonts w:hint="default" w:ascii="Times New Roman" w:hAnsi="Times New Roman" w:eastAsia="方正仿宋_GB2312" w:cs="Times New Roman"/>
                <w:bCs/>
                <w:sz w:val="21"/>
                <w:szCs w:val="21"/>
              </w:rPr>
              <w:t>电气与供气试验</w:t>
            </w:r>
          </w:p>
        </w:tc>
        <w:tc>
          <w:tcPr>
            <w:tcW w:w="5392" w:type="dxa"/>
            <w:vAlign w:val="center"/>
          </w:tcPr>
          <w:p w14:paraId="13608AF8">
            <w:r>
              <w:rPr>
                <w:rFonts w:hint="default" w:ascii="Times New Roman" w:hAnsi="Times New Roman" w:eastAsia="方正仿宋_GB2312" w:cs="Times New Roman"/>
                <w:bCs/>
                <w:sz w:val="21"/>
                <w:szCs w:val="21"/>
              </w:rPr>
              <w:t>供电电源、接地电阻、供气系统满足相关标准要求</w:t>
            </w:r>
          </w:p>
        </w:tc>
      </w:tr>
      <w:tr w14:paraId="04DD38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6C65DD47">
            <w:r>
              <w:rPr>
                <w:rFonts w:hint="default" w:ascii="Times New Roman" w:hAnsi="Times New Roman" w:eastAsia="方正仿宋_GB2312" w:cs="Times New Roman"/>
                <w:bCs/>
                <w:sz w:val="21"/>
                <w:szCs w:val="21"/>
              </w:rPr>
              <w:t>安全防护功能试验</w:t>
            </w:r>
          </w:p>
        </w:tc>
        <w:tc>
          <w:tcPr>
            <w:tcW w:w="5392" w:type="dxa"/>
            <w:vAlign w:val="center"/>
          </w:tcPr>
          <w:p w14:paraId="09B1D9A0">
            <w:r>
              <w:rPr>
                <w:rFonts w:hint="default" w:ascii="Times New Roman" w:hAnsi="Times New Roman" w:eastAsia="方正仿宋_GB2312" w:cs="Times New Roman"/>
                <w:bCs/>
                <w:sz w:val="21"/>
                <w:szCs w:val="21"/>
              </w:rPr>
              <w:t>急停、安全联锁、警示标识、接地保护等防护措施有效，满足要求</w:t>
            </w:r>
          </w:p>
        </w:tc>
      </w:tr>
      <w:tr w14:paraId="6A350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2E575A7F">
            <w:r>
              <w:rPr>
                <w:rFonts w:hint="default" w:ascii="Times New Roman" w:hAnsi="Times New Roman" w:eastAsia="方正仿宋_GB2312" w:cs="Times New Roman"/>
                <w:bCs/>
                <w:sz w:val="21"/>
                <w:szCs w:val="21"/>
              </w:rPr>
              <w:t>接驳单元功能性试验</w:t>
            </w:r>
          </w:p>
        </w:tc>
        <w:tc>
          <w:tcPr>
            <w:tcW w:w="5392" w:type="dxa"/>
            <w:vAlign w:val="center"/>
          </w:tcPr>
          <w:p w14:paraId="30573F49">
            <w:r>
              <w:rPr>
                <w:rFonts w:hint="default" w:ascii="Times New Roman" w:hAnsi="Times New Roman" w:eastAsia="方正仿宋_GB2312" w:cs="Times New Roman"/>
                <w:bCs/>
                <w:sz w:val="21"/>
                <w:szCs w:val="21"/>
              </w:rPr>
              <w:t>周转箱接驳、箱号扫描与上传等功能满足要求</w:t>
            </w:r>
          </w:p>
        </w:tc>
      </w:tr>
      <w:tr w14:paraId="1A57F2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2E9B595D">
            <w:r>
              <w:rPr>
                <w:rFonts w:hint="default" w:ascii="Times New Roman" w:hAnsi="Times New Roman" w:eastAsia="方正仿宋_GB2312" w:cs="Times New Roman"/>
                <w:bCs/>
                <w:sz w:val="21"/>
                <w:szCs w:val="21"/>
              </w:rPr>
              <w:t>上下料单元功能性试验</w:t>
            </w:r>
          </w:p>
        </w:tc>
        <w:tc>
          <w:tcPr>
            <w:tcW w:w="5392" w:type="dxa"/>
            <w:vAlign w:val="center"/>
          </w:tcPr>
          <w:p w14:paraId="6B1F3CFF">
            <w:r>
              <w:rPr>
                <w:rFonts w:hint="default" w:ascii="Times New Roman" w:hAnsi="Times New Roman" w:eastAsia="方正仿宋_GB2312" w:cs="Times New Roman"/>
                <w:bCs/>
                <w:sz w:val="21"/>
                <w:szCs w:val="21"/>
              </w:rPr>
              <w:t>自动抓取、放置、节拍、异常跳过与手动切换等功能满足要求</w:t>
            </w:r>
          </w:p>
        </w:tc>
      </w:tr>
      <w:tr w14:paraId="71E2DB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68F29DA6">
            <w:r>
              <w:rPr>
                <w:rFonts w:hint="default" w:ascii="Times New Roman" w:hAnsi="Times New Roman" w:eastAsia="方正仿宋_GB2312" w:cs="Times New Roman"/>
                <w:bCs/>
                <w:sz w:val="21"/>
                <w:szCs w:val="21"/>
              </w:rPr>
              <w:t>托盘输送单元功能性试验</w:t>
            </w:r>
          </w:p>
        </w:tc>
        <w:tc>
          <w:tcPr>
            <w:tcW w:w="5392" w:type="dxa"/>
            <w:vAlign w:val="center"/>
          </w:tcPr>
          <w:p w14:paraId="0859F583">
            <w:r>
              <w:rPr>
                <w:rFonts w:hint="default" w:ascii="Times New Roman" w:hAnsi="Times New Roman" w:eastAsia="方正仿宋_GB2312" w:cs="Times New Roman"/>
                <w:bCs/>
                <w:sz w:val="21"/>
                <w:szCs w:val="21"/>
              </w:rPr>
              <w:t>输送、缓冲、分拣、防跌落、紧急停止等功能满足要求</w:t>
            </w:r>
          </w:p>
        </w:tc>
      </w:tr>
      <w:tr w14:paraId="2AA8A4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39DA5941">
            <w:r>
              <w:rPr>
                <w:rFonts w:hint="default" w:ascii="Times New Roman" w:hAnsi="Times New Roman" w:eastAsia="方正仿宋_GB2312" w:cs="Times New Roman"/>
                <w:bCs/>
                <w:sz w:val="21"/>
                <w:szCs w:val="21"/>
              </w:rPr>
              <w:t>外观检测单元功能性试验</w:t>
            </w:r>
          </w:p>
        </w:tc>
        <w:tc>
          <w:tcPr>
            <w:tcW w:w="5392" w:type="dxa"/>
            <w:vAlign w:val="center"/>
          </w:tcPr>
          <w:p w14:paraId="716FE728">
            <w:r>
              <w:rPr>
                <w:rFonts w:hint="default" w:ascii="Times New Roman" w:hAnsi="Times New Roman" w:eastAsia="方正仿宋_GB2312" w:cs="Times New Roman"/>
                <w:bCs/>
                <w:sz w:val="21"/>
                <w:szCs w:val="21"/>
              </w:rPr>
              <w:t>铭牌、极性白点、接线标志拍照识别准确，满足要求</w:t>
            </w:r>
          </w:p>
        </w:tc>
      </w:tr>
      <w:tr w14:paraId="7AD57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0AB07B11">
            <w:r>
              <w:rPr>
                <w:rFonts w:hint="default" w:ascii="Times New Roman" w:hAnsi="Times New Roman" w:eastAsia="方正仿宋_GB2312" w:cs="Times New Roman"/>
                <w:bCs/>
                <w:sz w:val="21"/>
                <w:szCs w:val="21"/>
              </w:rPr>
              <w:t>绝缘耐压测试单元功能性试验</w:t>
            </w:r>
          </w:p>
        </w:tc>
        <w:tc>
          <w:tcPr>
            <w:tcW w:w="5392" w:type="dxa"/>
            <w:vAlign w:val="center"/>
          </w:tcPr>
          <w:p w14:paraId="265EF849">
            <w:r>
              <w:rPr>
                <w:rFonts w:hint="default" w:ascii="Times New Roman" w:hAnsi="Times New Roman" w:eastAsia="方正仿宋_GB2312" w:cs="Times New Roman"/>
                <w:bCs/>
                <w:sz w:val="21"/>
                <w:szCs w:val="21"/>
              </w:rPr>
              <w:t>工频耐压、绝缘电阻自动测试、判定与告警等功能满足要求</w:t>
            </w:r>
          </w:p>
        </w:tc>
      </w:tr>
      <w:tr w14:paraId="53B65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0CFB3286">
            <w:r>
              <w:rPr>
                <w:rFonts w:hint="default" w:ascii="Times New Roman" w:hAnsi="Times New Roman" w:eastAsia="方正仿宋_GB2312" w:cs="Times New Roman"/>
                <w:bCs/>
                <w:sz w:val="21"/>
                <w:szCs w:val="21"/>
              </w:rPr>
              <w:t>互感器误差测试单元功能性试验</w:t>
            </w:r>
          </w:p>
        </w:tc>
        <w:tc>
          <w:tcPr>
            <w:tcW w:w="5392" w:type="dxa"/>
            <w:vAlign w:val="center"/>
          </w:tcPr>
          <w:p w14:paraId="7D0F4EB7">
            <w:r>
              <w:rPr>
                <w:rFonts w:hint="default" w:ascii="Times New Roman" w:hAnsi="Times New Roman" w:eastAsia="方正仿宋_GB2312" w:cs="Times New Roman"/>
                <w:bCs/>
                <w:sz w:val="21"/>
                <w:szCs w:val="21"/>
              </w:rPr>
              <w:t>电压/电流互感器误差测量结果与人工检定偏差不超过被检互感器误差限值的1/4，满足要求</w:t>
            </w:r>
          </w:p>
        </w:tc>
      </w:tr>
    </w:tbl>
    <w:p w14:paraId="47E119E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所有参与试验的单位均提供了详细的试验报告，证实了高压线在组成、技术要求和试验方法等方面的各项技术指标符合或超过预期目标。试验结果表明，高压线能够在复杂多变的环境中稳定运行，具备良好的环境适应性、机械耐用性、电气安全性和计量准确性，同时确保了操作人员的安全，并为后续标准的发布与实施提供了可量化的验证数据支撑。</w:t>
      </w:r>
    </w:p>
    <w:p w14:paraId="551FFAB6">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Calibri" w:hAnsi="Calibri" w:eastAsia="宋体" w:cs="Times New Roman"/>
          <w:b/>
          <w:bCs/>
          <w:kern w:val="44"/>
          <w:sz w:val="28"/>
          <w:szCs w:val="28"/>
          <w:highlight w:val="none"/>
          <w:lang w:val="en-US" w:eastAsia="zh-CN" w:bidi="ar-SA"/>
        </w:rPr>
      </w:pPr>
      <w:r>
        <w:rPr>
          <w:rFonts w:hint="eastAsia" w:ascii="Calibri" w:hAnsi="Calibri" w:eastAsia="宋体" w:cs="Times New Roman"/>
          <w:b/>
          <w:bCs/>
          <w:kern w:val="44"/>
          <w:sz w:val="28"/>
          <w:szCs w:val="28"/>
          <w:highlight w:val="none"/>
          <w:lang w:val="en-US" w:eastAsia="zh-CN" w:bidi="ar-SA"/>
        </w:rPr>
        <w:t>四、 标准涉及专利情况</w:t>
      </w:r>
    </w:p>
    <w:p w14:paraId="2022B32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本文件不涉及任何专利问题（知识产权方面，未发现侵权方案，部分技术通过优化规避风险）。</w:t>
      </w:r>
    </w:p>
    <w:p w14:paraId="63F23539">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Calibri" w:hAnsi="Calibri" w:eastAsia="宋体" w:cs="Times New Roman"/>
          <w:b/>
          <w:bCs/>
          <w:kern w:val="44"/>
          <w:sz w:val="28"/>
          <w:szCs w:val="28"/>
          <w:highlight w:val="none"/>
          <w:lang w:val="en-US" w:eastAsia="zh-CN" w:bidi="ar-SA"/>
        </w:rPr>
      </w:pPr>
      <w:r>
        <w:rPr>
          <w:rFonts w:hint="eastAsia" w:ascii="Calibri" w:hAnsi="Calibri" w:eastAsia="宋体" w:cs="Times New Roman"/>
          <w:b/>
          <w:bCs/>
          <w:kern w:val="44"/>
          <w:sz w:val="28"/>
          <w:szCs w:val="28"/>
          <w:highlight w:val="none"/>
          <w:lang w:val="en-US" w:eastAsia="zh-CN" w:bidi="ar-SA"/>
        </w:rPr>
        <w:t>五、 预期达到的社会效益、对产业发展的作用</w:t>
      </w:r>
    </w:p>
    <w:p w14:paraId="4D960F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本标准规定了10kV～35kV电力计量高压互感器自动化检定流水线的组成、技术要求和试验方法等内容，且适用于高压线设备制造商设计研发、电力计量检定机构与电网公司计量中心用于规模化检定与质量控制。</w:t>
      </w:r>
    </w:p>
    <w:p w14:paraId="1060CE6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社会效益：保障电力计量公平，维护市场秩序与用户权益。本标准通过统一10kV～35kV电力计量高压互感器自动化检定流水线在组成、技术要求和试验方法等方面的技术要求，从源头确保了高压互感器检定结果的一致性、准确性与可追溯性，显著降低因检定装置差异或人工操作失误造成的计量误差，有效保障电力贸易结算的公平公正，切实维护发电、电网及用电各方的合法权益。支撑新型电力系统建设，助力电网数字化转型。</w:t>
      </w:r>
    </w:p>
    <w:p w14:paraId="691D6E8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标准对产业发展的作用：驱动技术升级与产品创新，提升行业核心竞争力。本标准对接驳、上下料、托盘输送、外观检测、绝缘耐压、互感器误差测试等核心单元提出了明确且先进的功能性与可靠性要求，将使相关设备制造商加大研发投入，突破自动化接驳、智能机器人上下料、机器视觉检测、并行检定等关键技术瓶颈，推动产品向高性能、智能化、网络化方向升级，从而提升我国在电力计量自动化装备领域的整体技术水平和国际竞争力。规范市场准入与竞争秩序，引导行业高质量发展。通过建立统一的技术门槛和检验依据，本标准能够有效规范高压互感器自动化检定流水线市场，将淘汰技术落后、质量不达标的产品，引导企业从低层次的价格竞争转向以技术、质量和服务为核心的高质量竞争。透明的标准也有利于用户选型采购和监管，促进资源向优质企业集中，形成良性发展的产业生态。拉动关联产业发展，构建协同共赢的产业链。本标准的实施不仅直接利好于高压线设备制造商，还将向上游拉动高精密机械、伺服驱动、机器视觉、机器人等行业的需求，向下游催生专业的检定运维、数据服务、智能仓储等新兴服务业态，构建起从核心部件、整机制造到系统集成与数据服务的完整产业链，为产业发展注入新动能。</w:t>
      </w:r>
    </w:p>
    <w:p w14:paraId="51CDB095">
      <w:pPr>
        <w:pStyle w:val="2"/>
        <w:rPr>
          <w:rFonts w:hint="eastAsia"/>
          <w:sz w:val="28"/>
          <w:szCs w:val="28"/>
          <w:highlight w:val="none"/>
        </w:rPr>
      </w:pPr>
      <w:r>
        <w:rPr>
          <w:rFonts w:hint="eastAsia"/>
          <w:sz w:val="28"/>
          <w:szCs w:val="28"/>
          <w:highlight w:val="none"/>
        </w:rPr>
        <w:t>六、标准与现有标准、制定中标准的协调配套情况</w:t>
      </w:r>
    </w:p>
    <w:p w14:paraId="70772323">
      <w:pPr>
        <w:spacing w:line="360" w:lineRule="auto"/>
        <w:ind w:firstLine="480" w:firstLineChars="200"/>
        <w:rPr>
          <w:sz w:val="24"/>
          <w:szCs w:val="24"/>
          <w:highlight w:val="none"/>
        </w:rPr>
      </w:pPr>
      <w:r>
        <w:rPr>
          <w:sz w:val="24"/>
          <w:szCs w:val="24"/>
          <w:highlight w:val="none"/>
        </w:rPr>
        <w:t>与现有标准、制定中的标准没有矛盾。</w:t>
      </w:r>
    </w:p>
    <w:p w14:paraId="4FC04188">
      <w:pPr>
        <w:pStyle w:val="2"/>
        <w:rPr>
          <w:rFonts w:hint="eastAsia"/>
          <w:sz w:val="28"/>
          <w:szCs w:val="28"/>
          <w:highlight w:val="none"/>
          <w:lang w:val="zh-CN"/>
        </w:rPr>
      </w:pPr>
      <w:r>
        <w:rPr>
          <w:rFonts w:hint="eastAsia"/>
          <w:sz w:val="28"/>
          <w:szCs w:val="28"/>
          <w:highlight w:val="none"/>
          <w:lang w:val="zh-CN"/>
        </w:rPr>
        <w:t>七、采用国际标准和国外先进标准情况</w:t>
      </w:r>
    </w:p>
    <w:p w14:paraId="61DE0FB4">
      <w:pPr>
        <w:spacing w:line="360" w:lineRule="auto"/>
        <w:ind w:firstLine="480" w:firstLineChars="200"/>
        <w:rPr>
          <w:rFonts w:hint="eastAsia"/>
          <w:b/>
          <w:bCs/>
          <w:kern w:val="0"/>
          <w:sz w:val="28"/>
          <w:szCs w:val="28"/>
          <w:highlight w:val="none"/>
          <w:lang w:val="zh-CN"/>
        </w:rPr>
      </w:pPr>
      <w:r>
        <w:rPr>
          <w:sz w:val="24"/>
          <w:szCs w:val="24"/>
          <w:highlight w:val="none"/>
          <w:lang w:val="zh-CN"/>
        </w:rPr>
        <w:t>无。</w:t>
      </w:r>
    </w:p>
    <w:p w14:paraId="4E7A6880">
      <w:pPr>
        <w:pStyle w:val="2"/>
        <w:rPr>
          <w:rFonts w:hint="eastAsia"/>
          <w:sz w:val="28"/>
          <w:szCs w:val="28"/>
          <w:highlight w:val="none"/>
          <w:lang w:val="zh-CN"/>
        </w:rPr>
      </w:pPr>
      <w:r>
        <w:rPr>
          <w:rFonts w:hint="eastAsia"/>
          <w:sz w:val="28"/>
          <w:szCs w:val="28"/>
          <w:highlight w:val="none"/>
          <w:lang w:val="zh-CN"/>
        </w:rPr>
        <w:t>八、重大分歧意见的处理经过和依据</w:t>
      </w:r>
    </w:p>
    <w:p w14:paraId="30C982FB">
      <w:pPr>
        <w:spacing w:line="360" w:lineRule="auto"/>
        <w:ind w:firstLine="480" w:firstLineChars="200"/>
        <w:rPr>
          <w:sz w:val="24"/>
          <w:szCs w:val="24"/>
          <w:highlight w:val="none"/>
          <w:lang w:val="zh-CN"/>
        </w:rPr>
      </w:pPr>
      <w:r>
        <w:rPr>
          <w:sz w:val="24"/>
          <w:szCs w:val="24"/>
          <w:highlight w:val="none"/>
          <w:lang w:val="zh-CN"/>
        </w:rPr>
        <w:t>无。</w:t>
      </w:r>
    </w:p>
    <w:p w14:paraId="5E95EDF8">
      <w:pPr>
        <w:pStyle w:val="2"/>
        <w:rPr>
          <w:rFonts w:hint="eastAsia" w:cs="Times New Roman"/>
          <w:sz w:val="28"/>
          <w:szCs w:val="28"/>
          <w:highlight w:val="none"/>
          <w:lang w:val="zh-CN"/>
        </w:rPr>
      </w:pPr>
      <w:r>
        <w:rPr>
          <w:rFonts w:hint="eastAsia" w:cs="Times New Roman"/>
          <w:sz w:val="28"/>
          <w:szCs w:val="28"/>
          <w:highlight w:val="none"/>
          <w:lang w:val="zh-CN"/>
        </w:rPr>
        <w:t>九、标准性质的建议说明</w:t>
      </w:r>
    </w:p>
    <w:p w14:paraId="323A53E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本标准为推荐性标准，旨在为电力计量用高压互感器自动化检定流水线的设计、制造、检验与应用提供规范性依据，但不强制执行。</w:t>
      </w:r>
    </w:p>
    <w:p w14:paraId="2554D8C1">
      <w:pPr>
        <w:pStyle w:val="2"/>
        <w:rPr>
          <w:rFonts w:hint="eastAsia" w:cs="Times New Roman"/>
          <w:sz w:val="28"/>
          <w:szCs w:val="28"/>
          <w:highlight w:val="none"/>
          <w:lang w:val="zh-CN"/>
        </w:rPr>
      </w:pPr>
      <w:r>
        <w:rPr>
          <w:rFonts w:hint="eastAsia" w:cs="Times New Roman"/>
          <w:sz w:val="28"/>
          <w:szCs w:val="28"/>
          <w:highlight w:val="none"/>
          <w:lang w:val="zh-CN"/>
        </w:rPr>
        <w:t>十、贯彻标准的要求和措施建议（包括组织措施、技术措施、过渡办法、实施日期等）</w:t>
      </w:r>
    </w:p>
    <w:p w14:paraId="3657384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zh-CN"/>
        </w:rPr>
        <w:t>无。</w:t>
      </w:r>
    </w:p>
    <w:p w14:paraId="37E811D5">
      <w:pPr>
        <w:pStyle w:val="2"/>
        <w:rPr>
          <w:rFonts w:hint="eastAsia" w:cs="Times New Roman"/>
          <w:sz w:val="28"/>
          <w:szCs w:val="28"/>
          <w:highlight w:val="none"/>
          <w:lang w:val="zh-CN"/>
        </w:rPr>
      </w:pPr>
      <w:r>
        <w:rPr>
          <w:rFonts w:hint="eastAsia" w:cs="Times New Roman"/>
          <w:sz w:val="28"/>
          <w:szCs w:val="28"/>
          <w:highlight w:val="none"/>
          <w:lang w:val="zh-CN"/>
        </w:rPr>
        <w:t>十一、废止现行相关标准的建议</w:t>
      </w:r>
    </w:p>
    <w:p w14:paraId="0ED9DF8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无。</w:t>
      </w:r>
    </w:p>
    <w:p w14:paraId="5FE31F27">
      <w:pPr>
        <w:pStyle w:val="2"/>
        <w:rPr>
          <w:rFonts w:hint="eastAsia" w:cs="Times New Roman"/>
          <w:sz w:val="28"/>
          <w:szCs w:val="28"/>
          <w:highlight w:val="none"/>
          <w:lang w:val="zh-CN"/>
        </w:rPr>
      </w:pPr>
      <w:r>
        <w:rPr>
          <w:rFonts w:hint="eastAsia" w:cs="Times New Roman"/>
          <w:sz w:val="28"/>
          <w:szCs w:val="28"/>
          <w:highlight w:val="none"/>
          <w:lang w:val="zh-CN"/>
        </w:rPr>
        <w:t>十二、其他予以说明的事项</w:t>
      </w:r>
    </w:p>
    <w:p w14:paraId="43441EE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2026年8月5日，第二次工作组会议一致同意将标准名称由"电力计量用高压互感器自动化检定流水线技术规范"</w:t>
      </w:r>
      <w:r>
        <w:rPr>
          <w:rFonts w:hint="eastAsia" w:ascii="宋体" w:hAnsi="宋体" w:cs="宋体"/>
          <w:sz w:val="24"/>
          <w:szCs w:val="24"/>
          <w:lang w:val="en-US" w:eastAsia="zh-CN"/>
        </w:rPr>
        <w:t>修改</w:t>
      </w:r>
      <w:bookmarkStart w:id="0" w:name="_GoBack"/>
      <w:bookmarkEnd w:id="0"/>
      <w:r>
        <w:rPr>
          <w:rFonts w:hint="eastAsia" w:ascii="宋体" w:hAnsi="宋体" w:eastAsia="宋体" w:cs="宋体"/>
          <w:sz w:val="24"/>
          <w:szCs w:val="24"/>
        </w:rPr>
        <w:t>为"电力计量高压互感器自动化检定流水线技术规范"，并规范了对应英文</w:t>
      </w:r>
      <w:r>
        <w:rPr>
          <w:rFonts w:hint="eastAsia" w:ascii="宋体" w:hAnsi="宋体" w:cs="宋体"/>
          <w:sz w:val="24"/>
          <w:szCs w:val="24"/>
          <w:lang w:eastAsia="zh-CN"/>
        </w:rPr>
        <w:t>。</w:t>
      </w:r>
    </w:p>
    <w:p w14:paraId="25408E7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255CFC-5205-4A9C-87C5-94682C4BCB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6906DA30-22D8-4345-BD13-2627C47F69B2}"/>
  </w:font>
  <w:font w:name="Cambria">
    <w:panose1 w:val="02040503050406030204"/>
    <w:charset w:val="00"/>
    <w:family w:val="roman"/>
    <w:pitch w:val="default"/>
    <w:sig w:usb0="E00006FF" w:usb1="420024FF" w:usb2="02000000" w:usb3="00000000" w:csb0="2000019F" w:csb1="00000000"/>
  </w:font>
  <w:font w:name="方正楷体_GB2312">
    <w:panose1 w:val="02000000000000000000"/>
    <w:charset w:val="86"/>
    <w:family w:val="auto"/>
    <w:pitch w:val="default"/>
    <w:sig w:usb0="A00002BF" w:usb1="184F6CFA" w:usb2="00000012" w:usb3="00000000" w:csb0="00040001" w:csb1="00000000"/>
    <w:embedRegular r:id="rId3" w:fontKey="{CC21D325-9F05-409E-9C17-AB244F0376BB}"/>
  </w:font>
  <w:font w:name="方正仿宋_GB2312">
    <w:panose1 w:val="02000000000000000000"/>
    <w:charset w:val="86"/>
    <w:family w:val="auto"/>
    <w:pitch w:val="default"/>
    <w:sig w:usb0="A00002BF" w:usb1="184F6CFA" w:usb2="00000012" w:usb3="00000000" w:csb0="00040001" w:csb1="00000000"/>
    <w:embedRegular r:id="rId4" w:fontKey="{853F2011-0329-4696-A326-61B7F13C50C9}"/>
  </w:font>
  <w:font w:name="WPSEMBED11">
    <w:panose1 w:val="02000000000000000000"/>
    <w:charset w:val="86"/>
    <w:family w:val="auto"/>
    <w:pitch w:val="default"/>
    <w:sig w:usb0="A00002BF" w:usb1="184F6CFA" w:usb2="00000012" w:usb3="00000000" w:csb0="00040001" w:csb1="00000000"/>
  </w:font>
  <w:font w:name="WPSEMBED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BC07F">
    <w:pPr>
      <w:pStyle w:val="11"/>
      <w:jc w:val="center"/>
    </w:pPr>
    <w:r>
      <w:fldChar w:fldCharType="begin"/>
    </w:r>
    <w:r>
      <w:instrText xml:space="preserve">PAGE   \* MERGEFORMAT</w:instrText>
    </w:r>
    <w:r>
      <w:fldChar w:fldCharType="separate"/>
    </w:r>
    <w:r>
      <w:t>5</w:t>
    </w:r>
    <w:r>
      <w:fldChar w:fldCharType="end"/>
    </w:r>
  </w:p>
  <w:p w14:paraId="7F75010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9A74A">
    <w:pPr>
      <w:ind w:lef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5"/>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6"/>
      <w:suff w:val="nothing"/>
      <w:lvlText w:val="%1.%2.%3　"/>
      <w:lvlJc w:val="left"/>
      <w:pPr>
        <w:ind w:left="1419"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30"/>
      <w:lvlText w:val="%1)"/>
      <w:lvlJc w:val="left"/>
      <w:pPr>
        <w:tabs>
          <w:tab w:val="left" w:pos="851"/>
        </w:tabs>
        <w:ind w:left="851" w:hanging="426"/>
      </w:pPr>
      <w:rPr>
        <w:rFonts w:hint="eastAsia" w:ascii="宋体" w:hAnsi="Times New Roman" w:eastAsia="宋体"/>
        <w:sz w:val="21"/>
      </w:rPr>
    </w:lvl>
    <w:lvl w:ilvl="1" w:tentative="0">
      <w:start w:val="1"/>
      <w:numFmt w:val="decimal"/>
      <w:pStyle w:val="31"/>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7"/>
      <w:suff w:val="nothing"/>
      <w:lvlText w:val="%1%2　"/>
      <w:lvlJc w:val="left"/>
      <w:pPr>
        <w:ind w:left="0" w:firstLine="0"/>
      </w:pPr>
      <w:rPr>
        <w:rFonts w:hint="eastAsia" w:ascii="黑体" w:eastAsia="黑体"/>
        <w:b w:val="0"/>
        <w:i w:val="0"/>
        <w:sz w:val="21"/>
      </w:rPr>
    </w:lvl>
    <w:lvl w:ilvl="2" w:tentative="0">
      <w:start w:val="1"/>
      <w:numFmt w:val="decimal"/>
      <w:pStyle w:val="4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2"/>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C07FD7"/>
    <w:rsid w:val="000125B6"/>
    <w:rsid w:val="000140A4"/>
    <w:rsid w:val="00021860"/>
    <w:rsid w:val="00021AD1"/>
    <w:rsid w:val="00023888"/>
    <w:rsid w:val="00024C13"/>
    <w:rsid w:val="00026950"/>
    <w:rsid w:val="00026A6A"/>
    <w:rsid w:val="000327DB"/>
    <w:rsid w:val="00032CEB"/>
    <w:rsid w:val="000342AE"/>
    <w:rsid w:val="00035ABD"/>
    <w:rsid w:val="00035D6A"/>
    <w:rsid w:val="00041DA0"/>
    <w:rsid w:val="0004323C"/>
    <w:rsid w:val="00043280"/>
    <w:rsid w:val="000445C2"/>
    <w:rsid w:val="00044EBD"/>
    <w:rsid w:val="00053DD0"/>
    <w:rsid w:val="00056E08"/>
    <w:rsid w:val="00060C0C"/>
    <w:rsid w:val="00063536"/>
    <w:rsid w:val="000746BA"/>
    <w:rsid w:val="00076F33"/>
    <w:rsid w:val="00091438"/>
    <w:rsid w:val="000929A1"/>
    <w:rsid w:val="00092EC0"/>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00FAB"/>
    <w:rsid w:val="00101675"/>
    <w:rsid w:val="00114B97"/>
    <w:rsid w:val="0012193A"/>
    <w:rsid w:val="001237E0"/>
    <w:rsid w:val="00131C05"/>
    <w:rsid w:val="001327F4"/>
    <w:rsid w:val="0013476B"/>
    <w:rsid w:val="00140FB8"/>
    <w:rsid w:val="00141B98"/>
    <w:rsid w:val="001446ED"/>
    <w:rsid w:val="00146EDD"/>
    <w:rsid w:val="00160328"/>
    <w:rsid w:val="00161356"/>
    <w:rsid w:val="00165275"/>
    <w:rsid w:val="00176D1E"/>
    <w:rsid w:val="00183189"/>
    <w:rsid w:val="00183CAA"/>
    <w:rsid w:val="00184D4C"/>
    <w:rsid w:val="00192421"/>
    <w:rsid w:val="00192C8B"/>
    <w:rsid w:val="00194207"/>
    <w:rsid w:val="001A1B6C"/>
    <w:rsid w:val="001A424B"/>
    <w:rsid w:val="001A507A"/>
    <w:rsid w:val="001A72FB"/>
    <w:rsid w:val="001B4E14"/>
    <w:rsid w:val="001B51AA"/>
    <w:rsid w:val="001C06AA"/>
    <w:rsid w:val="001C3ED8"/>
    <w:rsid w:val="001C5231"/>
    <w:rsid w:val="001C55ED"/>
    <w:rsid w:val="001D038D"/>
    <w:rsid w:val="001E48D8"/>
    <w:rsid w:val="001E6353"/>
    <w:rsid w:val="001F266E"/>
    <w:rsid w:val="001F5976"/>
    <w:rsid w:val="001F7207"/>
    <w:rsid w:val="001F7AB4"/>
    <w:rsid w:val="002004B4"/>
    <w:rsid w:val="002004D0"/>
    <w:rsid w:val="00206A66"/>
    <w:rsid w:val="00210C5F"/>
    <w:rsid w:val="002145BD"/>
    <w:rsid w:val="00220EB9"/>
    <w:rsid w:val="00221BDC"/>
    <w:rsid w:val="00224108"/>
    <w:rsid w:val="00225331"/>
    <w:rsid w:val="00226544"/>
    <w:rsid w:val="00233031"/>
    <w:rsid w:val="00243479"/>
    <w:rsid w:val="00245485"/>
    <w:rsid w:val="00247ADE"/>
    <w:rsid w:val="00247BF2"/>
    <w:rsid w:val="002542CE"/>
    <w:rsid w:val="0026529F"/>
    <w:rsid w:val="00282694"/>
    <w:rsid w:val="00284FBA"/>
    <w:rsid w:val="00285508"/>
    <w:rsid w:val="002864C4"/>
    <w:rsid w:val="00292180"/>
    <w:rsid w:val="00293FB6"/>
    <w:rsid w:val="00294CF4"/>
    <w:rsid w:val="002A3B58"/>
    <w:rsid w:val="002A484B"/>
    <w:rsid w:val="002A6CD7"/>
    <w:rsid w:val="002B4C66"/>
    <w:rsid w:val="002C0031"/>
    <w:rsid w:val="002C06C2"/>
    <w:rsid w:val="002C464D"/>
    <w:rsid w:val="002C4E91"/>
    <w:rsid w:val="002C769C"/>
    <w:rsid w:val="002E1DAF"/>
    <w:rsid w:val="002E1F6F"/>
    <w:rsid w:val="002E2F23"/>
    <w:rsid w:val="002E30C6"/>
    <w:rsid w:val="002F02C5"/>
    <w:rsid w:val="002F3DF7"/>
    <w:rsid w:val="002F4CF5"/>
    <w:rsid w:val="002F7CA0"/>
    <w:rsid w:val="0030109E"/>
    <w:rsid w:val="00307E6D"/>
    <w:rsid w:val="00310AD6"/>
    <w:rsid w:val="00311B24"/>
    <w:rsid w:val="00312657"/>
    <w:rsid w:val="00313D58"/>
    <w:rsid w:val="00316665"/>
    <w:rsid w:val="00316AEB"/>
    <w:rsid w:val="00317C9F"/>
    <w:rsid w:val="0032633E"/>
    <w:rsid w:val="0034542C"/>
    <w:rsid w:val="00345489"/>
    <w:rsid w:val="00351087"/>
    <w:rsid w:val="003604FE"/>
    <w:rsid w:val="00371A8E"/>
    <w:rsid w:val="0037225A"/>
    <w:rsid w:val="003736A6"/>
    <w:rsid w:val="003770AF"/>
    <w:rsid w:val="003773EA"/>
    <w:rsid w:val="00380C6C"/>
    <w:rsid w:val="003817FA"/>
    <w:rsid w:val="00381AA0"/>
    <w:rsid w:val="003823C7"/>
    <w:rsid w:val="003A084F"/>
    <w:rsid w:val="003A1A73"/>
    <w:rsid w:val="003A2E44"/>
    <w:rsid w:val="003A5A81"/>
    <w:rsid w:val="003B0E59"/>
    <w:rsid w:val="003B3C5C"/>
    <w:rsid w:val="003B5A86"/>
    <w:rsid w:val="003C273A"/>
    <w:rsid w:val="003D40C4"/>
    <w:rsid w:val="003D52D5"/>
    <w:rsid w:val="003D587D"/>
    <w:rsid w:val="003D759D"/>
    <w:rsid w:val="003E7257"/>
    <w:rsid w:val="003F529A"/>
    <w:rsid w:val="003F5A3A"/>
    <w:rsid w:val="004001EF"/>
    <w:rsid w:val="00403C78"/>
    <w:rsid w:val="00411CCA"/>
    <w:rsid w:val="0042301F"/>
    <w:rsid w:val="00426380"/>
    <w:rsid w:val="00426D41"/>
    <w:rsid w:val="00433F0D"/>
    <w:rsid w:val="00446D83"/>
    <w:rsid w:val="00450B65"/>
    <w:rsid w:val="00453CFD"/>
    <w:rsid w:val="00454BA9"/>
    <w:rsid w:val="0046366A"/>
    <w:rsid w:val="00472477"/>
    <w:rsid w:val="00473EC6"/>
    <w:rsid w:val="00491AAF"/>
    <w:rsid w:val="00493324"/>
    <w:rsid w:val="00494341"/>
    <w:rsid w:val="00495729"/>
    <w:rsid w:val="004958A9"/>
    <w:rsid w:val="004A56F8"/>
    <w:rsid w:val="004B42FD"/>
    <w:rsid w:val="004B7CD3"/>
    <w:rsid w:val="004D035F"/>
    <w:rsid w:val="004D25D8"/>
    <w:rsid w:val="004D6719"/>
    <w:rsid w:val="004E142A"/>
    <w:rsid w:val="004E5B62"/>
    <w:rsid w:val="004F5353"/>
    <w:rsid w:val="004F77A2"/>
    <w:rsid w:val="004F7B35"/>
    <w:rsid w:val="005023D2"/>
    <w:rsid w:val="00504D78"/>
    <w:rsid w:val="00506C65"/>
    <w:rsid w:val="00514919"/>
    <w:rsid w:val="0052574F"/>
    <w:rsid w:val="0053279D"/>
    <w:rsid w:val="005370AB"/>
    <w:rsid w:val="0054263F"/>
    <w:rsid w:val="005453CA"/>
    <w:rsid w:val="00547862"/>
    <w:rsid w:val="00551722"/>
    <w:rsid w:val="005517EF"/>
    <w:rsid w:val="00551D13"/>
    <w:rsid w:val="00552196"/>
    <w:rsid w:val="0055341B"/>
    <w:rsid w:val="00554865"/>
    <w:rsid w:val="00560931"/>
    <w:rsid w:val="00576B8F"/>
    <w:rsid w:val="00580A71"/>
    <w:rsid w:val="00581791"/>
    <w:rsid w:val="00586D07"/>
    <w:rsid w:val="00587F37"/>
    <w:rsid w:val="00596C29"/>
    <w:rsid w:val="005A0A0F"/>
    <w:rsid w:val="005A7101"/>
    <w:rsid w:val="005B04B9"/>
    <w:rsid w:val="005D3277"/>
    <w:rsid w:val="005E1501"/>
    <w:rsid w:val="005E3C02"/>
    <w:rsid w:val="005E5126"/>
    <w:rsid w:val="005F1579"/>
    <w:rsid w:val="005F2E08"/>
    <w:rsid w:val="005F79C2"/>
    <w:rsid w:val="00601078"/>
    <w:rsid w:val="006037BA"/>
    <w:rsid w:val="00604FD1"/>
    <w:rsid w:val="00607AF6"/>
    <w:rsid w:val="00612AE7"/>
    <w:rsid w:val="00625C85"/>
    <w:rsid w:val="00626486"/>
    <w:rsid w:val="00634184"/>
    <w:rsid w:val="00642FCC"/>
    <w:rsid w:val="00644264"/>
    <w:rsid w:val="00647254"/>
    <w:rsid w:val="00656F8B"/>
    <w:rsid w:val="00657FF9"/>
    <w:rsid w:val="00667F80"/>
    <w:rsid w:val="00670A94"/>
    <w:rsid w:val="00670EC7"/>
    <w:rsid w:val="0067132A"/>
    <w:rsid w:val="00671562"/>
    <w:rsid w:val="006771EB"/>
    <w:rsid w:val="0068048B"/>
    <w:rsid w:val="00685DCF"/>
    <w:rsid w:val="00686FDF"/>
    <w:rsid w:val="006B265E"/>
    <w:rsid w:val="006B3A9B"/>
    <w:rsid w:val="006C06FD"/>
    <w:rsid w:val="006C166F"/>
    <w:rsid w:val="006E04C4"/>
    <w:rsid w:val="006E6D06"/>
    <w:rsid w:val="0070016D"/>
    <w:rsid w:val="007030BB"/>
    <w:rsid w:val="007109C3"/>
    <w:rsid w:val="00713107"/>
    <w:rsid w:val="007201B7"/>
    <w:rsid w:val="00721E6D"/>
    <w:rsid w:val="007320F6"/>
    <w:rsid w:val="00735D69"/>
    <w:rsid w:val="0073722A"/>
    <w:rsid w:val="0074014F"/>
    <w:rsid w:val="00740307"/>
    <w:rsid w:val="00741613"/>
    <w:rsid w:val="007425D3"/>
    <w:rsid w:val="00742878"/>
    <w:rsid w:val="00752B3F"/>
    <w:rsid w:val="00755DF0"/>
    <w:rsid w:val="007638AD"/>
    <w:rsid w:val="007646B5"/>
    <w:rsid w:val="0077233D"/>
    <w:rsid w:val="007731CB"/>
    <w:rsid w:val="00775364"/>
    <w:rsid w:val="007763BD"/>
    <w:rsid w:val="00781EEC"/>
    <w:rsid w:val="00782CFC"/>
    <w:rsid w:val="00783699"/>
    <w:rsid w:val="00792363"/>
    <w:rsid w:val="007932EA"/>
    <w:rsid w:val="00796501"/>
    <w:rsid w:val="007A0FB8"/>
    <w:rsid w:val="007A282E"/>
    <w:rsid w:val="007A39E9"/>
    <w:rsid w:val="007B25F6"/>
    <w:rsid w:val="007B6B4B"/>
    <w:rsid w:val="007B75E0"/>
    <w:rsid w:val="007C53A8"/>
    <w:rsid w:val="007C6BE0"/>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6923"/>
    <w:rsid w:val="0081723B"/>
    <w:rsid w:val="008261D3"/>
    <w:rsid w:val="00834EAE"/>
    <w:rsid w:val="00840377"/>
    <w:rsid w:val="008422E2"/>
    <w:rsid w:val="0085109D"/>
    <w:rsid w:val="008576F3"/>
    <w:rsid w:val="008652F1"/>
    <w:rsid w:val="00876073"/>
    <w:rsid w:val="0089657F"/>
    <w:rsid w:val="008A1B7C"/>
    <w:rsid w:val="008A4BB3"/>
    <w:rsid w:val="008B5921"/>
    <w:rsid w:val="008B5D3C"/>
    <w:rsid w:val="008B6F36"/>
    <w:rsid w:val="008C2741"/>
    <w:rsid w:val="008C2E7C"/>
    <w:rsid w:val="008C5501"/>
    <w:rsid w:val="008D51C7"/>
    <w:rsid w:val="008E7074"/>
    <w:rsid w:val="008F08BC"/>
    <w:rsid w:val="008F1A3F"/>
    <w:rsid w:val="00904D19"/>
    <w:rsid w:val="0091049B"/>
    <w:rsid w:val="00911E72"/>
    <w:rsid w:val="009123EA"/>
    <w:rsid w:val="00915B37"/>
    <w:rsid w:val="00916365"/>
    <w:rsid w:val="00923155"/>
    <w:rsid w:val="009303E4"/>
    <w:rsid w:val="0094073D"/>
    <w:rsid w:val="00946D87"/>
    <w:rsid w:val="00950997"/>
    <w:rsid w:val="00951150"/>
    <w:rsid w:val="0096265C"/>
    <w:rsid w:val="009649D1"/>
    <w:rsid w:val="00971FFA"/>
    <w:rsid w:val="009729E2"/>
    <w:rsid w:val="00980CC7"/>
    <w:rsid w:val="0098120E"/>
    <w:rsid w:val="00983CE9"/>
    <w:rsid w:val="009909D4"/>
    <w:rsid w:val="009910D3"/>
    <w:rsid w:val="00993015"/>
    <w:rsid w:val="00997646"/>
    <w:rsid w:val="009C5A85"/>
    <w:rsid w:val="009C6FCF"/>
    <w:rsid w:val="009D2B32"/>
    <w:rsid w:val="009D5316"/>
    <w:rsid w:val="009D539D"/>
    <w:rsid w:val="009D5E09"/>
    <w:rsid w:val="009D659E"/>
    <w:rsid w:val="009E3906"/>
    <w:rsid w:val="009E3D3C"/>
    <w:rsid w:val="009E541C"/>
    <w:rsid w:val="009F2FFA"/>
    <w:rsid w:val="009F4E4B"/>
    <w:rsid w:val="009F538F"/>
    <w:rsid w:val="00A00A02"/>
    <w:rsid w:val="00A03AE0"/>
    <w:rsid w:val="00A10C43"/>
    <w:rsid w:val="00A218BA"/>
    <w:rsid w:val="00A33203"/>
    <w:rsid w:val="00A4359C"/>
    <w:rsid w:val="00A43FDA"/>
    <w:rsid w:val="00A45735"/>
    <w:rsid w:val="00A55416"/>
    <w:rsid w:val="00A577E2"/>
    <w:rsid w:val="00A62621"/>
    <w:rsid w:val="00A6425F"/>
    <w:rsid w:val="00A65029"/>
    <w:rsid w:val="00A73B4E"/>
    <w:rsid w:val="00A76F83"/>
    <w:rsid w:val="00A80185"/>
    <w:rsid w:val="00A83ABF"/>
    <w:rsid w:val="00A854F6"/>
    <w:rsid w:val="00A855B9"/>
    <w:rsid w:val="00A9442A"/>
    <w:rsid w:val="00AA02D0"/>
    <w:rsid w:val="00AA0F98"/>
    <w:rsid w:val="00AA1F60"/>
    <w:rsid w:val="00AA22DB"/>
    <w:rsid w:val="00AB29A6"/>
    <w:rsid w:val="00AC2761"/>
    <w:rsid w:val="00AD128C"/>
    <w:rsid w:val="00AD3B06"/>
    <w:rsid w:val="00AE1FA7"/>
    <w:rsid w:val="00AF29E8"/>
    <w:rsid w:val="00AF2FC0"/>
    <w:rsid w:val="00B03E6A"/>
    <w:rsid w:val="00B0432B"/>
    <w:rsid w:val="00B04431"/>
    <w:rsid w:val="00B05335"/>
    <w:rsid w:val="00B07968"/>
    <w:rsid w:val="00B15090"/>
    <w:rsid w:val="00B223D8"/>
    <w:rsid w:val="00B227F6"/>
    <w:rsid w:val="00B25517"/>
    <w:rsid w:val="00B363A1"/>
    <w:rsid w:val="00B40259"/>
    <w:rsid w:val="00B5376B"/>
    <w:rsid w:val="00B67B85"/>
    <w:rsid w:val="00B710A0"/>
    <w:rsid w:val="00B7279A"/>
    <w:rsid w:val="00B82307"/>
    <w:rsid w:val="00B90740"/>
    <w:rsid w:val="00B94948"/>
    <w:rsid w:val="00BA1248"/>
    <w:rsid w:val="00BB392C"/>
    <w:rsid w:val="00BC2A58"/>
    <w:rsid w:val="00BC463B"/>
    <w:rsid w:val="00BC4820"/>
    <w:rsid w:val="00BD2A6B"/>
    <w:rsid w:val="00BE01BA"/>
    <w:rsid w:val="00BE06D9"/>
    <w:rsid w:val="00BE638C"/>
    <w:rsid w:val="00BE6DB7"/>
    <w:rsid w:val="00BF3D86"/>
    <w:rsid w:val="00BF5FAB"/>
    <w:rsid w:val="00C0109A"/>
    <w:rsid w:val="00C011BE"/>
    <w:rsid w:val="00C02B99"/>
    <w:rsid w:val="00C0676C"/>
    <w:rsid w:val="00C06773"/>
    <w:rsid w:val="00C07FD7"/>
    <w:rsid w:val="00C10DF5"/>
    <w:rsid w:val="00C1489F"/>
    <w:rsid w:val="00C15BDA"/>
    <w:rsid w:val="00C222DD"/>
    <w:rsid w:val="00C24F5C"/>
    <w:rsid w:val="00C267BF"/>
    <w:rsid w:val="00C27F6A"/>
    <w:rsid w:val="00C303B6"/>
    <w:rsid w:val="00C35947"/>
    <w:rsid w:val="00C35DF7"/>
    <w:rsid w:val="00C43FDE"/>
    <w:rsid w:val="00C50F62"/>
    <w:rsid w:val="00C5112C"/>
    <w:rsid w:val="00C56D7E"/>
    <w:rsid w:val="00C63018"/>
    <w:rsid w:val="00C63B25"/>
    <w:rsid w:val="00C66BE5"/>
    <w:rsid w:val="00C70BED"/>
    <w:rsid w:val="00C75F50"/>
    <w:rsid w:val="00C76244"/>
    <w:rsid w:val="00C81FB7"/>
    <w:rsid w:val="00C82E2D"/>
    <w:rsid w:val="00C85261"/>
    <w:rsid w:val="00CA6EBE"/>
    <w:rsid w:val="00CB00C4"/>
    <w:rsid w:val="00CB125C"/>
    <w:rsid w:val="00CC70B8"/>
    <w:rsid w:val="00CC7860"/>
    <w:rsid w:val="00CD43CB"/>
    <w:rsid w:val="00CD6C9A"/>
    <w:rsid w:val="00CF074D"/>
    <w:rsid w:val="00CF5406"/>
    <w:rsid w:val="00D02B77"/>
    <w:rsid w:val="00D108F4"/>
    <w:rsid w:val="00D17521"/>
    <w:rsid w:val="00D200D6"/>
    <w:rsid w:val="00D20E90"/>
    <w:rsid w:val="00D23634"/>
    <w:rsid w:val="00D24E58"/>
    <w:rsid w:val="00D27708"/>
    <w:rsid w:val="00D45ECB"/>
    <w:rsid w:val="00D7033C"/>
    <w:rsid w:val="00D84706"/>
    <w:rsid w:val="00D85F2C"/>
    <w:rsid w:val="00D86FBA"/>
    <w:rsid w:val="00D90933"/>
    <w:rsid w:val="00D92502"/>
    <w:rsid w:val="00D94C47"/>
    <w:rsid w:val="00DA2F01"/>
    <w:rsid w:val="00DB0013"/>
    <w:rsid w:val="00DB1945"/>
    <w:rsid w:val="00DB3454"/>
    <w:rsid w:val="00DB4AD5"/>
    <w:rsid w:val="00DC3630"/>
    <w:rsid w:val="00DD718B"/>
    <w:rsid w:val="00DD7EBE"/>
    <w:rsid w:val="00DE2825"/>
    <w:rsid w:val="00DF5125"/>
    <w:rsid w:val="00DF6A53"/>
    <w:rsid w:val="00DF6A54"/>
    <w:rsid w:val="00E00C17"/>
    <w:rsid w:val="00E025A9"/>
    <w:rsid w:val="00E03D57"/>
    <w:rsid w:val="00E07DFE"/>
    <w:rsid w:val="00E11A6F"/>
    <w:rsid w:val="00E166E6"/>
    <w:rsid w:val="00E1672C"/>
    <w:rsid w:val="00E42B81"/>
    <w:rsid w:val="00E47E34"/>
    <w:rsid w:val="00E50118"/>
    <w:rsid w:val="00E56F40"/>
    <w:rsid w:val="00E72BD3"/>
    <w:rsid w:val="00E74BFC"/>
    <w:rsid w:val="00E75D8B"/>
    <w:rsid w:val="00E77999"/>
    <w:rsid w:val="00E812F8"/>
    <w:rsid w:val="00E95999"/>
    <w:rsid w:val="00E97720"/>
    <w:rsid w:val="00EA2D2E"/>
    <w:rsid w:val="00EA4114"/>
    <w:rsid w:val="00EA7644"/>
    <w:rsid w:val="00EA7762"/>
    <w:rsid w:val="00EB1602"/>
    <w:rsid w:val="00EB46D7"/>
    <w:rsid w:val="00EC5B9D"/>
    <w:rsid w:val="00ED545D"/>
    <w:rsid w:val="00EE0B00"/>
    <w:rsid w:val="00EE33A6"/>
    <w:rsid w:val="00EE657F"/>
    <w:rsid w:val="00EF523C"/>
    <w:rsid w:val="00F113E9"/>
    <w:rsid w:val="00F211B3"/>
    <w:rsid w:val="00F34E25"/>
    <w:rsid w:val="00F3640C"/>
    <w:rsid w:val="00F3754A"/>
    <w:rsid w:val="00F439A4"/>
    <w:rsid w:val="00F46547"/>
    <w:rsid w:val="00F50275"/>
    <w:rsid w:val="00F5148D"/>
    <w:rsid w:val="00F51C56"/>
    <w:rsid w:val="00F52715"/>
    <w:rsid w:val="00F56F60"/>
    <w:rsid w:val="00F61FAD"/>
    <w:rsid w:val="00F64A7B"/>
    <w:rsid w:val="00F81BE3"/>
    <w:rsid w:val="00F82FB7"/>
    <w:rsid w:val="00F842D4"/>
    <w:rsid w:val="00F9244E"/>
    <w:rsid w:val="00F937EE"/>
    <w:rsid w:val="00F96C35"/>
    <w:rsid w:val="00FA4E39"/>
    <w:rsid w:val="00FB4480"/>
    <w:rsid w:val="00FB7F69"/>
    <w:rsid w:val="00FC7993"/>
    <w:rsid w:val="00FD0271"/>
    <w:rsid w:val="00FD4FE4"/>
    <w:rsid w:val="00FE1150"/>
    <w:rsid w:val="00FE3DBE"/>
    <w:rsid w:val="00FF1806"/>
    <w:rsid w:val="00FF4757"/>
    <w:rsid w:val="00FF5E2B"/>
    <w:rsid w:val="00FF60E8"/>
    <w:rsid w:val="010529A1"/>
    <w:rsid w:val="015D78C2"/>
    <w:rsid w:val="01F8525A"/>
    <w:rsid w:val="0206350A"/>
    <w:rsid w:val="025A548B"/>
    <w:rsid w:val="0267744B"/>
    <w:rsid w:val="03046F41"/>
    <w:rsid w:val="032B7CCC"/>
    <w:rsid w:val="03C47A3D"/>
    <w:rsid w:val="03EF27C8"/>
    <w:rsid w:val="03F3608F"/>
    <w:rsid w:val="03F73430"/>
    <w:rsid w:val="044D4541"/>
    <w:rsid w:val="04B406C8"/>
    <w:rsid w:val="051A11D0"/>
    <w:rsid w:val="055B54AE"/>
    <w:rsid w:val="05B71053"/>
    <w:rsid w:val="061D37E4"/>
    <w:rsid w:val="07282BD2"/>
    <w:rsid w:val="073525D0"/>
    <w:rsid w:val="07933427"/>
    <w:rsid w:val="07BE0EAF"/>
    <w:rsid w:val="084D6DC9"/>
    <w:rsid w:val="08591C04"/>
    <w:rsid w:val="08C30585"/>
    <w:rsid w:val="090215F0"/>
    <w:rsid w:val="091229C5"/>
    <w:rsid w:val="093B6561"/>
    <w:rsid w:val="094B1189"/>
    <w:rsid w:val="099F3105"/>
    <w:rsid w:val="09FF031A"/>
    <w:rsid w:val="0A95328F"/>
    <w:rsid w:val="0A9E3E3B"/>
    <w:rsid w:val="0AA00011"/>
    <w:rsid w:val="0B090D2C"/>
    <w:rsid w:val="0B257C4F"/>
    <w:rsid w:val="0B9567CA"/>
    <w:rsid w:val="0C7A2535"/>
    <w:rsid w:val="0C7A6ED4"/>
    <w:rsid w:val="0D00636D"/>
    <w:rsid w:val="0D1C75CD"/>
    <w:rsid w:val="0D5F0B5D"/>
    <w:rsid w:val="0EE86A55"/>
    <w:rsid w:val="0FF54858"/>
    <w:rsid w:val="10A47B52"/>
    <w:rsid w:val="10DF406E"/>
    <w:rsid w:val="11926D8D"/>
    <w:rsid w:val="11E90053"/>
    <w:rsid w:val="12320AF7"/>
    <w:rsid w:val="12BF58FF"/>
    <w:rsid w:val="12F24C1A"/>
    <w:rsid w:val="130509C1"/>
    <w:rsid w:val="13176148"/>
    <w:rsid w:val="13760D4E"/>
    <w:rsid w:val="13767950"/>
    <w:rsid w:val="14147A3B"/>
    <w:rsid w:val="15020CA3"/>
    <w:rsid w:val="155D62E6"/>
    <w:rsid w:val="15690030"/>
    <w:rsid w:val="16035571"/>
    <w:rsid w:val="162639CD"/>
    <w:rsid w:val="16436BBB"/>
    <w:rsid w:val="16970417"/>
    <w:rsid w:val="16BB474E"/>
    <w:rsid w:val="17683B61"/>
    <w:rsid w:val="180E1119"/>
    <w:rsid w:val="18393541"/>
    <w:rsid w:val="18A176F2"/>
    <w:rsid w:val="18A500EF"/>
    <w:rsid w:val="18C35161"/>
    <w:rsid w:val="18CD1D13"/>
    <w:rsid w:val="195D7E33"/>
    <w:rsid w:val="19792055"/>
    <w:rsid w:val="198552B3"/>
    <w:rsid w:val="19970503"/>
    <w:rsid w:val="19C27D7F"/>
    <w:rsid w:val="1A55EF0C"/>
    <w:rsid w:val="1B002FFA"/>
    <w:rsid w:val="1B9907D4"/>
    <w:rsid w:val="1BE76BEB"/>
    <w:rsid w:val="1C0C749B"/>
    <w:rsid w:val="1C2A1FFA"/>
    <w:rsid w:val="1CAD7018"/>
    <w:rsid w:val="1D4460EE"/>
    <w:rsid w:val="1D4C369E"/>
    <w:rsid w:val="1D7D286E"/>
    <w:rsid w:val="1D7F2551"/>
    <w:rsid w:val="1DD31238"/>
    <w:rsid w:val="1F417CF9"/>
    <w:rsid w:val="1F6736C2"/>
    <w:rsid w:val="1F783185"/>
    <w:rsid w:val="1FBF7A6F"/>
    <w:rsid w:val="1FD57590"/>
    <w:rsid w:val="2071095A"/>
    <w:rsid w:val="20840C8E"/>
    <w:rsid w:val="208D6BBB"/>
    <w:rsid w:val="21D7460A"/>
    <w:rsid w:val="2216145C"/>
    <w:rsid w:val="223649D8"/>
    <w:rsid w:val="22A45836"/>
    <w:rsid w:val="22B34C76"/>
    <w:rsid w:val="23027041"/>
    <w:rsid w:val="237A0EA4"/>
    <w:rsid w:val="238C742E"/>
    <w:rsid w:val="23A75EEF"/>
    <w:rsid w:val="24481FE0"/>
    <w:rsid w:val="248311C0"/>
    <w:rsid w:val="248764B8"/>
    <w:rsid w:val="24BC14A0"/>
    <w:rsid w:val="2538360D"/>
    <w:rsid w:val="259768C4"/>
    <w:rsid w:val="25F36AC0"/>
    <w:rsid w:val="26177B96"/>
    <w:rsid w:val="26355BCA"/>
    <w:rsid w:val="26A45E4D"/>
    <w:rsid w:val="26D20B6F"/>
    <w:rsid w:val="272711D4"/>
    <w:rsid w:val="27533EE6"/>
    <w:rsid w:val="27A75FE0"/>
    <w:rsid w:val="29417347"/>
    <w:rsid w:val="297E7214"/>
    <w:rsid w:val="29A852E1"/>
    <w:rsid w:val="29CB610C"/>
    <w:rsid w:val="29CE1F49"/>
    <w:rsid w:val="29EB4EC7"/>
    <w:rsid w:val="2A2F41FE"/>
    <w:rsid w:val="2A4D3368"/>
    <w:rsid w:val="2A721FF8"/>
    <w:rsid w:val="2AA1140C"/>
    <w:rsid w:val="2B187193"/>
    <w:rsid w:val="2B2C3011"/>
    <w:rsid w:val="2B59385C"/>
    <w:rsid w:val="2B882FE3"/>
    <w:rsid w:val="2BFB3D61"/>
    <w:rsid w:val="2BFE0E57"/>
    <w:rsid w:val="2CBD3F75"/>
    <w:rsid w:val="2CF27769"/>
    <w:rsid w:val="2CF74318"/>
    <w:rsid w:val="2CFB12C0"/>
    <w:rsid w:val="2DA03BFD"/>
    <w:rsid w:val="2E060545"/>
    <w:rsid w:val="2E1F36AF"/>
    <w:rsid w:val="2FFC7C4A"/>
    <w:rsid w:val="30305AEA"/>
    <w:rsid w:val="304B257B"/>
    <w:rsid w:val="307C0364"/>
    <w:rsid w:val="30B0524B"/>
    <w:rsid w:val="30B11B46"/>
    <w:rsid w:val="31EB4AD1"/>
    <w:rsid w:val="324C2EAE"/>
    <w:rsid w:val="32D166F5"/>
    <w:rsid w:val="33152293"/>
    <w:rsid w:val="339F6C4E"/>
    <w:rsid w:val="33DA06F7"/>
    <w:rsid w:val="340F48FC"/>
    <w:rsid w:val="34265515"/>
    <w:rsid w:val="343C1419"/>
    <w:rsid w:val="349B3370"/>
    <w:rsid w:val="34AF2C20"/>
    <w:rsid w:val="34C11256"/>
    <w:rsid w:val="35031581"/>
    <w:rsid w:val="351202FF"/>
    <w:rsid w:val="351647A5"/>
    <w:rsid w:val="35BC388F"/>
    <w:rsid w:val="3609360F"/>
    <w:rsid w:val="361B04A0"/>
    <w:rsid w:val="365C6355"/>
    <w:rsid w:val="36646E1F"/>
    <w:rsid w:val="36825C5E"/>
    <w:rsid w:val="36C55F68"/>
    <w:rsid w:val="36C85AB1"/>
    <w:rsid w:val="36E4386D"/>
    <w:rsid w:val="37265173"/>
    <w:rsid w:val="37346B23"/>
    <w:rsid w:val="37D35893"/>
    <w:rsid w:val="383E4EC8"/>
    <w:rsid w:val="385A6D44"/>
    <w:rsid w:val="386A7099"/>
    <w:rsid w:val="389337B6"/>
    <w:rsid w:val="389B7811"/>
    <w:rsid w:val="393E24A6"/>
    <w:rsid w:val="39A560B6"/>
    <w:rsid w:val="3AA14BDA"/>
    <w:rsid w:val="3B267C8A"/>
    <w:rsid w:val="3BC86EC9"/>
    <w:rsid w:val="3BE23632"/>
    <w:rsid w:val="3BE6368D"/>
    <w:rsid w:val="3C211CB3"/>
    <w:rsid w:val="3C523343"/>
    <w:rsid w:val="3C772F67"/>
    <w:rsid w:val="3C890106"/>
    <w:rsid w:val="3D1651F0"/>
    <w:rsid w:val="3D4D254F"/>
    <w:rsid w:val="3D6B1A8C"/>
    <w:rsid w:val="3DED4844"/>
    <w:rsid w:val="3E712FA9"/>
    <w:rsid w:val="3EBE5E7C"/>
    <w:rsid w:val="3F5F3197"/>
    <w:rsid w:val="3F980BD8"/>
    <w:rsid w:val="3FAD462D"/>
    <w:rsid w:val="3FB809BF"/>
    <w:rsid w:val="3FEC7CB4"/>
    <w:rsid w:val="3FFD724D"/>
    <w:rsid w:val="40687AEB"/>
    <w:rsid w:val="40DC4C45"/>
    <w:rsid w:val="40DF6FA1"/>
    <w:rsid w:val="41327A97"/>
    <w:rsid w:val="41922BF1"/>
    <w:rsid w:val="41A20AF6"/>
    <w:rsid w:val="4218487C"/>
    <w:rsid w:val="42486ADC"/>
    <w:rsid w:val="426E4241"/>
    <w:rsid w:val="42F1542D"/>
    <w:rsid w:val="43085A8E"/>
    <w:rsid w:val="43251536"/>
    <w:rsid w:val="438935BE"/>
    <w:rsid w:val="43CF576B"/>
    <w:rsid w:val="43D766A6"/>
    <w:rsid w:val="44167D7E"/>
    <w:rsid w:val="444B23E3"/>
    <w:rsid w:val="445D5F4C"/>
    <w:rsid w:val="445E5402"/>
    <w:rsid w:val="446C1C00"/>
    <w:rsid w:val="44774F25"/>
    <w:rsid w:val="4479634B"/>
    <w:rsid w:val="45841D41"/>
    <w:rsid w:val="458D7872"/>
    <w:rsid w:val="45A80E29"/>
    <w:rsid w:val="46210F1C"/>
    <w:rsid w:val="46387E1F"/>
    <w:rsid w:val="465E0411"/>
    <w:rsid w:val="46633C2B"/>
    <w:rsid w:val="467F622E"/>
    <w:rsid w:val="4682050F"/>
    <w:rsid w:val="46CB1754"/>
    <w:rsid w:val="46E771D4"/>
    <w:rsid w:val="47170634"/>
    <w:rsid w:val="47B411D0"/>
    <w:rsid w:val="47C066CC"/>
    <w:rsid w:val="47D55B81"/>
    <w:rsid w:val="48B6365C"/>
    <w:rsid w:val="48C64ECB"/>
    <w:rsid w:val="48FB6A8F"/>
    <w:rsid w:val="493A6E76"/>
    <w:rsid w:val="497F6E31"/>
    <w:rsid w:val="499D3D96"/>
    <w:rsid w:val="49C778F0"/>
    <w:rsid w:val="49DF1C3F"/>
    <w:rsid w:val="49EC488A"/>
    <w:rsid w:val="4A7207A7"/>
    <w:rsid w:val="4A835FE1"/>
    <w:rsid w:val="4AA27F9B"/>
    <w:rsid w:val="4AE47C47"/>
    <w:rsid w:val="4B32363B"/>
    <w:rsid w:val="4B667B2B"/>
    <w:rsid w:val="4B735DE7"/>
    <w:rsid w:val="4BC3729A"/>
    <w:rsid w:val="4BF23E4F"/>
    <w:rsid w:val="4C4607DA"/>
    <w:rsid w:val="4CBE030E"/>
    <w:rsid w:val="4CFF6B43"/>
    <w:rsid w:val="4D4675DD"/>
    <w:rsid w:val="4D6466CB"/>
    <w:rsid w:val="4E092FFA"/>
    <w:rsid w:val="4EAF569F"/>
    <w:rsid w:val="4EF1621C"/>
    <w:rsid w:val="4F523FD7"/>
    <w:rsid w:val="4F7D08F7"/>
    <w:rsid w:val="50016AC2"/>
    <w:rsid w:val="50123898"/>
    <w:rsid w:val="50427E43"/>
    <w:rsid w:val="51AB68BB"/>
    <w:rsid w:val="51BE3532"/>
    <w:rsid w:val="51FF6B10"/>
    <w:rsid w:val="52A73009"/>
    <w:rsid w:val="52D46729"/>
    <w:rsid w:val="530024DC"/>
    <w:rsid w:val="53194738"/>
    <w:rsid w:val="53836818"/>
    <w:rsid w:val="53DA11A0"/>
    <w:rsid w:val="53E32E8A"/>
    <w:rsid w:val="54915BA9"/>
    <w:rsid w:val="54B27BEE"/>
    <w:rsid w:val="54C2402E"/>
    <w:rsid w:val="55FB82E4"/>
    <w:rsid w:val="564B6B63"/>
    <w:rsid w:val="56514C21"/>
    <w:rsid w:val="566C201F"/>
    <w:rsid w:val="567345E6"/>
    <w:rsid w:val="568E367B"/>
    <w:rsid w:val="56A70A5C"/>
    <w:rsid w:val="570B3917"/>
    <w:rsid w:val="5749021F"/>
    <w:rsid w:val="5779299C"/>
    <w:rsid w:val="57AB43F8"/>
    <w:rsid w:val="57D85739"/>
    <w:rsid w:val="580F3D30"/>
    <w:rsid w:val="58221A49"/>
    <w:rsid w:val="58B42698"/>
    <w:rsid w:val="592D575A"/>
    <w:rsid w:val="596407D3"/>
    <w:rsid w:val="598B3C51"/>
    <w:rsid w:val="5A573610"/>
    <w:rsid w:val="5B2568B1"/>
    <w:rsid w:val="5B422B8B"/>
    <w:rsid w:val="5B6F6F42"/>
    <w:rsid w:val="5B825CAE"/>
    <w:rsid w:val="5B9B4131"/>
    <w:rsid w:val="5BEF6CB4"/>
    <w:rsid w:val="5C3929A3"/>
    <w:rsid w:val="5C476F4F"/>
    <w:rsid w:val="5C9748E3"/>
    <w:rsid w:val="5CBC6CD8"/>
    <w:rsid w:val="5CD740E4"/>
    <w:rsid w:val="5DB7078B"/>
    <w:rsid w:val="5DC015CE"/>
    <w:rsid w:val="5E0B66F4"/>
    <w:rsid w:val="5E7D3DE6"/>
    <w:rsid w:val="5EC549C2"/>
    <w:rsid w:val="5EE42100"/>
    <w:rsid w:val="5EE83FD6"/>
    <w:rsid w:val="5F093E9D"/>
    <w:rsid w:val="5F8C425B"/>
    <w:rsid w:val="5FA42D8A"/>
    <w:rsid w:val="5FE534F6"/>
    <w:rsid w:val="6045177F"/>
    <w:rsid w:val="60F308EF"/>
    <w:rsid w:val="60FD48E7"/>
    <w:rsid w:val="61333E65"/>
    <w:rsid w:val="61420BC0"/>
    <w:rsid w:val="61432360"/>
    <w:rsid w:val="6176717E"/>
    <w:rsid w:val="61A76DC0"/>
    <w:rsid w:val="62186AF3"/>
    <w:rsid w:val="622951B8"/>
    <w:rsid w:val="62492AD7"/>
    <w:rsid w:val="628E5FB9"/>
    <w:rsid w:val="62A10B56"/>
    <w:rsid w:val="62BB5C43"/>
    <w:rsid w:val="63653051"/>
    <w:rsid w:val="63737A74"/>
    <w:rsid w:val="637A6826"/>
    <w:rsid w:val="639C2195"/>
    <w:rsid w:val="645B0D09"/>
    <w:rsid w:val="657D7DA4"/>
    <w:rsid w:val="658028C9"/>
    <w:rsid w:val="65F477C4"/>
    <w:rsid w:val="66116ABA"/>
    <w:rsid w:val="665373D5"/>
    <w:rsid w:val="665A00E6"/>
    <w:rsid w:val="66924654"/>
    <w:rsid w:val="66C1218C"/>
    <w:rsid w:val="66DF3DF0"/>
    <w:rsid w:val="6702026A"/>
    <w:rsid w:val="677B141F"/>
    <w:rsid w:val="67FB3499"/>
    <w:rsid w:val="68064081"/>
    <w:rsid w:val="68467EA7"/>
    <w:rsid w:val="69C42446"/>
    <w:rsid w:val="6A2C74F0"/>
    <w:rsid w:val="6A613793"/>
    <w:rsid w:val="6AAB298E"/>
    <w:rsid w:val="6ABE6410"/>
    <w:rsid w:val="6AEF613E"/>
    <w:rsid w:val="6B8D4C87"/>
    <w:rsid w:val="6C2E17BA"/>
    <w:rsid w:val="6D48513C"/>
    <w:rsid w:val="6D762C20"/>
    <w:rsid w:val="6E1950F6"/>
    <w:rsid w:val="6E310AD8"/>
    <w:rsid w:val="6E940B7A"/>
    <w:rsid w:val="6FBFAB9A"/>
    <w:rsid w:val="6FF9CA01"/>
    <w:rsid w:val="703A272E"/>
    <w:rsid w:val="717C721C"/>
    <w:rsid w:val="719566D4"/>
    <w:rsid w:val="71DE7E1D"/>
    <w:rsid w:val="71E835F0"/>
    <w:rsid w:val="72294B2F"/>
    <w:rsid w:val="7259262A"/>
    <w:rsid w:val="74D06A77"/>
    <w:rsid w:val="75065DB7"/>
    <w:rsid w:val="762C7EE8"/>
    <w:rsid w:val="76CC29FB"/>
    <w:rsid w:val="770F35FE"/>
    <w:rsid w:val="777B5002"/>
    <w:rsid w:val="77B95236"/>
    <w:rsid w:val="77FB6B4C"/>
    <w:rsid w:val="77FB9376"/>
    <w:rsid w:val="78477BB6"/>
    <w:rsid w:val="785A5B03"/>
    <w:rsid w:val="79C4024E"/>
    <w:rsid w:val="79FC265D"/>
    <w:rsid w:val="7A5B9116"/>
    <w:rsid w:val="7ABE4CD1"/>
    <w:rsid w:val="7AFE606B"/>
    <w:rsid w:val="7B5254FB"/>
    <w:rsid w:val="7B5935FD"/>
    <w:rsid w:val="7BB27F43"/>
    <w:rsid w:val="7BB72EDA"/>
    <w:rsid w:val="7BDB6CDC"/>
    <w:rsid w:val="7C340505"/>
    <w:rsid w:val="7C471EE4"/>
    <w:rsid w:val="7CEF2CDE"/>
    <w:rsid w:val="7D4635B2"/>
    <w:rsid w:val="7D64173C"/>
    <w:rsid w:val="7D777A3E"/>
    <w:rsid w:val="7D9B26AB"/>
    <w:rsid w:val="7DFC1F91"/>
    <w:rsid w:val="7E0916DD"/>
    <w:rsid w:val="7E405882"/>
    <w:rsid w:val="7EA254FE"/>
    <w:rsid w:val="7EA875E5"/>
    <w:rsid w:val="7F3F716A"/>
    <w:rsid w:val="7FE505C8"/>
    <w:rsid w:val="7FFF168A"/>
    <w:rsid w:val="A7EFDA38"/>
    <w:rsid w:val="B5668F57"/>
    <w:rsid w:val="D68E3D55"/>
    <w:rsid w:val="D6BB14F3"/>
    <w:rsid w:val="DCF729B3"/>
    <w:rsid w:val="DFA96B7F"/>
    <w:rsid w:val="DFDF394B"/>
    <w:rsid w:val="F3AB2DC1"/>
    <w:rsid w:val="F5EF3D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99"/>
    <w:pPr>
      <w:keepNext/>
      <w:keepLines/>
      <w:spacing w:before="260" w:after="260" w:line="416" w:lineRule="auto"/>
      <w:outlineLvl w:val="2"/>
    </w:pPr>
    <w:rPr>
      <w:rFonts w:cs="黑体" w:asciiTheme="majorEastAsia" w:hAnsiTheme="majorEastAsia" w:eastAsiaTheme="majorEastAsia"/>
      <w:b/>
      <w:bCs/>
      <w:kern w:val="0"/>
      <w:sz w:val="28"/>
      <w:szCs w:val="28"/>
    </w:rPr>
  </w:style>
  <w:style w:type="paragraph" w:styleId="5">
    <w:name w:val="heading 4"/>
    <w:basedOn w:val="1"/>
    <w:next w:val="1"/>
    <w:link w:val="50"/>
    <w:unhideWhenUsed/>
    <w:qFormat/>
    <w:locked/>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7"/>
    <w:semiHidden/>
    <w:qFormat/>
    <w:uiPriority w:val="99"/>
    <w:pPr>
      <w:jc w:val="left"/>
    </w:pPr>
    <w:rPr>
      <w:kern w:val="0"/>
      <w:sz w:val="20"/>
      <w:szCs w:val="21"/>
    </w:rPr>
  </w:style>
  <w:style w:type="paragraph" w:styleId="7">
    <w:name w:val="Body Text"/>
    <w:basedOn w:val="1"/>
    <w:next w:val="8"/>
    <w:link w:val="49"/>
    <w:qFormat/>
    <w:locked/>
    <w:uiPriority w:val="1"/>
    <w:pPr>
      <w:autoSpaceDE w:val="0"/>
      <w:autoSpaceDN w:val="0"/>
      <w:jc w:val="left"/>
    </w:pPr>
    <w:rPr>
      <w:rFonts w:ascii="宋体" w:hAnsi="宋体" w:cs="宋体"/>
      <w:kern w:val="0"/>
      <w:szCs w:val="21"/>
    </w:rPr>
  </w:style>
  <w:style w:type="paragraph" w:styleId="8">
    <w:name w:val="Title"/>
    <w:basedOn w:val="1"/>
    <w:next w:val="1"/>
    <w:qFormat/>
    <w:locked/>
    <w:uiPriority w:val="0"/>
    <w:pPr>
      <w:spacing w:before="240" w:after="60"/>
      <w:jc w:val="center"/>
      <w:outlineLvl w:val="0"/>
    </w:pPr>
    <w:rPr>
      <w:rFonts w:ascii="Arial" w:hAnsi="Arial" w:cs="Arial"/>
      <w:b/>
      <w:bCs/>
      <w:sz w:val="32"/>
      <w:szCs w:val="32"/>
    </w:rPr>
  </w:style>
  <w:style w:type="paragraph" w:styleId="9">
    <w:name w:val="Date"/>
    <w:basedOn w:val="1"/>
    <w:next w:val="1"/>
    <w:link w:val="38"/>
    <w:semiHidden/>
    <w:qFormat/>
    <w:uiPriority w:val="99"/>
    <w:pPr>
      <w:ind w:left="100" w:leftChars="2500"/>
    </w:pPr>
  </w:style>
  <w:style w:type="paragraph" w:styleId="10">
    <w:name w:val="Balloon Text"/>
    <w:basedOn w:val="1"/>
    <w:link w:val="39"/>
    <w:semiHidden/>
    <w:qFormat/>
    <w:uiPriority w:val="99"/>
    <w:rPr>
      <w:kern w:val="0"/>
      <w:sz w:val="18"/>
      <w:szCs w:val="18"/>
    </w:rPr>
  </w:style>
  <w:style w:type="paragraph" w:styleId="11">
    <w:name w:val="footer"/>
    <w:basedOn w:val="1"/>
    <w:link w:val="40"/>
    <w:qFormat/>
    <w:uiPriority w:val="99"/>
    <w:pPr>
      <w:tabs>
        <w:tab w:val="center" w:pos="4153"/>
        <w:tab w:val="right" w:pos="8306"/>
      </w:tabs>
      <w:snapToGrid w:val="0"/>
      <w:jc w:val="left"/>
    </w:pPr>
    <w:rPr>
      <w:kern w:val="0"/>
      <w:sz w:val="18"/>
      <w:szCs w:val="18"/>
    </w:rPr>
  </w:style>
  <w:style w:type="paragraph" w:styleId="12">
    <w:name w:val="header"/>
    <w:basedOn w:val="1"/>
    <w:link w:val="41"/>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99"/>
    <w:pPr>
      <w:tabs>
        <w:tab w:val="right" w:leader="dot" w:pos="9241"/>
      </w:tabs>
      <w:spacing w:beforeLines="25" w:afterLines="25"/>
      <w:jc w:val="left"/>
    </w:pPr>
    <w:rPr>
      <w:rFonts w:ascii="宋体"/>
      <w:szCs w:val="21"/>
    </w:rPr>
  </w:style>
  <w:style w:type="paragraph" w:styleId="14">
    <w:name w:val="toc 2"/>
    <w:basedOn w:val="1"/>
    <w:next w:val="1"/>
    <w:qFormat/>
    <w:uiPriority w:val="99"/>
    <w:pPr>
      <w:tabs>
        <w:tab w:val="right" w:leader="dot" w:pos="9241"/>
      </w:tabs>
    </w:pPr>
    <w:rPr>
      <w:rFonts w:ascii="宋体"/>
      <w:szCs w:val="21"/>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locked/>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locked/>
    <w:uiPriority w:val="22"/>
    <w:rPr>
      <w:b/>
      <w:bCs/>
    </w:rPr>
  </w:style>
  <w:style w:type="character" w:styleId="20">
    <w:name w:val="Emphasis"/>
    <w:basedOn w:val="18"/>
    <w:qFormat/>
    <w:locked/>
    <w:uiPriority w:val="20"/>
    <w:rPr>
      <w:i/>
    </w:rPr>
  </w:style>
  <w:style w:type="character" w:styleId="21">
    <w:name w:val="Hyperlink"/>
    <w:semiHidden/>
    <w:qFormat/>
    <w:uiPriority w:val="99"/>
    <w:rPr>
      <w:rFonts w:cs="Times New Roman"/>
      <w:color w:val="0000CC"/>
      <w:u w:val="single"/>
    </w:rPr>
  </w:style>
  <w:style w:type="character" w:styleId="22">
    <w:name w:val="annotation reference"/>
    <w:semiHidden/>
    <w:qFormat/>
    <w:uiPriority w:val="99"/>
    <w:rPr>
      <w:rFonts w:cs="Times New Roman"/>
      <w:sz w:val="21"/>
    </w:rPr>
  </w:style>
  <w:style w:type="paragraph" w:customStyle="1" w:styleId="23">
    <w:name w:val="段"/>
    <w:link w:val="42"/>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4">
    <w:name w:val="列出段落1"/>
    <w:basedOn w:val="1"/>
    <w:qFormat/>
    <w:uiPriority w:val="99"/>
    <w:pPr>
      <w:ind w:firstLine="420" w:firstLineChars="200"/>
    </w:pPr>
  </w:style>
  <w:style w:type="paragraph" w:customStyle="1" w:styleId="25">
    <w:name w:val="目次、标准名称标题"/>
    <w:basedOn w:val="1"/>
    <w:next w:val="23"/>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6">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7">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8">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9">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30">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1">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2">
    <w:name w:val="标准文件_二级条标题"/>
    <w:next w:val="27"/>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3">
    <w:name w:val="标准文件_三级条标题"/>
    <w:next w:val="27"/>
    <w:qFormat/>
    <w:uiPriority w:val="0"/>
    <w:pPr>
      <w:outlineLvl w:val="3"/>
    </w:pPr>
    <w:rPr>
      <w:rFonts w:ascii="Times New Roman" w:hAnsi="Times New Roman" w:eastAsia="宋体" w:cs="Times New Roman"/>
      <w:lang w:val="en-US" w:eastAsia="zh-CN" w:bidi="ar-SA"/>
    </w:rPr>
  </w:style>
  <w:style w:type="character" w:customStyle="1" w:styleId="34">
    <w:name w:val="标题 1 字符"/>
    <w:link w:val="2"/>
    <w:qFormat/>
    <w:locked/>
    <w:uiPriority w:val="99"/>
    <w:rPr>
      <w:rFonts w:cs="Times New Roman"/>
      <w:b/>
      <w:kern w:val="44"/>
      <w:sz w:val="44"/>
    </w:rPr>
  </w:style>
  <w:style w:type="character" w:customStyle="1" w:styleId="35">
    <w:name w:val="标题 2 字符"/>
    <w:link w:val="3"/>
    <w:qFormat/>
    <w:locked/>
    <w:uiPriority w:val="99"/>
    <w:rPr>
      <w:rFonts w:ascii="Cambria" w:hAnsi="Cambria" w:eastAsia="宋体" w:cs="Times New Roman"/>
      <w:b/>
      <w:sz w:val="32"/>
    </w:rPr>
  </w:style>
  <w:style w:type="character" w:customStyle="1" w:styleId="36">
    <w:name w:val="标题 3 字符"/>
    <w:link w:val="4"/>
    <w:qFormat/>
    <w:locked/>
    <w:uiPriority w:val="99"/>
    <w:rPr>
      <w:rFonts w:cs="黑体" w:asciiTheme="majorEastAsia" w:hAnsiTheme="majorEastAsia" w:eastAsiaTheme="majorEastAsia"/>
      <w:b/>
      <w:bCs/>
      <w:sz w:val="28"/>
      <w:szCs w:val="28"/>
    </w:rPr>
  </w:style>
  <w:style w:type="character" w:customStyle="1" w:styleId="37">
    <w:name w:val="批注文字 字符"/>
    <w:link w:val="6"/>
    <w:semiHidden/>
    <w:qFormat/>
    <w:locked/>
    <w:uiPriority w:val="99"/>
    <w:rPr>
      <w:rFonts w:ascii="Calibri" w:hAnsi="Calibri" w:eastAsia="宋体" w:cs="Times New Roman"/>
      <w:sz w:val="21"/>
    </w:rPr>
  </w:style>
  <w:style w:type="character" w:customStyle="1" w:styleId="38">
    <w:name w:val="日期 字符"/>
    <w:link w:val="9"/>
    <w:semiHidden/>
    <w:qFormat/>
    <w:locked/>
    <w:uiPriority w:val="99"/>
    <w:rPr>
      <w:rFonts w:cs="Times New Roman"/>
      <w:kern w:val="2"/>
      <w:sz w:val="22"/>
      <w:szCs w:val="22"/>
    </w:rPr>
  </w:style>
  <w:style w:type="character" w:customStyle="1" w:styleId="39">
    <w:name w:val="批注框文本 字符"/>
    <w:link w:val="10"/>
    <w:semiHidden/>
    <w:qFormat/>
    <w:locked/>
    <w:uiPriority w:val="99"/>
    <w:rPr>
      <w:rFonts w:cs="Times New Roman"/>
      <w:sz w:val="18"/>
    </w:rPr>
  </w:style>
  <w:style w:type="character" w:customStyle="1" w:styleId="40">
    <w:name w:val="页脚 字符"/>
    <w:link w:val="11"/>
    <w:qFormat/>
    <w:locked/>
    <w:uiPriority w:val="99"/>
    <w:rPr>
      <w:rFonts w:cs="Times New Roman"/>
      <w:sz w:val="18"/>
    </w:rPr>
  </w:style>
  <w:style w:type="character" w:customStyle="1" w:styleId="41">
    <w:name w:val="页眉 字符"/>
    <w:link w:val="12"/>
    <w:qFormat/>
    <w:locked/>
    <w:uiPriority w:val="99"/>
    <w:rPr>
      <w:rFonts w:cs="Times New Roman"/>
      <w:sz w:val="18"/>
    </w:rPr>
  </w:style>
  <w:style w:type="character" w:customStyle="1" w:styleId="42">
    <w:name w:val="段 Char"/>
    <w:link w:val="23"/>
    <w:qFormat/>
    <w:locked/>
    <w:uiPriority w:val="99"/>
    <w:rPr>
      <w:rFonts w:ascii="宋体" w:hAnsi="Times New Roman"/>
      <w:sz w:val="22"/>
    </w:rPr>
  </w:style>
  <w:style w:type="character" w:customStyle="1" w:styleId="43">
    <w:name w:val="占位符文本1"/>
    <w:semiHidden/>
    <w:qFormat/>
    <w:uiPriority w:val="99"/>
    <w:rPr>
      <w:rFonts w:cs="Times New Roman"/>
      <w:color w:val="808080"/>
    </w:rPr>
  </w:style>
  <w:style w:type="character" w:customStyle="1" w:styleId="44">
    <w:name w:val="fontstyle01"/>
    <w:qFormat/>
    <w:uiPriority w:val="0"/>
    <w:rPr>
      <w:rFonts w:ascii="宋体" w:hAnsi="宋体" w:eastAsia="宋体" w:cs="宋体"/>
      <w:color w:val="000000"/>
      <w:sz w:val="22"/>
      <w:szCs w:val="22"/>
    </w:rPr>
  </w:style>
  <w:style w:type="paragraph" w:customStyle="1" w:styleId="45">
    <w:name w:val="一级条标题"/>
    <w:next w:val="23"/>
    <w:qFormat/>
    <w:uiPriority w:val="0"/>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46">
    <w:name w:val="二级条标题"/>
    <w:basedOn w:val="45"/>
    <w:next w:val="23"/>
    <w:qFormat/>
    <w:uiPriority w:val="0"/>
    <w:pPr>
      <w:numPr>
        <w:ilvl w:val="2"/>
      </w:numPr>
      <w:spacing w:before="50" w:after="50"/>
      <w:outlineLvl w:val="3"/>
    </w:pPr>
  </w:style>
  <w:style w:type="paragraph" w:customStyle="1" w:styleId="47">
    <w:name w:val="标准文件_章标题"/>
    <w:next w:val="2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8">
    <w:name w:val="标准文件_一级条标题"/>
    <w:basedOn w:val="47"/>
    <w:next w:val="27"/>
    <w:qFormat/>
    <w:uiPriority w:val="0"/>
    <w:pPr>
      <w:numPr>
        <w:ilvl w:val="2"/>
      </w:numPr>
      <w:spacing w:before="50" w:beforeLines="50" w:after="50" w:afterLines="50"/>
      <w:outlineLvl w:val="1"/>
    </w:pPr>
  </w:style>
  <w:style w:type="character" w:customStyle="1" w:styleId="49">
    <w:name w:val="正文文本 字符"/>
    <w:basedOn w:val="18"/>
    <w:link w:val="7"/>
    <w:qFormat/>
    <w:uiPriority w:val="1"/>
    <w:rPr>
      <w:rFonts w:ascii="宋体" w:hAnsi="宋体" w:cs="宋体"/>
      <w:sz w:val="21"/>
      <w:szCs w:val="21"/>
    </w:rPr>
  </w:style>
  <w:style w:type="character" w:customStyle="1" w:styleId="50">
    <w:name w:val="标题 4 字符"/>
    <w:basedOn w:val="18"/>
    <w:link w:val="5"/>
    <w:qFormat/>
    <w:uiPriority w:val="9"/>
    <w:rPr>
      <w:rFonts w:asciiTheme="majorHAnsi" w:hAnsiTheme="majorHAnsi" w:eastAsiaTheme="majorEastAsia" w:cstheme="majorBidi"/>
      <w:b/>
      <w:bCs/>
      <w:kern w:val="2"/>
      <w:sz w:val="28"/>
      <w:szCs w:val="28"/>
    </w:rPr>
  </w:style>
  <w:style w:type="character" w:customStyle="1" w:styleId="51">
    <w:name w:val="apple-converted-space"/>
    <w:basedOn w:val="18"/>
    <w:qFormat/>
    <w:uiPriority w:val="0"/>
  </w:style>
  <w:style w:type="paragraph" w:customStyle="1" w:styleId="52">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3">
    <w:name w:val="ds-markdown-paragraph"/>
    <w:basedOn w:val="1"/>
    <w:qFormat/>
    <w:uiPriority w:val="0"/>
    <w:pPr>
      <w:widowControl/>
      <w:spacing w:before="100" w:beforeAutospacing="1" w:after="100" w:afterAutospacing="1"/>
      <w:jc w:val="left"/>
    </w:pPr>
    <w:rPr>
      <w:rFonts w:ascii="宋体" w:hAnsi="宋体" w:cs="宋体"/>
      <w:kern w:val="0"/>
      <w:sz w:val="24"/>
      <w:szCs w:val="24"/>
    </w:rPr>
  </w:style>
  <w:style w:type="paragraph" w:styleId="54">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40E790F-A4AE-4110-9238-EE950D49862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1255</Words>
  <Characters>1297</Characters>
  <Lines>114</Lines>
  <Paragraphs>95</Paragraphs>
  <TotalTime>1</TotalTime>
  <ScaleCrop>false</ScaleCrop>
  <LinksUpToDate>false</LinksUpToDate>
  <CharactersWithSpaces>1326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2025-12-22T06:52:00Z</dcterms:created>
  <dc:creator>xb21cn</dc:creator>
  <cp:lastModifiedBy>老兔子</cp:lastModifiedBy>
  <cp:lastPrinted>2020-06-02T08:06:00Z</cp:lastPrinted>
  <dcterms:modified xsi:type="dcterms:W3CDTF">2026-09-01T07:55:17Z</dcterms:modified>
  <dc:title>中国仪器仪表行业协会团体标准</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346BA3C4C447483991B3C724765D21C8_13</vt:lpwstr>
  </property>
  <property fmtid="{D5CDD505-2E9C-101B-9397-08002B2CF9AE}" pid="4" name="KSOTemplateDocerSaveRecord">
    <vt:lpwstr>eyJoZGlkIjoiODE2ZmIwNmJmZTI5ZWNhNTI3M2U2MzliNWE3ZmM3MWEiLCJ1c2VySWQiOiIxMDI2NjMzMDU4In0=</vt:lpwstr>
  </property>
</Properties>
</file>